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b/>
          <w:bCs/>
          <w:color w:val="1F3864"/>
          <w:sz w:val="48"/>
          <w:szCs w:val="48"/>
        </w:rPr>
        <w:t xml:space="preserve">관세평가 출제 트렌드 분석 리포트</w:t>
      </w:r>
    </w:p>
    <w:p>
      <w:pPr>
        <w:spacing w:after="80" w:before="80"/>
        <w:jc w:val="center"/>
      </w:pPr>
      <w:r>
        <w:rPr>
          <w:color w:val="5F5E5A"/>
          <w:sz w:val="28"/>
          <w:szCs w:val="28"/>
        </w:rPr>
        <w:t xml:space="preserve">제30회(2013)~제42회(2025) · 기출 11개년 완전 분석</w:t>
      </w:r>
    </w:p>
    <w:p>
      <w:pPr>
        <w:spacing w:after="480" w:before="80"/>
        <w:jc w:val="center"/>
      </w:pPr>
      <w:r>
        <w:rPr>
          <w:color w:val="185FA5"/>
          <w:sz w:val="26"/>
          <w:szCs w:val="26"/>
        </w:rPr>
        <w:t xml:space="preserve">관세사 2차 시험 대비 전략 가이드</w:t>
      </w:r>
    </w:p>
    <w:p>
      <w:pPr>
        <w:pBdr>
          <w:bottom w:val="single" w:color="185FA5" w:sz="12" w:space="1"/>
        </w:pBdr>
        <w:spacing w:after="80" w:before="8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분석 개요</w:t>
      </w:r>
    </w:p>
    <w:p>
      <w:pPr>
        <w:spacing w:after="60" w:before="60"/>
        <w:jc w:val="left"/>
      </w:pPr>
      <w:r>
        <w:rPr>
          <w:b w:val="false"/>
          <w:bCs w:val="false"/>
          <w:color w:val="2C2C2A"/>
          <w:sz w:val="22"/>
          <w:szCs w:val="22"/>
        </w:rPr>
        <w:t xml:space="preserve">본 리포트는 관세사 2차 시험 관세평가 과목의 제30회(2013년)부터 제42회(2025년)까지 11개년 기출문제를 체계적으로 분석하여 출제 트렌드, 주제별 빈도, 시험 형식 변화 및 전략적 학습 우선순위를 제시합니다.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주요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888780"/>
                <w:sz w:val="20"/>
                <w:szCs w:val="20"/>
              </w:rPr>
              <w:t xml:space="preserve">분석 대상</w:t>
            </w:r>
          </w:p>
          <w:p>
            <w:pPr>
              <w:jc w:val="center"/>
            </w:pPr>
            <w:r>
              <w:rPr>
                <w:b/>
                <w:bCs/>
                <w:color w:val="0F6E56"/>
                <w:sz w:val="36"/>
                <w:szCs w:val="36"/>
              </w:rPr>
              <w:t xml:space="preserve">11개년</w:t>
            </w:r>
          </w:p>
          <w:p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2013~2025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888780"/>
                <w:sz w:val="20"/>
                <w:szCs w:val="20"/>
              </w:rPr>
              <w:t xml:space="preserve">최고 빈출</w:t>
            </w:r>
          </w:p>
          <w:p>
            <w:pPr>
              <w:jc w:val="center"/>
            </w:pPr>
            <w:r>
              <w:rPr>
                <w:b/>
                <w:bCs/>
                <w:color w:val="185FA5"/>
                <w:sz w:val="28"/>
                <w:szCs w:val="28"/>
              </w:rPr>
              <w:t xml:space="preserve">권리사용료</w:t>
            </w:r>
          </w:p>
          <w:p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10/11년 (91%)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888780"/>
                <w:sz w:val="20"/>
                <w:szCs w:val="20"/>
              </w:rPr>
              <w:t xml:space="preserve">2차 빈출</w:t>
            </w:r>
          </w:p>
          <w:p>
            <w:pPr>
              <w:jc w:val="center"/>
            </w:pPr>
            <w:r>
              <w:rPr>
                <w:b/>
                <w:bCs/>
                <w:color w:val="854F0B"/>
                <w:sz w:val="24"/>
                <w:szCs w:val="24"/>
              </w:rPr>
              <w:t xml:space="preserve">생산지원비용</w:t>
            </w:r>
          </w:p>
          <w:p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8/11년 (73%)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888780"/>
                <w:sz w:val="20"/>
                <w:szCs w:val="20"/>
              </w:rPr>
              <w:t xml:space="preserve">최근 연속 출제</w:t>
            </w:r>
          </w:p>
          <w:p>
            <w:pPr>
              <w:jc w:val="center"/>
            </w:pPr>
            <w:r>
              <w:rPr>
                <w:b/>
                <w:bCs/>
                <w:color w:val="993C1D"/>
                <w:sz w:val="28"/>
                <w:szCs w:val="28"/>
              </w:rPr>
              <w:t xml:space="preserve">특수관계</w:t>
            </w:r>
          </w:p>
          <w:p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2023·24·25 연속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2. 주제별 출제 빈도 분석</w:t>
      </w:r>
    </w:p>
    <w:p>
      <w:pPr>
        <w:spacing w:after="60" w:before="60"/>
        <w:jc w:val="left"/>
      </w:pPr>
      <w:r>
        <w:rPr>
          <w:b w:val="false"/>
          <w:bCs w:val="false"/>
          <w:color w:val="2C2C2A"/>
          <w:sz w:val="22"/>
          <w:szCs w:val="22"/>
        </w:rPr>
        <w:t xml:space="preserve">아래 표는 14개 핵심 주제의 출제 횟수, 출제율, 학습 티어 및 교과서 해당 챕터를 정리한 것입니다.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6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주제명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출제 횟수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출제율(%)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출제 티어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교과서 챕터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권리사용료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91%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 xml:space="preserve">A (필수)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제5장 6절·7절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생산지원비용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73%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 xml:space="preserve">A (필수)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제5장 5절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운임·보험료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64%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B (중요)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제5장 9절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특수관계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64%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B (중요)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제4장 6절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제4방법(국내판매)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B (중요)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제6장 3절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처분·사용 제한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C (주목)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제4장 3절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제6방법·임차수입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C (주목)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제6장 5절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실제지급가격·공제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C (주목)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제3장 2·4절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할인·무료물품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27%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780"/>
                <w:sz w:val="20"/>
                <w:szCs w:val="20"/>
              </w:rPr>
              <w:t xml:space="preserve">D (간헐)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제3장 5절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잠정가격·과세환율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27%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780"/>
                <w:sz w:val="20"/>
                <w:szCs w:val="20"/>
              </w:rPr>
              <w:t xml:space="preserve">D (간헐)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제8장·제3장 2절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구매수수료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27%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780"/>
                <w:sz w:val="20"/>
                <w:szCs w:val="20"/>
              </w:rPr>
              <w:t xml:space="preserve">D (간헐)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제5장 3절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소프트웨어 로열티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780"/>
                <w:sz w:val="20"/>
                <w:szCs w:val="20"/>
              </w:rPr>
              <w:t xml:space="preserve">D (간헐)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제5장 7절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B/L 양수도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780"/>
                <w:sz w:val="20"/>
                <w:szCs w:val="20"/>
              </w:rPr>
              <w:t xml:space="preserve">D (간헐)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제3장 1절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제2·3방법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9%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780"/>
                <w:sz w:val="20"/>
                <w:szCs w:val="20"/>
              </w:rPr>
              <w:t xml:space="preserve">D (간헐)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제6장 2절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color w:val="888780"/>
          <w:sz w:val="18"/>
          <w:szCs w:val="18"/>
        </w:rPr>
        <w:t xml:space="preserve">※ 티어 기준: A(필수, 70%+), B(중요, 50~69%), C(주목, 30~49%), D(간헐, 30% 미만)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3. 연도별 출제 주제 히트맵</w:t>
      </w:r>
    </w:p>
    <w:p>
      <w:pPr>
        <w:spacing w:after="60" w:before="60"/>
        <w:jc w:val="left"/>
      </w:pPr>
      <w:r>
        <w:rPr>
          <w:b w:val="false"/>
          <w:bCs w:val="false"/>
          <w:color w:val="2C2C2A"/>
          <w:sz w:val="22"/>
          <w:szCs w:val="22"/>
        </w:rPr>
        <w:t xml:space="preserve">● = 출제, ○ = 미출제. 초록색 배경은 출제된 연도를 나타냅니다.</w:t>
      </w:r>
    </w:p>
    <w:p>
      <w:pPr>
        <w:spacing w:after="60" w:before="60"/>
      </w:pPr>
      <w:r>
        <w:t xml:space="preserve"/>
      </w:r>
    </w:p>
    <w:p>
      <w:r>
        <w:rPr>
          <w:color w:val="888780"/>
          <w:sz w:val="18"/>
          <w:szCs w:val="18"/>
        </w:rPr>
        <w:t xml:space="preserve">※ 히트맵은 가로 방향으로 확인하세요. A4 인쇄 시 '가로 방향' 설정을 권장합니다.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주제 / 연도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'13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'14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'15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'18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'19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'20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'21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'22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'23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'24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권리사용료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10 (91%)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생산지원비용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8 (73%)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운임·보험료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7 (64%)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특수관계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6 (55%)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제4방법(국내판매)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6 (55%)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처분·사용 제한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5 (45%)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제6방법·임차수입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5 (45%)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실제지급가격·공제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4 (36%)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할인·무료물품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3 (27%)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잠정가격·과세환율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3 (27%)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구매수수료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3 (27%)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소프트웨어 로열티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2 (18%)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B/L 양수도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2 (18%)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제2·3방법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1 (9%)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4. 출제 형식 변천 (배점 구조 변화)</w:t>
      </w:r>
    </w:p>
    <w:p>
      <w:pPr>
        <w:spacing w:after="60" w:before="60"/>
        <w:jc w:val="left"/>
      </w:pPr>
      <w:r>
        <w:rPr>
          <w:b w:val="false"/>
          <w:bCs w:val="false"/>
          <w:color w:val="2C2C2A"/>
          <w:sz w:val="22"/>
          <w:szCs w:val="22"/>
        </w:rPr>
        <w:t xml:space="preserve">관세사 2차 관세평가 시험의 형식은 크게 세 번의 변화를 겪었습니다.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배점 구조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제30~35회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2013~2018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6문제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50점 + 10점×5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장문 서술 위주, 단일 주제별 출제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제36~37회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2019~2020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6문제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50점(종합)+10점×5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복합 거래 종합, 1번 문제 비중 대폭 증가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제38회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6문제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50점 + 10점×5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원유 특수관계 종합, 이론 비중 강화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제39~40회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2022~2023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4문제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30+20+30+20점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문제 수 축소, 심화·복합 출제 정착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제41~42회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2024~2025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4문제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30+20+30+20점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계산형+법조문 서술 혼합, WCO/WTO 인용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형식 변화 핵심 시사점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2022년부터 4문제 체제로 고착: 30+20+30+20점 구조가 정착됨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문제 1번(30점)은 항상 복합 거래 종합 평가: 다수 비용항목 분류 + 과세가격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이론(법조문 서술)과 계산(과세가격 산출)의 혼합 배점 → 한쪽만 집중하면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WCO/WTO 협정 조문 직접 인용 비중 확대 (2023년부터 명시적 인용 요구)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5. 교과서 장별 출제 비중 분석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교과서 장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출제 비중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출제 세부 주제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제5장 가산요소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42%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권리사용료(§5-6,7), 생산지원(§5-5), 운임·보험료(§5-9), 수수료(§5-3), 사후귀속(§5-8)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제4장 거래가격 배제사유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22%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특수관계(§4-6), 처분·사용제한(§4-3), 조건·사정(§4-4), 사후귀속이익(§4-5)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제3장 실제지급가격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18%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실제지급가격(§3-2), 공제요소(§3-4), 간접지급액(§3-5), 할인(§3-5)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제6장 기타 과세가격 결정방법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13%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제2·3방법(§6-2), 제4방법(§6-3), 제5방법(§6-4), 제6방법(§6-5)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기타(제1·7·8장)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5%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관세평가 일반(§1), 특수물품(§7), 잠정가격신고(§8)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color w:val="993C1D"/>
          <w:sz w:val="22"/>
          <w:szCs w:val="22"/>
        </w:rPr>
        <w:t xml:space="preserve">→ 제5장 가산요소(42%)와 제4장 배제사유(22%)가 전체 출제의 64%를 차지하는 핵심 장임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6. 핵심 출제 패턴 분석</w:t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6.1 권리사용료 — 매년 반복 출제 특성 (출제율 91%)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특허권: 2013·2025 (가산율 계산 반복) — 2013년 문제와 2025년 문제가 동일 구조로 출제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저작권(음반·CD): 2014·2015·2023 — 재현생산권, 소매판매가 기준 로열티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상표권: 2018·2023 — 물품관련성 충족 여부 판단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소프트웨어: 2019·2021·2022 — 포토마스크, 마스터CD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핵심 논점: 물품관련성·거래조건성 요건 → 매년 기본 논점으로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계산형: 국내생산 대가 포함 시 안분·조정액 산출식 → 고빈도 계산 문제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6.2 최근 강화 경향 (2022~2025)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특수관계 + 이전가격(OECD Guideline) 연계: WTO 평가협정 예해 23.1 직접 인용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잠정가격신고 + 확정가격 결정 복합 출제 증가: 2023·2025 연속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제4방법 계산 심화: 단위가격 결정 기준, 이윤·경비 비율 선택(세관장 vs. 납세자)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운임 가산 범위 심화: 할증료(CRC/CRS), 전쟁보험, 항공운임 전환 특례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WCO/WTO 협정 직접 인용 → 이론과 실무의 통합적 이해 요구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6.3 거래가격 배제요건 — 교차 출제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처분·사용 제한(제1호): 2013·2014·2018·2019·2022 — 독점유통 조건 분석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조건·사정 영향(제2호): 2013·2014·2015·2019 — 금액 계산 가능 vs. 불가능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합리적 의심(제30조 제5항): 2021·2022 신규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독점유통계약 조건 분석: 2018년 대표 기출 (9개 조건 개별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사후귀속이익: 2022 단독 출제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6.4 복합 거래형 종합문제 특성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1번 문제(30점): 항상 복합 거래 종합 평가 — 실제지급가격 + 가산요소 총정리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13~15개 비용 항목 분류 반복: 실제지급·가산요소·과세 제외 항목으로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제조업 특화 사례: 자동차(2018·2025), 풍력발전(2020), 반도체(2019), 의류(2022·2025)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임가공 계약 + 생산지원 조합 반복: 2022·2025 해외임가공 케이스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계산 문제: 필수 (과세가격 최종 산출 항상 포함, 1문제당 최소 1개 계산 요구)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6.5 과거 기출 재출제 패턴 주의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2025년 문제1 ≒ 2013년 문제1: 특허권 가산율 산출식 구조 동일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2015년 문제1 = 2014년 문제1: 레이저디스크 권리사용료 문제 완전 동일 출제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시사점: 구문제 풀이 필수 — 과거 기출이 그대로 재출제될 가능성 존재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7. 전략 가이드 — 주제별 준비 우선순위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준비 우선순위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세부 학습 항목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A티어 — 필수 완벽 준비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권리사용료 3요건: 관련성·거래조건성·직간접 지급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가산율·조정액 산출식 암기 및 계산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생산지원비용 범위(물품 4가지·용역 2가지) + 배분방법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제4방법 단위가격 결정 기준 + 공제항목 구분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운임·보험료 포함 범위(수입항 도착 전 기준)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특수관계 8가지 유형 + 가격 영향 판단 방법 5가지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B티어 — 중점 준비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처분·사용 제한 3유형(법령·지역·가격 이외 제한)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제6방법 적용 순서 및 임차수입물품 과세가격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잠정가격 신고 대상 요건(시행령 제16조)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실제지급가격 공제요소 5가지 요건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합리적 의심 요건(관세법 제30조 제5항)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이전가격(OECD)과 관세평가의 차이·연계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C티어 — 예상 출제 (2026)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보세공장 혼용승인 과세가격 (2020 이후 미출제)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구매수수료 vs. 판매수수료 구분 기준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소프트웨어 권리사용료 (2021 이후 미출제)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제2·3방법 거래단계·수량 차이 조정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B/L 양수도 거래가격 적용 여부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특수물품(변질·손상) 관세평가 방법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7.1 2026 시험 예상 출제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보세공장 혼용승인 과세가격: 2020년 출제 후 미출제 → 재출제 주목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구매수수료 vs. 판매수수료 심화: 비과세 구매수수료 요건 + 구매대리인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소프트웨어 권리사용료: 2021년 이후 미출제 → 포토마스크·마스터CD 사례 복습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제2·3방법 심화: 동종·동질물품 개념, 거래단계·수량 차이 조정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특수물품 감액 평가: 변질·손상 물품 과세가격 결정(제7장)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WTO 관세평가협정 주해(ANNEX I): 공제요소·가산요소의 협정 규정과 국내법 차이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6" w:space="4"/>
        </w:pBdr>
        <w:spacing w:after="120" w:before="300"/>
      </w:pPr>
      <w:r>
        <w:rPr>
          <w:b/>
          <w:bCs/>
          <w:color w:val="185FA5"/>
          <w:sz w:val="26"/>
          <w:szCs w:val="26"/>
        </w:rPr>
        <w:t xml:space="preserve">7.2 학습 방법 권고사항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1순위: A티어 6개 주제를 법조문 암기 + 계산 연습 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2순위: B티어 6개 주제의 요건 및 판단기준 정리 (표로 암기)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3순위: 복합문제 훈련 — 2019·2020·2021 기출 반복 풀이 (13~15개 항목 분류)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4순위: WTO/WCO 관련 협정문 핵심 조항 한글 번역 암기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A"/>
          <w:sz w:val="22"/>
          <w:szCs w:val="22"/>
        </w:rPr>
        <w:t xml:space="preserve">5순위: C티어 주제 중 보세공장·소프트웨어 로열티 집중 보완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 w:space="4"/>
        </w:pBdr>
        <w:spacing w:after="60" w:before="240"/>
      </w:pPr>
      <w:r>
        <w:rPr>
          <w:color w:val="888780"/>
          <w:sz w:val="18"/>
          <w:szCs w:val="18"/>
        </w:rPr>
        <w:t xml:space="preserve">본 리포트는 제30회~제42회 관세사 2차 시험 관세평가 기출문제를 기반으로 작성되었습니다. 시험 출제 경향은 매년 변동 가능하므로 참고 자료로 활용하시기 바랍니다.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2026-04-04T02:21:13.393Z</dcterms:created>
  <dcterms:modified xsi:type="dcterms:W3CDTF">2026-04-04T02:21:13.394Z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