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ev19vthz60c6" w:id="0"/>
      <w:bookmarkEnd w:id="0"/>
      <w:sdt>
        <w:sdtPr>
          <w:id w:val="-21279158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\[문제1-물음1\]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18852415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16720625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국제물품매매계약에서 비엔나협약(CISG)과 Incoterms® 2010의 위험의 이전에 관한 규정을 각각 설명하고, 양 규정의 유사점과 차이점을 논하시오. (50점)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81458260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14619537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CISG(제66조\~제70조)와 Incoterms® 2010의 위험 이전 규정을 비교 분석하여, 각 규정의 당사자 자치 원칙에 따른 법적 우선순위와 적용 범위를 명확히 이해해야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  <w:b w:val="1"/>
          <w:bCs w:val="1"/>
        </w:rPr>
      </w:pPr>
      <w:sdt>
        <w:sdtPr>
          <w:id w:val="-210855048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09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yg5wmxzaacms" w:id="1"/>
      <w:bookmarkEnd w:id="1"/>
      <w:sdt>
        <w:sdtPr>
          <w:id w:val="-19856175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1. 비엔나 협약(CISG)의 위험 이전 규정 (제66조 ~ 제70조)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25103364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위험 이전의 원칙 (제66조):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0856861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위험이 매수인에게 이전된 후 발생한 물품의 멸실 또는 손상은 매수인의 대금지급의무를 면제시키지 않음. </w:t>
          </w:r>
        </w:sdtContent>
      </w:sdt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93003229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단, 해당 손실이 매도인의 작위 또는 부작위(act or omission)로 인한 경우에는 예외로 함.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87803263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운송계약을 포함하는 매매 (제67조):</w:t>
          </w:r>
        </w:sdtContent>
      </w:sdt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06293633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장소 미지정 시: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-1524071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물품이 매수인에게 전달되기 위해 '최초의 운송인'에게 교부된 때 위험이 이전됨.</w:t>
          </w:r>
        </w:sdtContent>
      </w:sdt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72504722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장소 지정 시: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9058659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특정 장소에서 운송인에게 교부된 때까지 위험은 이전되지 않음.</w:t>
          </w:r>
        </w:sdtContent>
      </w:sdt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9761926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공통 요건: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4276813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물품이 화인, 운송서류, 매수인에 대한 통지 등으로 계약 물품임이 명확히 식별(identified)되어야 함.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4429868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 중 매각된 물품 (제68조):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3894427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원칙적으로 '계약 체결 시'에 위험이 이전됨. </w:t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39548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단, 상황에 따라 운송계약을 체결한 운송인에게 물품이 교부된 시점으로 소급하여 이전될 수 있으나, 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9376762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매도인이 물품 손상을 알고도 고지하지 않았다면 그 위험은 매도인이 부담함.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41569718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기타의 경우 (제69조):</w:t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73852234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매수인이 물품을 인수한 때, 또는 물품이 처분 가능한 상태에 놓였음에도 매수인이 인수를 지체하여 계약 위반이 된 때에 위험이 이전됨.</w:t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6055789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매도인의 영업소 이외의 장소에서 인도할 경우, 인도 기일이 도래하고 물품이 처분 가능 상태임을 매수인이 안 때 이전됨.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657382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매도인의 본질적 계약위반 시 (제70조):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8375880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매도인이 본질적 계약위반을 한 경우, 위험 이전 규정은 매수인이 가지는 계약해제권 등 구제권리(remedies) 행사에 영향을 미치지 않음.</w:t>
          </w:r>
        </w:sdtContent>
      </w:sdt>
    </w:p>
    <w:p w:rsidR="00000000" w:rsidDel="00000000" w:rsidP="00000000" w:rsidRDefault="00000000" w:rsidRPr="00000000" w14:paraId="0000001E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yp9g5h5v50pr" w:id="2"/>
      <w:bookmarkEnd w:id="2"/>
      <w:sdt>
        <w:sdtPr>
          <w:id w:val="-176060554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2. 인코텀즈(Incoterms® 2020)의 위험 이전 규정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71568541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정의 및 성격:</w:t>
          </w:r>
        </w:sdtContent>
      </w:sdt>
      <w:sdt>
        <w:sdtPr>
          <w:id w:val="40770874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물품의 멸실 또는 손상의 위험이 매도인으로부터 매수인에게 이전되는 시점과 장소를 규정한 정형거래규칙임.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48468352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조건별 위험 이전 (A3/B3):</w:t>
          </w:r>
        </w:sdtContent>
      </w:sdt>
      <w:sdt>
        <w:sdtPr>
          <w:id w:val="124335891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각 11가지 규칙별로 </w:t>
          </w:r>
        </w:sdtContent>
      </w:sdt>
      <w:sdt>
        <w:sdtPr>
          <w:id w:val="98673155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A3(매도인의 위험 이전)</w:t>
          </w:r>
        </w:sdtContent>
      </w:sdt>
      <w:sdt>
        <w:sdtPr>
          <w:id w:val="196491791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및 </w:t>
          </w:r>
        </w:sdtContent>
      </w:sdt>
      <w:sdt>
        <w:sdtPr>
          <w:id w:val="186826654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B3(매수인의 위험 인수)</w:t>
          </w:r>
        </w:sdtContent>
      </w:sdt>
      <w:sdt>
        <w:sdtPr>
          <w:id w:val="-183905430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조항을 두어 시기를 명시함. (※ 과거 버전의 A5/B5에서 조항 순서가 변경됨)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65641450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인도와 위험의 관계:</w:t>
          </w:r>
        </w:sdtContent>
      </w:sdt>
      <w:sdt>
        <w:sdtPr>
          <w:id w:val="-137135260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대부분의 조건에서 **인도(Delivery, A2)**가 완료되는 시점에 위험이 매수인에게 이전됨.</w:t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7328799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E, F, C 규칙:</w:t>
          </w:r>
        </w:sdtContent>
      </w:sdt>
      <w:sdt>
        <w:sdtPr>
          <w:id w:val="123514053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수출국 측 인도 시점에서 위험 이전(선적지 인도 조건).</w:t>
          </w:r>
        </w:sdtContent>
      </w:sdt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7460890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 규칙:</w:t>
          </w:r>
        </w:sdtContent>
      </w:sdt>
      <w:sdt>
        <w:sdtPr>
          <w:id w:val="17851171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목적지 인도 시점에서 위험 이전(도착지 인도 조건).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35942591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통지의무 불이행에 따른 위험 이전:</w:t>
          </w:r>
        </w:sdtContent>
      </w:sdt>
      <w:sdt>
        <w:sdtPr>
          <w:id w:val="207707825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매수인이 인도 시기나 장소를 결정할 권리가 있음에도 통지(B10)를 하지 않은 경우, 약정된 기일이나 기간 만료일에 위험이 조기 이전될 수 있음.</w:t>
          </w:r>
        </w:sdtContent>
      </w:sdt>
    </w:p>
    <w:p w:rsidR="00000000" w:rsidDel="00000000" w:rsidP="00000000" w:rsidRDefault="00000000" w:rsidRPr="00000000" w14:paraId="00000026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rme4wducgi74" w:id="3"/>
      <w:bookmarkEnd w:id="3"/>
      <w:sdt>
        <w:sdtPr>
          <w:id w:val="-118483305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3. 비엔나 협약(CISG)과 인코텀즈의 비교</w:t>
          </w:r>
        </w:sdtContent>
      </w:sdt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1.4606236819448"/>
        <w:gridCol w:w="4353.033430250696"/>
        <w:gridCol w:w="3881.017757090982"/>
        <w:tblGridChange w:id="0">
          <w:tblGrid>
            <w:gridCol w:w="791.4606236819448"/>
            <w:gridCol w:w="4353.033430250696"/>
            <w:gridCol w:w="3881.01775709098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74370142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비교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19231670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비엔나 협약 (CISG)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554854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인코텀즈 (Incoterms® 2020)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mo" w:cs="Arimo" w:eastAsia="Arimo" w:hAnsi="Arimo"/>
              </w:rPr>
            </w:pPr>
            <w:sdt>
              <w:sdtPr>
                <w:id w:val="102924322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법적 성질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mo" w:cs="Arimo" w:eastAsia="Arimo" w:hAnsi="Arimo"/>
              </w:rPr>
            </w:pPr>
            <w:sdt>
              <w:sdtPr>
                <w:id w:val="140560862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국제 협약 (International Convention)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mo" w:cs="Arimo" w:eastAsia="Arimo" w:hAnsi="Arimo"/>
              </w:rPr>
            </w:pPr>
            <w:sdt>
              <w:sdtPr>
                <w:id w:val="-23776267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정형거래규칙 (Trade Terms/Usages)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mo" w:cs="Arimo" w:eastAsia="Arimo" w:hAnsi="Arimo"/>
              </w:rPr>
            </w:pPr>
            <w:sdt>
              <w:sdtPr>
                <w:id w:val="68812992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적용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mo" w:cs="Arimo" w:eastAsia="Arimo" w:hAnsi="Arimo"/>
              </w:rPr>
            </w:pPr>
            <w:sdt>
              <w:sdtPr>
                <w:id w:val="34905151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체약국 간 거래 시 자동 적용 (임의법규성)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mo" w:cs="Arimo" w:eastAsia="Arimo" w:hAnsi="Arimo"/>
              </w:rPr>
            </w:pPr>
            <w:sdt>
              <w:sdtPr>
                <w:id w:val="-192079444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당사자의 명시적 합의 시 적용 (계약조건)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mo" w:cs="Arimo" w:eastAsia="Arimo" w:hAnsi="Arimo"/>
              </w:rPr>
            </w:pPr>
            <w:sdt>
              <w:sdtPr>
                <w:id w:val="99100761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mo" w:cs="Arimo" w:eastAsia="Arimo" w:hAnsi="Arimo"/>
              </w:rPr>
            </w:pPr>
            <w:sdt>
              <w:sdtPr>
                <w:id w:val="-112452032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인코텀즈와 상충 시 당사자 자치 원칙(제6조)에 따라 인코텀즈가 우선함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mo" w:cs="Arimo" w:eastAsia="Arimo" w:hAnsi="Arimo"/>
              </w:rPr>
            </w:pPr>
            <w:sdt>
              <w:sdtPr>
                <w:id w:val="189378146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계약서에 명시된 경우 CISG의 관련 규정을 대체 또는 수정함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mo" w:cs="Arimo" w:eastAsia="Arimo" w:hAnsi="Arimo"/>
              </w:rPr>
            </w:pPr>
            <w:sdt>
              <w:sdtPr>
                <w:id w:val="38389471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적용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mo" w:cs="Arimo" w:eastAsia="Arimo" w:hAnsi="Arimo"/>
              </w:rPr>
            </w:pPr>
            <w:sdt>
              <w:sdtPr>
                <w:id w:val="106519541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원칙적으로 '국제' 물품매매계약에만 적용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mo" w:cs="Arimo" w:eastAsia="Arimo" w:hAnsi="Arimo"/>
              </w:rPr>
            </w:pPr>
            <w:sdt>
              <w:sdtPr>
                <w:id w:val="182317724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'국제' 거래뿐만 아니라 '국내' 거래에도 명시적 적용 가능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mo" w:cs="Arimo" w:eastAsia="Arimo" w:hAnsi="Arimo"/>
              </w:rPr>
            </w:pPr>
            <w:sdt>
              <w:sdtPr>
                <w:id w:val="13191227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위험 이전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mo" w:cs="Arimo" w:eastAsia="Arimo" w:hAnsi="Arimo"/>
              </w:rPr>
            </w:pPr>
            <w:sdt>
              <w:sdtPr>
                <w:id w:val="191127623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운송, 운송 중 매각 등 상황별 포괄적 원칙 제시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mo" w:cs="Arimo" w:eastAsia="Arimo" w:hAnsi="Arimo"/>
              </w:rPr>
            </w:pPr>
            <w:sdt>
              <w:sdtPr>
                <w:id w:val="-88120761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11가지 조건별로 위험 이전 시점을 매우 구체적으로 확정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mo" w:cs="Arimo" w:eastAsia="Arimo" w:hAnsi="Arimo"/>
              </w:rPr>
            </w:pPr>
            <w:sdt>
              <w:sdtPr>
                <w:id w:val="-195152799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물권 변동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mo" w:cs="Arimo" w:eastAsia="Arimo" w:hAnsi="Arimo"/>
              </w:rPr>
            </w:pPr>
            <w:sdt>
              <w:sdtPr>
                <w:id w:val="-94595149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물품의 소유권(Property) 이전 문제는 다루지 않음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mo" w:cs="Arimo" w:eastAsia="Arimo" w:hAnsi="Arimo"/>
              </w:rPr>
            </w:pPr>
            <w:sdt>
              <w:sdtPr>
                <w:id w:val="-212359339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물품의 소유권/타이틀 이전 문제는 다루지 않음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Arimo" w:cs="Arimo" w:eastAsia="Arimo" w:hAnsi="Arimo"/>
        </w:rPr>
      </w:pPr>
      <w:sdt>
        <w:sdtPr>
          <w:id w:val="160470342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요약:</w:t>
          </w:r>
        </w:sdtContent>
      </w:sdt>
      <w:sdt>
        <w:sdtPr>
          <w:id w:val="60295655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CISG는 계약 전반을 규율하는 법적 토대를 제공하고, 인코텀즈는 그 중 위험과 비용의 이전이라는 실무적 상세 내용을 보완하는 관계입니다. 인코텀즈를 계약에 포함하면 CISG의 해당 규정보다 우선하여 적용됩니다.</w:t>
          </w:r>
        </w:sdtContent>
      </w:sdt>
    </w:p>
    <w:p w:rsidR="00000000" w:rsidDel="00000000" w:rsidP="00000000" w:rsidRDefault="00000000" w:rsidRPr="00000000" w14:paraId="0000003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sdt>
        <w:sdtPr>
          <w:id w:val="82368249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28802869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(법적 적용의 명확화) 계약서 작성 시 위험 이전에 대해 CISG의 임의규정보다 세부적인 Incoterms 조건을 명시적으로 편입해야 분쟁 발생 시 예측 가능성을 높일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164425813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(규정의 보완적 활용) Incoterms는 위험과 비용, 인도 조건만 규율하고 소유권의 이전이나 계약 위반의 구제는 다루지 않으므로, CISG와 상호 보완적인 관계로 적용해야 함을 유의해야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Arimo" w:cs="Arimo" w:eastAsia="Arimo" w:hAnsi="Arimo"/>
        </w:rPr>
      </w:pPr>
      <w:bookmarkStart w:colFirst="0" w:colLast="0" w:name="_heading=h.m91fli3q69x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dh2w53u8xsib" w:id="5"/>
      <w:bookmarkEnd w:id="5"/>
      <w:sdt>
        <w:sdtPr>
          <w:id w:val="170339775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\[문제2-물음1\]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sdt>
        <w:sdtPr>
          <w:id w:val="200977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153718982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외국환거래법령상 '외국환거래의 정지 등'을 다루고 있는 규정을 조치의 대상, 관련 사항의 고시, 적용기간, 적용의 제한 등으로 나누어서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sdt>
        <w:sdtPr>
          <w:id w:val="120382043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22305468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외국환거래법상 긴급상황 발생 시 발동되는 '외국환거래의 정지 등' 조치(세이프가드)의 대상, 절차(고시), 기간(6개월 이내), 외국인투자 예외 규정을 정확히 숙지해야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sdt>
        <w:sdtPr>
          <w:id w:val="127076381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71765382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조치의 대상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60445160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(대상 요건) </w:t>
          </w:r>
        </w:sdtContent>
      </w:sdt>
      <w:sdt>
        <w:sdtPr>
          <w:id w:val="-168099714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외국환거래법 제6조</w:t>
          </w:r>
        </w:sdtContent>
      </w:sdt>
      <w:sdt>
        <w:sdtPr>
          <w:id w:val="-112732466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천재지변, 전시, 사변, 국내외 경제 사정의 중대하고 급격한 변동 등 기획재정부장관(현 재정경제부장관)이 인정하는 사유가 발생한 때, 지급 또는 수령의 일시 정지나 자본거래의 제한, 예치 등의 조치를 취할 수 있습니다,.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137921696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관련 사항의 고시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1818171112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(고시 항목) \*\*동법 시행령 제11조(관련 규정)\*\*에 따라 조치를 하거나 변경하는 경우 조치의 대상 범위, 정지 기간, 예치 비율 등을 지체 없이 고시하여야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49469705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(긴급 조치) 긴급한 사유로 고시할 여유가 없는 경우에는 즉시 조치를 시행한 후 지체 없이 고시하며, 조치를 해제하는 경우에도 동일하게 고시해야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779549992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적용기간 및 적용의 제한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156476605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(적용기간) 특별한 사유가 없으면 </w:t>
          </w:r>
        </w:sdtContent>
      </w:sdt>
      <w:sdt>
        <w:sdtPr>
          <w:id w:val="16447409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6개월의 범위</w:t>
          </w:r>
        </w:sdtContent>
      </w:sdt>
      <w:sdt>
        <w:sdtPr>
          <w:id w:val="-73926150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내에서 조치할 수 있으며, 조치 사유가 소멸한 경우에는 즉시 조치를 해제하여야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171614583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(적용 제한) 외국인 투자 보호를 위하여 </w:t>
          </w:r>
        </w:sdtContent>
      </w:sdt>
      <w:sdt>
        <w:sdtPr>
          <w:id w:val="-1904067000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외국인투자에 대해서는 해당 조치를 적용하지 않는다</w:t>
          </w:r>
        </w:sdtContent>
      </w:sdt>
      <w:sdt>
        <w:sdtPr>
          <w:id w:val="33502663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는 제한 규정이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sdt>
        <w:sdtPr>
          <w:id w:val="120322630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456218018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(비상위험 관리) 환율 급변이나 국가 비상사태 시 정부의 세이프가드 발동이 자사 결제 대금 회수 및 송금에 미칠 직접적 영향을 실무자가 신속히 파악해야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33163240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(외국인투자 보호 확인) 외국인투자에 해당하는 자금은 예외적으로 보호되므로, 자금 동결 리스크 상황에서 거래의 법적 성격을 구별하여 대처하는 것이 중요합니다.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eading=h.88ni1ct06ai1" w:id="6"/>
      <w:bookmarkEnd w:id="6"/>
      <w:sdt>
        <w:sdtPr>
          <w:id w:val="-24152011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\[문제3-물음1\]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sdt>
        <w:sdtPr>
          <w:id w:val="69073358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-1937094713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해상보험에서 적용되는 위부(Abandonment)와 대위(Subrogation)의 개념과 차이점을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sdt>
        <w:sdtPr>
          <w:id w:val="-28961828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44204332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해상보험 고유의 제도인 위부와 모든 손해보험의 기본 원칙인 대위의 개념을 명확히 구분하고, 적용 범위와 권리 이전 한도의 차이점을 파악해야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sdt>
        <w:sdtPr>
          <w:id w:val="-301373716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07295740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위부와 대위의 개념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70548436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(위부의 개념) \*\*위부(Abandonment)\*\*란 추정전손 발생 시 피보험자가 보험 목적물에 대해 갖는 모든 권리를 보험자에게 무조건 양도하고 보험금액 전액을 청구하는 제도를 말합니다.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24850574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(대위의 개념) \*\*대위(Subrogation)\*\*란 보험자가 보험사고로 인한 손해를 보상한 경우 피보험자가 목적물이나 제3자에 대해 갖는 권리를 보험금액 한도 내에서 승계하는 제도를 말합니다.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22347620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위부와 대위의 차이점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601728780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(적용 대상 보험 및 손해) 위부는 해상보험에서 전손(추정전손)의 경우에만 적용되나, 대위는 해상보험뿐만 아니라 모든 손해보험에서 전손 및 분손 모두에 적용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53878148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(보험자의 승낙 요부) 대위는 법률상 당연히 이전되는 권리이므로 보험자의 승낙을 요하지 않으나, 위부는 피보험자의 위부 통지에 대해 보험자의 명시적 승낙이 있어야 성립하며 거절할 수 있습니다,.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81805975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(권리 취득의 범위) 위부는 목적물의 잔존물 가치가 크더라도 보험자가 모든 소유권을 취득하지만, 대위는 보험자가 </w:t>
          </w:r>
        </w:sdtContent>
      </w:sdt>
      <w:sdt>
        <w:sdtPr>
          <w:id w:val="1860894716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지급한 보험금의 한도 내</w:t>
          </w:r>
        </w:sdtContent>
      </w:sdt>
      <w:sdt>
        <w:sdtPr>
          <w:id w:val="657669547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에서만 피보험자의 권리를 행사할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sdt>
        <w:sdtPr>
          <w:id w:val="1033874455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47789462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(잔존가치 리스크 판단) 실무상 위부 통지를 받은 보험자는 잔존물의 가치보다 구조 비용이나 제3자 손해배상 책임이 클 수 있으므로 승낙 여부를 매우 신중히 결정해야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162988752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(이중이득 방지) 대위는 피보험자가 보험금과 제3자 배상을 이중으로 수령하는 것을 방지하여, 실손보상 원칙을 지키는 데 핵심적인 역할을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eading=h.lwxqvydgwovi" w:id="7"/>
      <w:bookmarkEnd w:id="7"/>
      <w:sdt>
        <w:sdtPr>
          <w:id w:val="98540268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\[문제4-물음1\]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sdt>
        <w:sdtPr>
          <w:id w:val="-208604695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134584221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신용장통일규칙(UCP600) 제2조에 규정된 '지급이행(Honour)'의 의미를 적용 가능한 신용장과 연계하여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sdt>
        <w:sdtPr>
          <w:id w:val="-206266611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1716085093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제2조의 지급이행(Honour)의 개념은 일람지급, 연지급, 인수를 포함하는 개설은행 및 확인은행의 본질적 의무이며, 지정은행의 행위인 '매입(Negotiation)'과는 명확히 구분되어야 함을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sdt>
        <w:sdtPr>
          <w:id w:val="75445280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85474712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지급이행(Honour)의 개념과 적용 신용장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-44283374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(일람지급 신용장) </w:t>
          </w:r>
        </w:sdtContent>
      </w:sdt>
      <w:sdt>
        <w:sdtPr>
          <w:id w:val="9084597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UCP 600 제2조</w:t>
          </w:r>
        </w:sdtContent>
      </w:sdt>
      <w:sdt>
        <w:sdtPr>
          <w:id w:val="283303292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신용장이 일람지급(Sight Payment) 조건으로 발행된 경우, 일치하는 서류의 일람 시 즉시 결제 대금을 지급하는 것을 의미합니다.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-1032001813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(연지급 신용장) 신용장이 연지급(Deferred Payment) 조건으로 발행된 경우, 연지급 확약을 하고 지정된 만기일에 대금을 지급하는 것을 의미합니다,.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185145707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(인수 신용장) 신용장이 인수(Acceptance) 조건으로 발행된 경우, 수익자가 발행한 환어음을 인수하고 만기일에 대금을 지급하는 것을 의미합니다,.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105745598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지급이행과 매입의 구별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328542727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(매입의 배제) 지급이행(Honour)은 대금을 최종적으로 결제하는 행위이므로, 환어음이나 서류를 할인하여 대가를 미리 지급하는 양수 행위인 </w:t>
          </w:r>
        </w:sdtContent>
      </w:sdt>
      <w:sdt>
        <w:sdtPr>
          <w:id w:val="67746359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매입(Negotiation)은 포함되지 않습니다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sdt>
        <w:sdtPr>
          <w:id w:val="-1320124640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155102322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(은행 의무의 명확한 구분) 실무자는 개설은행 및 확인은행의 궁극적 결제 의무인 지급이행(Honour)과 지정은행의 자금 융통 권한인 매입(Negotiation)을 엄격히 구별하여 대금 회수 조건을 협상해야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109883678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(환어음 발행 여부) 연지급은 환어음 발행을 요구하지 않는 반면, 인수는 환어음을 반드시 발행해야 하므로 결제 방식 선택에 따른 서류 준비에 각별히 주의해야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eading=h.642ozuiu13m5" w:id="8"/>
      <w:bookmarkEnd w:id="8"/>
      <w:sdt>
        <w:sdtPr>
          <w:id w:val="895027760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\[문제5-물음1\]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sdt>
        <w:sdtPr>
          <w:id w:val="25388089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-84193969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대외무역법령상 특정거래 형태의 수출입의 종류와 내용을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sdt>
        <w:sdtPr>
          <w:id w:val="201432566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-205379748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대외무역법령에 따라 정상적 거래 관행을 벗어나 대금결제 확인이 어렵거나 무환으로 이루어지는 등 관리가 필요한 '특정거래 형태'의 개념과 대표적 종류를 이해해야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sdt>
        <w:sdtPr>
          <w:id w:val="-92689498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183698716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특정거래 형태의 인정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84071448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(인정 요건) </w:t>
          </w:r>
        </w:sdtContent>
      </w:sdt>
      <w:sdt>
        <w:sdtPr>
          <w:id w:val="108148128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대외무역법 시행령 제20조 제1항</w:t>
          </w:r>
        </w:sdtContent>
      </w:sdt>
      <w:sdt>
        <w:sdtPr>
          <w:id w:val="-2038268602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수출입 제한 회피 우려, 산업 보호 지장 초래 우려, 대금결제 확인 곤란, 대금 결제 없는 물품 이동 중 어느 하나에 해당하는 거래로서 산업통상부장관이 고시하는 형태를 말합니다,.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386468047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특정거래 형태의 주요 종류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035036873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(위탁 및 수탁 판매 수출입) 물품을 대금 결제 없이(무환으로) 수출(수입)하여 해당 국가에서 물품이 판매된 범위 내에서만 대금을 결제받는(하는) 형태의 수출입입니다.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704822362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(위탁 및 수탁 가공 무역) 가공임 지급을 조건으로 외국으로 원자재의 전부나 일부를 거래 상대방에게 수출(수입)하고 이를 가공 후 결제받는(하는) 형태의 수출입입니다.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164777883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(중계무역 및 연계무역 등) 수출을 목적으로 물품을 수입하여 가공 없이 그대로 수출하는 중계무역, 구상무역 등 수출입이 연계된 물물교환 형태인 연계무역 등이 포함됩니다.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sdt>
        <w:sdtPr>
          <w:id w:val="-1984171327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83073575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(사전 행정요건 확인) 특정거래 형태는 무역 거래의 유연성을 주지만 국가 간 자본 유출입 우려로 인해 사전 수출입 인정이나 면제 요건을 꼼꼼히 확인해야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-78073179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(외국환거래법령과의 조화) 대금 결제 없이 물품이 이동하거나 제3국에서 결제가 이루어지는 등 결제 방식이 특수하므로, 제3자 지급이나 상계 등 외국환거래 신고 절차를 누락하지 않아야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eading=h.fzl7cclg9o6c" w:id="9"/>
      <w:bookmarkEnd w:id="9"/>
      <w:sdt>
        <w:sdtPr>
          <w:id w:val="-385517430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\[문제6-물음1\]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sdt>
        <w:sdtPr>
          <w:id w:val="-1342141180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-603767838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무역계약의 수량조건 중 과부족용인조항(M/L Clause)의 개념과 그에 대한 신용장통일규칙(UCP600)상의 해석기준을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sdt>
        <w:sdtPr>
          <w:id w:val="88683924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726401027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무역계약상 발생할 수 있는 자연적 수량 차이를 용인하는 M/L 조항의 의의와, UCP 600 제30조에서 규정한 약/대략 표현(10% 과부족) 및 산적화물(5% 과부족)의 허용 기준을 숙지해야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sdt>
        <w:sdtPr>
          <w:id w:val="7174667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029659323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과부족용인조항(M/L Clause)의 개념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355326504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(개념) \*\*과부족용인조항(More or Less Clause)\*\*이란 약정 물품의 수량에 대해 일정한 과부족의 허용 한도를 미리 정해두고, 그 범위 내에서 상품을 인도할 경우 계약 위반으로 보지 않아 클레임을 제기하지 않는 조항을 말합니다.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376122659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600상의 해석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2144813184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(약/대략 표시의 해석) </w:t>
          </w:r>
        </w:sdtContent>
      </w:sdt>
      <w:sdt>
        <w:sdtPr>
          <w:id w:val="205520625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UCP 600 제30조 a항</w:t>
          </w:r>
        </w:sdtContent>
      </w:sdt>
      <w:sdt>
        <w:sdtPr>
          <w:id w:val="-152750644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신용장의 금액, 수량 또는 단가와 관련하여 "about" 또는 "approximately"라는 단어가 사용된 경우, 명시된 수치의 </w:t>
          </w:r>
        </w:sdtContent>
      </w:sdt>
      <w:sdt>
        <w:sdtPr>
          <w:id w:val="-1322338315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10%를 초과하지 않는 과부족</w:t>
          </w:r>
        </w:sdtContent>
      </w:sdt>
      <w:sdt>
        <w:sdtPr>
          <w:id w:val="-998383294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허용하는 것으로 해석합니다.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7371109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(포장단위가 없는 산적화물의 허용 한도) </w:t>
          </w:r>
        </w:sdtContent>
      </w:sdt>
      <w:sdt>
        <w:sdtPr>
          <w:id w:val="185429127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UCP 600 제30조 b항</w:t>
          </w:r>
        </w:sdtContent>
      </w:sdt>
      <w:sdt>
        <w:sdtPr>
          <w:id w:val="-542258459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곡물, 원유 등 수량이 개별 포장 단위로 명기되지 않은 비포장 산물(Bulk Cargo)의 경우에는 금지 문구가 없는 한 수량의 </w:t>
          </w:r>
        </w:sdtContent>
      </w:sdt>
      <w:sdt>
        <w:sdtPr>
          <w:id w:val="-1596351402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5%를 초과하지 않는 과부족</w:t>
          </w:r>
        </w:sdtContent>
      </w:sdt>
      <w:sdt>
        <w:sdtPr>
          <w:id w:val="155751214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허용됩니다,,.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842263234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(어음 발행의 한도) 단, 과부족이 허용되어 수량을 초과하여 선적하더라도 전체 환어음의 발행 금액은 </w:t>
          </w:r>
        </w:sdtContent>
      </w:sdt>
      <w:sdt>
        <w:sdtPr>
          <w:id w:val="-56762426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신용장의 총 금액을 초과하여서는 안 됩니다</w:t>
          </w:r>
        </w:sdtContent>
      </w:sdt>
      <w:r w:rsidDel="00000000" w:rsidR="00000000" w:rsidRPr="00000000">
        <w:rPr>
          <w:rtl w:val="0"/>
        </w:rPr>
        <w:t xml:space="preserve">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sdt>
        <w:sdtPr>
          <w:id w:val="1650043789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\[참고\]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814634368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(신용장 금액 잔액 관리) 물량이 5% 또는 10% 초과 선적되더라도 대금 청구액이 신용장 금액을 초과하면 은행의 지급 거절(하자) 사유가 되므로, 선적 전 단가와 총 금액을 철저히 계산해야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612036476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(비신용장 거래 유의) 송금 방식(T/T) 등 UCP 600이 적용되지 않는 조건에서는 M/L 조항의 효력이 자동 발생하지 않으므로, 당사자 간 매매계약서에 명시적인 허용 한도와 정산 방법을 기재해야 분쟁을 막을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57dNEsCmUbaFpb/wG/ynLElyf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yDmguZXYxOXZ0aHo2MGM2Mg5oLnlnNXdteHphYWNtczIOaC55cDlnNWg1djUwcHIyDmgucm1lNHdkdWNnaTc0Mg5oLm05MWZsaTNxNjl4NTIOaC5kaDJ3NTN1OHhzaWIyDmguODhuaTFjdDA2YWkxMg5oLmx3eHF2eWRnd292aTIOaC42NDJvenVpdTEzbTUyDmguZnpsN2NjbGc5bzZjOAByITEzQ25KOWJqN210ZVlmSk5JRlR2RDhFTzVtMGp3VUFy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