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요청하신 대로 **1번 목차(국제물품매매계약의 성립 및 조건 확정)**를 추가 하위 단계(최대 5단계)까지 세분화하여, 모든 최하위 노드에 해당 국제 규범(CISG 및 Incoterms® 2020)의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근거 조문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명시한 판단 절차도를 구성해 드립니다.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t2zbaycqlm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국제물품매매계약의 성립 및 조건 확정 (CISG, Incoterms® 2020)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1.1. 국제물품매매계약의 성립 절차 (CISG 제2편)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1.1.1. 청약(Offer)의 요건 및 효력 관리 (CISG 제14조~제17조)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1.1.1.1. 청약의 확정성 및 구속 의무 판단 (CISG 제14조)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1.1.1.1.1. 특정인에 대한 도달 및 계약 체결 시 구속된다는 의사 표시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제14조 제1항)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1.1.1.1.2. 물품의 명시 및 수량·가격을 명시적/묵시적으로 결정하는 조항 포함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제14조 제1항)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1.1.1.1.3. 불특정 다수 대상 제의 시 청약의 유인(Invitation to make offers) 간주 원칙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제14조 제2항)</w:t>
      </w:r>
      <w:r w:rsidDel="00000000" w:rsidR="00000000" w:rsidRPr="00000000">
        <w:rPr>
          <w:rtl w:val="0"/>
        </w:rPr>
        <w:t xml:space="preserve"> 1, 3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1.1.1.2. 청약의 효력 발생 및 철회·취소 (CISG 제15조, 제16조)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1.1.1.2.1. 도달주의 원칙에 따른 청약의 효력 발생 시점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제15조 제1항)</w:t>
      </w:r>
      <w:r w:rsidDel="00000000" w:rsidR="00000000" w:rsidRPr="00000000">
        <w:rPr>
          <w:rtl w:val="0"/>
        </w:rPr>
        <w:t xml:space="preserve"> 1, 3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1.1.1.2.2. 효력 발생 전 또는 동시 도달에 의한 청약의 철회(Withdrawal) 가능성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제15조 제2항)</w:t>
      </w:r>
      <w:r w:rsidDel="00000000" w:rsidR="00000000" w:rsidRPr="00000000">
        <w:rPr>
          <w:rtl w:val="0"/>
        </w:rPr>
        <w:t xml:space="preserve"> 3, 4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1.1.1.2.3. 승낙 발송 전 취소 통지 도달에 의한 청약의 취소(Revocation) 원칙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제16조 제1항)</w:t>
      </w:r>
      <w:r w:rsidDel="00000000" w:rsidR="00000000" w:rsidRPr="00000000">
        <w:rPr>
          <w:rtl w:val="0"/>
        </w:rPr>
        <w:t xml:space="preserve"> 3, 5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1.1.1.2.4. 취소불능(Irrevocable) 청약의 예외 사유(승낙기간 지정 또는 합리적 신뢰)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제16조 제2항)</w:t>
      </w:r>
      <w:r w:rsidDel="00000000" w:rsidR="00000000" w:rsidRPr="00000000">
        <w:rPr>
          <w:rtl w:val="0"/>
        </w:rPr>
        <w:t xml:space="preserve"> 5, 6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1.1.2. 승낙(Acceptance)의 의사표시 및 효력 발생 (CISG 제18조~제22조)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1.1.2.1. 승낙의 방법 및 시기 판단 (CISG 제18조)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1.1.2.1.1. 동의의 의사표시 확인 및 침묵/부작위의 승낙 불인정 원칙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제18조 제1항)</w:t>
      </w:r>
      <w:r w:rsidDel="00000000" w:rsidR="00000000" w:rsidRPr="00000000">
        <w:rPr>
          <w:rtl w:val="0"/>
        </w:rPr>
        <w:t xml:space="preserve"> 6, 7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1.1.2.1.2. 지정된 기간 또는 합리적 기간 내 도달 시의 효력 발생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제18조 제2항)</w:t>
      </w:r>
      <w:r w:rsidDel="00000000" w:rsidR="00000000" w:rsidRPr="00000000">
        <w:rPr>
          <w:rtl w:val="0"/>
        </w:rPr>
        <w:t xml:space="preserve"> 6, 7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1.1.2.1.3. 관행이나 청약에 근거한 행위(물품 발송, 대금 지급 등)에 의한 승낙 인정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제18조 제3항)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1.1.2.2. 변경을 가한 승낙(반대청약)의 처리 (CISG 제19조)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1.1.2.2.1. 실질적 변경(가격, 결제, 품질 등) 포함 시 거절 및 반대청약 간주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제19조 제1항, 제3항)</w:t>
      </w:r>
      <w:r w:rsidDel="00000000" w:rsidR="00000000" w:rsidRPr="00000000">
        <w:rPr>
          <w:rtl w:val="0"/>
        </w:rPr>
        <w:t xml:space="preserve"> 9-11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1.1.2.2.2. 비실질적 변경 시 청약자의 지체 없는 이의 부재에 따른 계약 성립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제19조 제2항)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1.1.2.3. 지연된 승낙 및 승낙의 회수 (CISG 제21조, 제22조)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1.1.2.3.1. 지연된 승낙에 대한 청약자의 유효성 인정 통지 의무 점검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제21조 제1항)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1.1.2.3.2. 이례적 전달 상황에 따른 지연 시 청약자의 실효 통지 전까지 유효성 인정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제21조 제2항)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1.1.2.3.3. 승낙의 효력 발생 전 또는 동시 도달 시 승낙의 회수(Withdrawal) 인정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제22조)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1.2. 물품의 계약적합성 및 매도인의 의무 (CISG 제3편)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1.2.1. 물품의 수량·품질·포장 적합성 (CISG 제35조)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1.2.1.1. 명시적 계약 조건에 따른 적합성 확보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제35조 제1항)</w:t>
      </w:r>
      <w:r w:rsidDel="00000000" w:rsidR="00000000" w:rsidRPr="00000000">
        <w:rPr>
          <w:rtl w:val="0"/>
        </w:rPr>
        <w:t xml:space="preserve"> 13, 14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1.2.1.2. 별도 합의 부재 시의 묵시적 적합성 기준 판단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제35조 제2항)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1.2.1.2.1. 동일 명세 물품이 통상 사용되는 목적에의 적합성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제35조 제2항 a호)</w:t>
      </w:r>
      <w:r w:rsidDel="00000000" w:rsidR="00000000" w:rsidRPr="00000000">
        <w:rPr>
          <w:rtl w:val="0"/>
        </w:rPr>
        <w:t xml:space="preserve"> 14, 15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1.2.1.2.2. 매도인에게 알려진 특정 목적에의 적합성 및 매수인의 합리적 신뢰 여부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제35조 제2항 b호)</w:t>
      </w:r>
      <w:r w:rsidDel="00000000" w:rsidR="00000000" w:rsidRPr="00000000">
        <w:rPr>
          <w:rtl w:val="0"/>
        </w:rPr>
        <w:t xml:space="preserve"> 15, 16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1.2.1.2.3. 매도인이 제시한 견본(Sample) 또는 모델과의 일치성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제35조 제2항 c호)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1.2.1.2.4. 물품의 보존을 위한 통상적 또는 적절한 포장 방식의 사용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제35조 제2항 d호)</w:t>
      </w:r>
      <w:r w:rsidDel="00000000" w:rsidR="00000000" w:rsidRPr="00000000">
        <w:rPr>
          <w:rtl w:val="0"/>
        </w:rPr>
        <w:t xml:space="preserve"> 17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1.2.2. 물품의 검사 및 부적합 통지 의무 (CISG 제38조, 제39조)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1.2.2.1. 매수인의 물품 검증 시기 및 장소 확정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제38조)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1.2.2.2. 부적합 발견 후 합리적 기간 내의 통지 이행 여부 및 2년의 제척기간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(CISG 제39조)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1.3. Incoterms® 2020 규칙의 상세 적용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1.3.1. 물품의 인도 및 위험 이전의 확정 (Incoterms A2, A3)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1.3.1.1. 규칙별 인도의 완료 장소 및 시점(Delivery point) 확정 </w:t>
      </w:r>
      <w:r w:rsidDel="00000000" w:rsidR="00000000" w:rsidRPr="00000000">
        <w:rPr>
          <w:b w:val="1"/>
          <w:bCs w:val="1"/>
          <w:rtl w:val="0"/>
        </w:rPr>
        <w:t xml:space="preserve">(Incoterms A2)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1.3.1.1.1. 본선 적재(On board) 인도 규칙(FOB, CFR, CIF)의 적용 </w:t>
      </w:r>
      <w:r w:rsidDel="00000000" w:rsidR="00000000" w:rsidRPr="00000000">
        <w:rPr>
          <w:b w:val="1"/>
          <w:bCs w:val="1"/>
          <w:rtl w:val="0"/>
        </w:rPr>
        <w:t xml:space="preserve">(FOB/CFR/CIF A2)</w:t>
      </w:r>
      <w:r w:rsidDel="00000000" w:rsidR="00000000" w:rsidRPr="00000000">
        <w:rPr>
          <w:rtl w:val="0"/>
        </w:rPr>
        <w:t xml:space="preserve"> 19-22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1.3.1.1.2. 제1운송인에게의 교부 인도 규칙(FCA, CPT, CIP)의 적용 </w:t>
      </w:r>
      <w:r w:rsidDel="00000000" w:rsidR="00000000" w:rsidRPr="00000000">
        <w:rPr>
          <w:b w:val="1"/>
          <w:bCs w:val="1"/>
          <w:rtl w:val="0"/>
        </w:rPr>
        <w:t xml:space="preserve">(FCA/CPT/CIP A2)</w:t>
      </w:r>
      <w:r w:rsidDel="00000000" w:rsidR="00000000" w:rsidRPr="00000000">
        <w:rPr>
          <w:rtl w:val="0"/>
        </w:rPr>
        <w:t xml:space="preserve"> 19, 23-25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1.3.1.1.3. 도착지 양하 준비 상태의 인도 규칙(DAP, DDP) 및 양하 후 인도(DPU)의 적용 </w:t>
      </w:r>
      <w:r w:rsidDel="00000000" w:rsidR="00000000" w:rsidRPr="00000000">
        <w:rPr>
          <w:b w:val="1"/>
          <w:bCs w:val="1"/>
          <w:rtl w:val="0"/>
        </w:rPr>
        <w:t xml:space="preserve">(DAP/DDP/DPU A2)</w:t>
      </w:r>
      <w:r w:rsidDel="00000000" w:rsidR="00000000" w:rsidRPr="00000000">
        <w:rPr>
          <w:rtl w:val="0"/>
        </w:rPr>
        <w:t xml:space="preserve"> 26-29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1.3.1.2. 위험(Risk) 이전의 효력 발생 판단 </w:t>
      </w:r>
      <w:r w:rsidDel="00000000" w:rsidR="00000000" w:rsidRPr="00000000">
        <w:rPr>
          <w:b w:val="1"/>
          <w:bCs w:val="1"/>
          <w:rtl w:val="0"/>
        </w:rPr>
        <w:t xml:space="preserve">(Incoterms A3)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1.3.1.2.1. 인도 완료와 동시에 위험이 매수인에게 이전되는 원칙 확인 </w:t>
      </w:r>
      <w:r w:rsidDel="00000000" w:rsidR="00000000" w:rsidRPr="00000000">
        <w:rPr>
          <w:b w:val="1"/>
          <w:bCs w:val="1"/>
          <w:rtl w:val="0"/>
        </w:rPr>
        <w:t xml:space="preserve">(Incoterms A3)</w:t>
      </w:r>
      <w:r w:rsidDel="00000000" w:rsidR="00000000" w:rsidRPr="00000000">
        <w:rPr>
          <w:rtl w:val="0"/>
        </w:rPr>
        <w:t xml:space="preserve"> 300, 462~466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1.3.1.2.2. 화인 또는 통지 등을 통한 물품의 특정화(Identification)가 위험 이전의 선결 요건임을 확인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(Incoterms B3 공통)</w:t>
      </w:r>
      <w:r w:rsidDel="00000000" w:rsidR="00000000" w:rsidRPr="00000000">
        <w:rPr>
          <w:rtl w:val="0"/>
        </w:rPr>
        <w:t xml:space="preserve"> 42, 466~476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1.3.2. 운송 및 보험 계약 체결 의무 (Incoterms A4, A5)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1.3.2.1. 운송 계약 체결의 주체 및 비용 부담 판단 </w:t>
      </w:r>
      <w:r w:rsidDel="00000000" w:rsidR="00000000" w:rsidRPr="00000000">
        <w:rPr>
          <w:b w:val="1"/>
          <w:bCs w:val="1"/>
          <w:rtl w:val="0"/>
        </w:rPr>
        <w:t xml:space="preserve">(Incoterms A4)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1.3.2.1.1. 매도인의 주운송 계약 체결 의무 규칙(C 및 D그룹) 확인 </w:t>
      </w:r>
      <w:r w:rsidDel="00000000" w:rsidR="00000000" w:rsidRPr="00000000">
        <w:rPr>
          <w:b w:val="1"/>
          <w:bCs w:val="1"/>
          <w:rtl w:val="0"/>
        </w:rPr>
        <w:t xml:space="preserve">(Incoterms A4)</w:t>
      </w:r>
      <w:r w:rsidDel="00000000" w:rsidR="00000000" w:rsidRPr="00000000">
        <w:rPr>
          <w:rtl w:val="0"/>
        </w:rPr>
        <w:t xml:space="preserve"> 30, 31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1.3.2.1.2. 매수인의 주운송 계약 체결 의무 규칙(EXW 및 F그룹) 확인 </w:t>
      </w:r>
      <w:r w:rsidDel="00000000" w:rsidR="00000000" w:rsidRPr="00000000">
        <w:rPr>
          <w:b w:val="1"/>
          <w:bCs w:val="1"/>
          <w:rtl w:val="0"/>
        </w:rPr>
        <w:t xml:space="preserve">(Incoterms B4)</w:t>
      </w:r>
      <w:r w:rsidDel="00000000" w:rsidR="00000000" w:rsidRPr="00000000">
        <w:rPr>
          <w:rtl w:val="0"/>
        </w:rPr>
        <w:t xml:space="preserve"> 30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1.3.2.2. 보험 가입의 기본 의무 및 최소 담보 수준 설정 </w:t>
      </w:r>
      <w:r w:rsidDel="00000000" w:rsidR="00000000" w:rsidRPr="00000000">
        <w:rPr>
          <w:b w:val="1"/>
          <w:bCs w:val="1"/>
          <w:rtl w:val="0"/>
        </w:rPr>
        <w:t xml:space="preserve">(Incoterms A5)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1.3.2.2.1. CIF 규칙 적용 시 최소 담보(ICC C 조건 등) 부보 의무 </w:t>
      </w:r>
      <w:r w:rsidDel="00000000" w:rsidR="00000000" w:rsidRPr="00000000">
        <w:rPr>
          <w:b w:val="1"/>
          <w:bCs w:val="1"/>
          <w:rtl w:val="0"/>
        </w:rPr>
        <w:t xml:space="preserve">(CIF A5)</w:t>
      </w:r>
      <w:r w:rsidDel="00000000" w:rsidR="00000000" w:rsidRPr="00000000">
        <w:rPr>
          <w:rtl w:val="0"/>
        </w:rPr>
        <w:t xml:space="preserve"> 32, 33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1.3.2.2.2. CIP 규칙 적용 시 최대 담보(ICC A 조건 등) 부보 의무 </w:t>
      </w:r>
      <w:r w:rsidDel="00000000" w:rsidR="00000000" w:rsidRPr="00000000">
        <w:rPr>
          <w:b w:val="1"/>
          <w:bCs w:val="1"/>
          <w:rtl w:val="0"/>
        </w:rPr>
        <w:t xml:space="preserve">(CIP A5)</w:t>
      </w:r>
      <w:r w:rsidDel="00000000" w:rsidR="00000000" w:rsidRPr="00000000">
        <w:rPr>
          <w:rtl w:val="0"/>
        </w:rPr>
        <w:t xml:space="preserve"> 32, 34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1.3.3. 수출입 통관 의무 및 비용 분담 관리 (Incoterms A7, A9)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1.3.3.1. 수출입 국가별 통관 절차의 주체 확정 </w:t>
      </w:r>
      <w:r w:rsidDel="00000000" w:rsidR="00000000" w:rsidRPr="00000000">
        <w:rPr>
          <w:b w:val="1"/>
          <w:bCs w:val="1"/>
          <w:rtl w:val="0"/>
        </w:rPr>
        <w:t xml:space="preserve">(Incoterms A7, B7)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1.3.3.1.1. 수출 통관 의무(EXW 제외 모든 규칙에서 매도인 부담) </w:t>
      </w:r>
      <w:r w:rsidDel="00000000" w:rsidR="00000000" w:rsidRPr="00000000">
        <w:rPr>
          <w:b w:val="1"/>
          <w:bCs w:val="1"/>
          <w:rtl w:val="0"/>
        </w:rPr>
        <w:t xml:space="preserve">(Incoterms A7)</w:t>
      </w:r>
      <w:r w:rsidDel="00000000" w:rsidR="00000000" w:rsidRPr="00000000">
        <w:rPr>
          <w:rtl w:val="0"/>
        </w:rPr>
        <w:t xml:space="preserve"> 4, 502~506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1.3.3.1.2. 수입 통관 의무(DDP 제외 모든 규칙에서 매수인 부담) </w:t>
      </w:r>
      <w:r w:rsidDel="00000000" w:rsidR="00000000" w:rsidRPr="00000000">
        <w:rPr>
          <w:b w:val="1"/>
          <w:bCs w:val="1"/>
          <w:rtl w:val="0"/>
        </w:rPr>
        <w:t xml:space="preserve">(Incoterms B7)</w:t>
      </w:r>
      <w:r w:rsidDel="00000000" w:rsidR="00000000" w:rsidRPr="00000000">
        <w:rPr>
          <w:rtl w:val="0"/>
        </w:rPr>
        <w:t xml:space="preserve"> 4, 506~509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1.3.3.2. 당사자별 최종 비용 정산 범위 설정 </w:t>
      </w:r>
      <w:r w:rsidDel="00000000" w:rsidR="00000000" w:rsidRPr="00000000">
        <w:rPr>
          <w:b w:val="1"/>
          <w:bCs w:val="1"/>
          <w:rtl w:val="0"/>
        </w:rPr>
        <w:t xml:space="preserve">(Incoterms A9, B9)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1.3.3.2.1. 인도 시점까지의 모든 비용에 대한 매도인의 결제 의무 </w:t>
      </w:r>
      <w:r w:rsidDel="00000000" w:rsidR="00000000" w:rsidRPr="00000000">
        <w:rPr>
          <w:b w:val="1"/>
          <w:bCs w:val="1"/>
          <w:rtl w:val="0"/>
        </w:rPr>
        <w:t xml:space="preserve">(Incoterms A9)</w:t>
      </w:r>
      <w:r w:rsidDel="00000000" w:rsidR="00000000" w:rsidRPr="00000000">
        <w:rPr>
          <w:rtl w:val="0"/>
        </w:rPr>
        <w:t xml:space="preserve"> 121, 301, 521~533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1.3.3.2.2. 보안(Security) 관련 요건 충족에 따른 비용의 분담 확인 </w:t>
      </w:r>
      <w:r w:rsidDel="00000000" w:rsidR="00000000" w:rsidRPr="00000000">
        <w:rPr>
          <w:b w:val="1"/>
          <w:bCs w:val="1"/>
          <w:rtl w:val="0"/>
        </w:rPr>
        <w:t xml:space="preserve">(Incoterms A9/B9)</w:t>
      </w:r>
      <w:r w:rsidDel="00000000" w:rsidR="00000000" w:rsidRPr="00000000">
        <w:rPr>
          <w:rtl w:val="0"/>
        </w:rPr>
        <w:t xml:space="preserve"> 35, 36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이와 같이 세분화된 체계는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계약의 성립부터 물품의 세부 조건 확정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실무자가 각 단계에서 어떠한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국제법적 근거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바탕으로 의사결정을 내려야 하는지 명확히 보여줍니다.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