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350" w:type="dxa"/>
        <w:tblLayout w:type="fixed"/>
        <w:tblLook w:val="04A0" w:firstRow="1" w:lastRow="0" w:firstColumn="1" w:lastColumn="0" w:noHBand="0" w:noVBand="1"/>
      </w:tblPr>
      <w:tblGrid>
        <w:gridCol w:w="1071"/>
        <w:gridCol w:w="1174"/>
        <w:gridCol w:w="1980"/>
        <w:gridCol w:w="2430"/>
        <w:gridCol w:w="2695"/>
      </w:tblGrid>
      <w:tr w:rsidR="0041530B" w14:paraId="1F5CAE6D" w14:textId="0B0214C6" w:rsidTr="00242DA2">
        <w:tc>
          <w:tcPr>
            <w:tcW w:w="1071" w:type="dxa"/>
          </w:tcPr>
          <w:p w14:paraId="1731936F" w14:textId="43C6DC0F" w:rsidR="0041530B" w:rsidRDefault="0041530B">
            <w:r>
              <w:t>Variable</w:t>
            </w:r>
          </w:p>
        </w:tc>
        <w:tc>
          <w:tcPr>
            <w:tcW w:w="1174" w:type="dxa"/>
          </w:tcPr>
          <w:p w14:paraId="63F1D872" w14:textId="2A3D2724" w:rsidR="0041530B" w:rsidRDefault="0041530B">
            <w:r>
              <w:t>Original Variables Used in Estimation</w:t>
            </w:r>
          </w:p>
        </w:tc>
        <w:tc>
          <w:tcPr>
            <w:tcW w:w="1980" w:type="dxa"/>
          </w:tcPr>
          <w:p w14:paraId="5009866C" w14:textId="443A2EA3" w:rsidR="0041530B" w:rsidRDefault="0041530B">
            <w:r>
              <w:t>Final Equation(s)</w:t>
            </w:r>
          </w:p>
        </w:tc>
        <w:tc>
          <w:tcPr>
            <w:tcW w:w="2430" w:type="dxa"/>
          </w:tcPr>
          <w:p w14:paraId="1876C47D" w14:textId="5E7FCC1C" w:rsidR="0041530B" w:rsidRDefault="0041530B">
            <w:r>
              <w:t>Explanation</w:t>
            </w:r>
          </w:p>
        </w:tc>
        <w:tc>
          <w:tcPr>
            <w:tcW w:w="2695" w:type="dxa"/>
          </w:tcPr>
          <w:p w14:paraId="69E3AA26" w14:textId="5CCF7222" w:rsidR="0041530B" w:rsidRDefault="0041530B">
            <w:r>
              <w:t>Reference</w:t>
            </w:r>
            <w:r w:rsidR="002147AE">
              <w:t>(s)</w:t>
            </w:r>
          </w:p>
        </w:tc>
      </w:tr>
      <w:tr w:rsidR="0041530B" w14:paraId="548BB4BF" w14:textId="76D4DEE1" w:rsidTr="00242DA2">
        <w:tc>
          <w:tcPr>
            <w:tcW w:w="1071" w:type="dxa"/>
          </w:tcPr>
          <w:p w14:paraId="419C5C39" w14:textId="2F87969A" w:rsidR="0041530B" w:rsidRDefault="0041530B">
            <w:r>
              <w:t>Wet Bulb Temperature (Simple Calculation)</w:t>
            </w:r>
          </w:p>
        </w:tc>
        <w:tc>
          <w:tcPr>
            <w:tcW w:w="1174" w:type="dxa"/>
          </w:tcPr>
          <w:p w14:paraId="268ABB45" w14:textId="64677704" w:rsidR="0041530B" w:rsidRDefault="0041530B">
            <w:r>
              <w:t>T, RH</w:t>
            </w:r>
          </w:p>
        </w:tc>
        <w:tc>
          <w:tcPr>
            <w:tcW w:w="1980" w:type="dxa"/>
          </w:tcPr>
          <w:p w14:paraId="333F0143" w14:textId="0C8FBDFB" w:rsidR="0041530B" w:rsidRPr="003665C6" w:rsidRDefault="00180C4F" w:rsidP="00180C4F">
            <w:pPr>
              <w:rPr>
                <w:sz w:val="16"/>
                <w:szCs w:val="16"/>
              </w:rPr>
            </w:pPr>
            <w:r w:rsidRPr="003665C6">
              <w:rPr>
                <w:sz w:val="16"/>
                <w:szCs w:val="16"/>
              </w:rPr>
              <w:t>WBT = T *</w:t>
            </w:r>
            <w:r w:rsidRPr="003665C6">
              <w:rPr>
                <w:sz w:val="16"/>
                <w:szCs w:val="16"/>
              </w:rPr>
              <w:t xml:space="preserve"> </w:t>
            </w:r>
            <w:r w:rsidRPr="003665C6">
              <w:rPr>
                <w:sz w:val="16"/>
                <w:szCs w:val="16"/>
              </w:rPr>
              <w:t>arctan(0.151977 * (RH + 8.313659)**0.5) + arctan(T + RH) - arctan(RH - 1.676331) + 0.00391838 * RH**1.5 * arctan(0.023101 * RH) - 4.686035</w:t>
            </w:r>
          </w:p>
        </w:tc>
        <w:tc>
          <w:tcPr>
            <w:tcW w:w="2430" w:type="dxa"/>
          </w:tcPr>
          <w:p w14:paraId="13202DDA" w14:textId="44ED0702" w:rsidR="0041530B" w:rsidRDefault="0041530B">
            <w:r>
              <w:t>Simple empirical estimate of WBT.</w:t>
            </w:r>
          </w:p>
        </w:tc>
        <w:tc>
          <w:tcPr>
            <w:tcW w:w="2695" w:type="dxa"/>
          </w:tcPr>
          <w:p w14:paraId="5F7745D0" w14:textId="07E65254" w:rsidR="0041530B" w:rsidRDefault="00973EF9">
            <w:r w:rsidRPr="00973EF9">
              <w:t>https://www.nature.com/articles/s41597-021-01010-w</w:t>
            </w:r>
          </w:p>
        </w:tc>
      </w:tr>
      <w:tr w:rsidR="0041530B" w14:paraId="38EDFDC2" w14:textId="76D2E1E7" w:rsidTr="00242DA2">
        <w:tc>
          <w:tcPr>
            <w:tcW w:w="1071" w:type="dxa"/>
          </w:tcPr>
          <w:p w14:paraId="0EA1F834" w14:textId="55E5A3C0" w:rsidR="0041530B" w:rsidRDefault="0041530B">
            <w:r>
              <w:t>Psychrometer Wet Bulb Temperature</w:t>
            </w:r>
          </w:p>
        </w:tc>
        <w:tc>
          <w:tcPr>
            <w:tcW w:w="1174" w:type="dxa"/>
          </w:tcPr>
          <w:p w14:paraId="76BB9D2F" w14:textId="07845479" w:rsidR="0041530B" w:rsidRDefault="0041530B">
            <w:r>
              <w:t>T, RH</w:t>
            </w:r>
          </w:p>
        </w:tc>
        <w:tc>
          <w:tcPr>
            <w:tcW w:w="1980" w:type="dxa"/>
          </w:tcPr>
          <w:p w14:paraId="1F2CD0DB" w14:textId="0C193BA6" w:rsidR="001509AC" w:rsidRPr="003665C6" w:rsidRDefault="001509AC">
            <w:pPr>
              <w:rPr>
                <w:sz w:val="16"/>
                <w:szCs w:val="16"/>
              </w:rPr>
            </w:pPr>
            <w:proofErr w:type="spellStart"/>
            <w:r w:rsidRPr="003665C6">
              <w:rPr>
                <w:sz w:val="16"/>
                <w:szCs w:val="16"/>
              </w:rPr>
              <w:t>Tpwb</w:t>
            </w:r>
            <w:proofErr w:type="spellEnd"/>
            <w:r w:rsidRPr="003665C6">
              <w:rPr>
                <w:sz w:val="16"/>
                <w:szCs w:val="16"/>
              </w:rPr>
              <w:t>=0.376+5.79ea+(0.388−0.0465ea)T</w:t>
            </w:r>
          </w:p>
          <w:p w14:paraId="7C260B29" w14:textId="77777777" w:rsidR="001509AC" w:rsidRPr="003665C6" w:rsidRDefault="001509AC">
            <w:pPr>
              <w:rPr>
                <w:sz w:val="16"/>
                <w:szCs w:val="16"/>
              </w:rPr>
            </w:pPr>
          </w:p>
          <w:p w14:paraId="1689FA0E" w14:textId="276392EC" w:rsidR="001509AC" w:rsidRPr="003665C6" w:rsidRDefault="001509AC">
            <w:pPr>
              <w:rPr>
                <w:sz w:val="16"/>
                <w:szCs w:val="16"/>
              </w:rPr>
            </w:pPr>
            <w:r w:rsidRPr="003665C6">
              <w:rPr>
                <w:sz w:val="16"/>
                <w:szCs w:val="16"/>
              </w:rPr>
              <w:t xml:space="preserve">Where </w:t>
            </w:r>
            <w:proofErr w:type="spellStart"/>
            <w:r w:rsidRPr="003665C6">
              <w:rPr>
                <w:sz w:val="16"/>
                <w:szCs w:val="16"/>
              </w:rPr>
              <w:t>ea</w:t>
            </w:r>
            <w:proofErr w:type="spellEnd"/>
            <w:r w:rsidRPr="003665C6">
              <w:rPr>
                <w:sz w:val="16"/>
                <w:szCs w:val="16"/>
              </w:rPr>
              <w:t xml:space="preserve"> is ambient vapor pressure</w:t>
            </w:r>
            <w:r w:rsidR="00FC4D49" w:rsidRPr="003665C6">
              <w:rPr>
                <w:sz w:val="16"/>
                <w:szCs w:val="16"/>
              </w:rPr>
              <w:t xml:space="preserve"> (calculated from Ta and RH)</w:t>
            </w:r>
          </w:p>
        </w:tc>
        <w:tc>
          <w:tcPr>
            <w:tcW w:w="2430" w:type="dxa"/>
          </w:tcPr>
          <w:p w14:paraId="464AA6CE" w14:textId="50857C8A" w:rsidR="0041530B" w:rsidRDefault="0041530B">
            <w:r>
              <w:t>WBT that is “measured” by an instrument called a psychrometer but can be estimated.</w:t>
            </w:r>
          </w:p>
        </w:tc>
        <w:tc>
          <w:tcPr>
            <w:tcW w:w="2695" w:type="dxa"/>
          </w:tcPr>
          <w:p w14:paraId="133162D8" w14:textId="523B045F" w:rsidR="0041530B" w:rsidRDefault="00647B04">
            <w:r w:rsidRPr="00647B04">
              <w:t>https://www.ncbi.nlm.nih.gov/pmc/articles/PMC7240860/</w:t>
            </w:r>
          </w:p>
        </w:tc>
      </w:tr>
      <w:tr w:rsidR="0041530B" w14:paraId="2DAC154D" w14:textId="544CE66A" w:rsidTr="00242DA2">
        <w:tc>
          <w:tcPr>
            <w:tcW w:w="1071" w:type="dxa"/>
          </w:tcPr>
          <w:p w14:paraId="1D2CDBE9" w14:textId="5560BD93" w:rsidR="0041530B" w:rsidRDefault="0041530B">
            <w:r>
              <w:t>Natural Wet Bulb Temperature</w:t>
            </w:r>
          </w:p>
        </w:tc>
        <w:tc>
          <w:tcPr>
            <w:tcW w:w="1174" w:type="dxa"/>
          </w:tcPr>
          <w:p w14:paraId="5CFD4AB7" w14:textId="55B8713A" w:rsidR="0041530B" w:rsidRDefault="0041530B">
            <w:r>
              <w:t>T, RH, SR, V</w:t>
            </w:r>
          </w:p>
        </w:tc>
        <w:tc>
          <w:tcPr>
            <w:tcW w:w="1980" w:type="dxa"/>
          </w:tcPr>
          <w:p w14:paraId="0D551F9D" w14:textId="47A09B05" w:rsidR="00EC38FC" w:rsidRPr="00EC38FC" w:rsidRDefault="00EC38FC" w:rsidP="00EC38FC">
            <w:pPr>
              <w:rPr>
                <w:sz w:val="16"/>
                <w:szCs w:val="16"/>
              </w:rPr>
            </w:pPr>
            <w:proofErr w:type="spellStart"/>
            <w:r w:rsidRPr="00EC38FC">
              <w:rPr>
                <w:sz w:val="16"/>
                <w:szCs w:val="16"/>
              </w:rPr>
              <w:t>Tnwb</w:t>
            </w:r>
            <w:proofErr w:type="spellEnd"/>
            <w:r w:rsidRPr="00EC38FC">
              <w:rPr>
                <w:sz w:val="16"/>
                <w:szCs w:val="16"/>
              </w:rPr>
              <w:t>=T−C(Ta−</w:t>
            </w:r>
            <w:proofErr w:type="spellStart"/>
            <w:r w:rsidRPr="00EC38FC">
              <w:rPr>
                <w:sz w:val="16"/>
                <w:szCs w:val="16"/>
              </w:rPr>
              <w:t>Tpwb</w:t>
            </w:r>
            <w:proofErr w:type="spellEnd"/>
            <w:r w:rsidRPr="00EC38FC">
              <w:rPr>
                <w:sz w:val="16"/>
                <w:szCs w:val="16"/>
              </w:rPr>
              <w:t>)</w:t>
            </w:r>
          </w:p>
          <w:p w14:paraId="15AA7652" w14:textId="679D4EFA" w:rsidR="00EC38FC" w:rsidRPr="00EC38FC" w:rsidRDefault="00EC38FC" w:rsidP="00EC38FC">
            <w:pPr>
              <w:rPr>
                <w:sz w:val="16"/>
                <w:szCs w:val="16"/>
              </w:rPr>
            </w:pPr>
            <w:r w:rsidRPr="00EC38FC">
              <w:rPr>
                <w:sz w:val="16"/>
                <w:szCs w:val="16"/>
              </w:rPr>
              <w:t>C=0.85</w:t>
            </w:r>
            <w:r w:rsidR="00C73D0D" w:rsidRPr="003665C6">
              <w:rPr>
                <w:sz w:val="16"/>
                <w:szCs w:val="16"/>
              </w:rPr>
              <w:t xml:space="preserve"> </w:t>
            </w:r>
            <w:r w:rsidRPr="00EC38FC">
              <w:rPr>
                <w:sz w:val="16"/>
                <w:szCs w:val="16"/>
              </w:rPr>
              <w:t>for</w:t>
            </w:r>
            <w:r w:rsidR="00C73D0D" w:rsidRPr="003665C6">
              <w:rPr>
                <w:sz w:val="16"/>
                <w:szCs w:val="16"/>
              </w:rPr>
              <w:t xml:space="preserve"> </w:t>
            </w:r>
            <w:r w:rsidRPr="00EC38FC">
              <w:rPr>
                <w:sz w:val="16"/>
                <w:szCs w:val="16"/>
              </w:rPr>
              <w:t>V&lt;0.03ms,</w:t>
            </w:r>
          </w:p>
          <w:p w14:paraId="4789E8AD" w14:textId="2861B9A6" w:rsidR="00EC38FC" w:rsidRPr="00EC38FC" w:rsidRDefault="00EC38FC" w:rsidP="00EC38FC">
            <w:pPr>
              <w:rPr>
                <w:sz w:val="16"/>
                <w:szCs w:val="16"/>
              </w:rPr>
            </w:pPr>
            <w:r w:rsidRPr="00EC38FC">
              <w:rPr>
                <w:sz w:val="16"/>
                <w:szCs w:val="16"/>
              </w:rPr>
              <w:t>C=1.0</w:t>
            </w:r>
            <w:r w:rsidR="00C73D0D" w:rsidRPr="003665C6">
              <w:rPr>
                <w:sz w:val="16"/>
                <w:szCs w:val="16"/>
              </w:rPr>
              <w:t xml:space="preserve"> </w:t>
            </w:r>
            <w:r w:rsidRPr="00EC38FC">
              <w:rPr>
                <w:sz w:val="16"/>
                <w:szCs w:val="16"/>
              </w:rPr>
              <w:t>for</w:t>
            </w:r>
            <w:r w:rsidR="00C73D0D" w:rsidRPr="003665C6">
              <w:rPr>
                <w:sz w:val="16"/>
                <w:szCs w:val="16"/>
              </w:rPr>
              <w:t xml:space="preserve"> </w:t>
            </w:r>
            <w:r w:rsidRPr="00EC38FC">
              <w:rPr>
                <w:sz w:val="16"/>
                <w:szCs w:val="16"/>
              </w:rPr>
              <w:t>V&gt;3.0ms,</w:t>
            </w:r>
          </w:p>
          <w:p w14:paraId="10B01A3B" w14:textId="418450B6" w:rsidR="00EC38FC" w:rsidRPr="00EC38FC" w:rsidRDefault="00EC38FC" w:rsidP="00EC38FC">
            <w:pPr>
              <w:rPr>
                <w:sz w:val="16"/>
                <w:szCs w:val="16"/>
              </w:rPr>
            </w:pPr>
            <w:r w:rsidRPr="00EC38FC">
              <w:rPr>
                <w:sz w:val="16"/>
                <w:szCs w:val="16"/>
              </w:rPr>
              <w:t>C=0.96+0.069log10V</w:t>
            </w:r>
            <w:r w:rsidR="00C73D0D" w:rsidRPr="003665C6">
              <w:rPr>
                <w:sz w:val="16"/>
                <w:szCs w:val="16"/>
              </w:rPr>
              <w:t xml:space="preserve"> </w:t>
            </w:r>
            <w:r w:rsidRPr="00EC38FC">
              <w:rPr>
                <w:sz w:val="16"/>
                <w:szCs w:val="16"/>
              </w:rPr>
              <w:t>for</w:t>
            </w:r>
            <w:r w:rsidR="00FC4D49" w:rsidRPr="003665C6">
              <w:rPr>
                <w:sz w:val="16"/>
                <w:szCs w:val="16"/>
              </w:rPr>
              <w:t xml:space="preserve"> </w:t>
            </w:r>
            <w:r w:rsidRPr="00EC38FC">
              <w:rPr>
                <w:sz w:val="16"/>
                <w:szCs w:val="16"/>
              </w:rPr>
              <w:t>0.03≤V≤3.0ms.</w:t>
            </w:r>
          </w:p>
          <w:p w14:paraId="3B375688" w14:textId="77777777" w:rsidR="0041530B" w:rsidRPr="003665C6" w:rsidRDefault="0041530B">
            <w:pPr>
              <w:rPr>
                <w:sz w:val="16"/>
                <w:szCs w:val="16"/>
              </w:rPr>
            </w:pPr>
          </w:p>
          <w:p w14:paraId="67E232FF" w14:textId="75D00018" w:rsidR="00EC38FC" w:rsidRPr="003665C6" w:rsidRDefault="00EC38FC">
            <w:pPr>
              <w:rPr>
                <w:sz w:val="16"/>
                <w:szCs w:val="16"/>
              </w:rPr>
            </w:pPr>
            <w:r w:rsidRPr="003665C6">
              <w:rPr>
                <w:sz w:val="16"/>
                <w:szCs w:val="16"/>
              </w:rPr>
              <w:t xml:space="preserve">If </w:t>
            </w:r>
            <w:proofErr w:type="spellStart"/>
            <w:r w:rsidRPr="003665C6">
              <w:rPr>
                <w:sz w:val="16"/>
                <w:szCs w:val="16"/>
              </w:rPr>
              <w:t>Tg</w:t>
            </w:r>
            <w:proofErr w:type="spellEnd"/>
            <w:r w:rsidRPr="003665C6">
              <w:rPr>
                <w:sz w:val="16"/>
                <w:szCs w:val="16"/>
              </w:rPr>
              <w:t xml:space="preserve"> – T &gt;= 4,</w:t>
            </w:r>
          </w:p>
          <w:p w14:paraId="3B0B7935" w14:textId="2C3E870E" w:rsidR="00EC38FC" w:rsidRPr="00EC38FC" w:rsidRDefault="00EC38FC" w:rsidP="00EC38FC">
            <w:pPr>
              <w:rPr>
                <w:sz w:val="16"/>
                <w:szCs w:val="16"/>
              </w:rPr>
            </w:pPr>
            <w:proofErr w:type="spellStart"/>
            <w:r w:rsidRPr="00EC38FC">
              <w:rPr>
                <w:sz w:val="16"/>
                <w:szCs w:val="16"/>
              </w:rPr>
              <w:t>Tnwb</w:t>
            </w:r>
            <w:proofErr w:type="spellEnd"/>
            <w:r w:rsidRPr="00EC38FC">
              <w:rPr>
                <w:sz w:val="16"/>
                <w:szCs w:val="16"/>
              </w:rPr>
              <w:t>=Tpwb+0.25(</w:t>
            </w:r>
            <w:proofErr w:type="spellStart"/>
            <w:r w:rsidRPr="00EC38FC">
              <w:rPr>
                <w:sz w:val="16"/>
                <w:szCs w:val="16"/>
              </w:rPr>
              <w:t>Tg</w:t>
            </w:r>
            <w:proofErr w:type="spellEnd"/>
            <w:r w:rsidRPr="00EC38FC">
              <w:rPr>
                <w:sz w:val="16"/>
                <w:szCs w:val="16"/>
              </w:rPr>
              <w:t>−T)+e,</w:t>
            </w:r>
          </w:p>
          <w:p w14:paraId="4235A8B7" w14:textId="2587763D" w:rsidR="00EC38FC" w:rsidRPr="00EC38FC" w:rsidRDefault="00EC38FC" w:rsidP="00EC38FC">
            <w:pPr>
              <w:rPr>
                <w:sz w:val="16"/>
                <w:szCs w:val="16"/>
              </w:rPr>
            </w:pPr>
            <w:r w:rsidRPr="00EC38FC">
              <w:rPr>
                <w:sz w:val="16"/>
                <w:szCs w:val="16"/>
              </w:rPr>
              <w:t>e=1.1</w:t>
            </w:r>
            <w:r w:rsidR="001509AC" w:rsidRPr="003665C6">
              <w:rPr>
                <w:sz w:val="16"/>
                <w:szCs w:val="16"/>
              </w:rPr>
              <w:t xml:space="preserve"> </w:t>
            </w:r>
            <w:r w:rsidRPr="00EC38FC">
              <w:rPr>
                <w:sz w:val="16"/>
                <w:szCs w:val="16"/>
              </w:rPr>
              <w:t>for</w:t>
            </w:r>
            <w:r w:rsidR="001509AC" w:rsidRPr="003665C6">
              <w:rPr>
                <w:sz w:val="16"/>
                <w:szCs w:val="16"/>
              </w:rPr>
              <w:t xml:space="preserve"> </w:t>
            </w:r>
            <w:r w:rsidRPr="00EC38FC">
              <w:rPr>
                <w:sz w:val="16"/>
                <w:szCs w:val="16"/>
              </w:rPr>
              <w:t>V&lt;0.1ms,</w:t>
            </w:r>
          </w:p>
          <w:p w14:paraId="1F9652BE" w14:textId="33ABBD8F" w:rsidR="00EC38FC" w:rsidRPr="00EC38FC" w:rsidRDefault="00EC38FC" w:rsidP="00EC38FC">
            <w:pPr>
              <w:rPr>
                <w:sz w:val="16"/>
                <w:szCs w:val="16"/>
              </w:rPr>
            </w:pPr>
            <w:r w:rsidRPr="00EC38FC">
              <w:rPr>
                <w:sz w:val="16"/>
                <w:szCs w:val="16"/>
              </w:rPr>
              <w:t>e=−0.1</w:t>
            </w:r>
            <w:r w:rsidR="001509AC" w:rsidRPr="003665C6">
              <w:rPr>
                <w:sz w:val="16"/>
                <w:szCs w:val="16"/>
              </w:rPr>
              <w:t xml:space="preserve"> </w:t>
            </w:r>
            <w:r w:rsidRPr="00EC38FC">
              <w:rPr>
                <w:sz w:val="16"/>
                <w:szCs w:val="16"/>
              </w:rPr>
              <w:t>for</w:t>
            </w:r>
            <w:r w:rsidR="001509AC" w:rsidRPr="003665C6">
              <w:rPr>
                <w:sz w:val="16"/>
                <w:szCs w:val="16"/>
              </w:rPr>
              <w:t xml:space="preserve"> </w:t>
            </w:r>
            <w:r w:rsidRPr="00EC38FC">
              <w:rPr>
                <w:sz w:val="16"/>
                <w:szCs w:val="16"/>
              </w:rPr>
              <w:t>V=1.0ms,</w:t>
            </w:r>
          </w:p>
          <w:p w14:paraId="55C65157" w14:textId="6CD9C36E" w:rsidR="00EC38FC" w:rsidRPr="003665C6" w:rsidRDefault="00EC38FC">
            <w:pPr>
              <w:rPr>
                <w:sz w:val="16"/>
                <w:szCs w:val="16"/>
              </w:rPr>
            </w:pPr>
            <w:r w:rsidRPr="00EC38FC">
              <w:rPr>
                <w:sz w:val="16"/>
                <w:szCs w:val="16"/>
              </w:rPr>
              <w:t>e=0.10/V1.1−0.2</w:t>
            </w:r>
            <w:r w:rsidR="001509AC" w:rsidRPr="003665C6">
              <w:rPr>
                <w:sz w:val="16"/>
                <w:szCs w:val="16"/>
              </w:rPr>
              <w:t xml:space="preserve"> </w:t>
            </w:r>
            <w:r w:rsidRPr="00EC38FC">
              <w:rPr>
                <w:sz w:val="16"/>
                <w:szCs w:val="16"/>
              </w:rPr>
              <w:t>for</w:t>
            </w:r>
            <w:r w:rsidR="001509AC" w:rsidRPr="003665C6">
              <w:rPr>
                <w:sz w:val="16"/>
                <w:szCs w:val="16"/>
              </w:rPr>
              <w:t xml:space="preserve"> </w:t>
            </w:r>
            <w:r w:rsidRPr="00EC38FC">
              <w:rPr>
                <w:sz w:val="16"/>
                <w:szCs w:val="16"/>
              </w:rPr>
              <w:t>0.1≤V≤1.0ms</w:t>
            </w:r>
          </w:p>
          <w:p w14:paraId="7C413C84" w14:textId="77777777" w:rsidR="001509AC" w:rsidRPr="003665C6" w:rsidRDefault="001509AC">
            <w:pPr>
              <w:rPr>
                <w:sz w:val="16"/>
                <w:szCs w:val="16"/>
              </w:rPr>
            </w:pPr>
          </w:p>
          <w:p w14:paraId="0E05854D" w14:textId="3CF354B9" w:rsidR="001509AC" w:rsidRPr="003665C6" w:rsidRDefault="001509AC">
            <w:pPr>
              <w:rPr>
                <w:sz w:val="16"/>
                <w:szCs w:val="16"/>
              </w:rPr>
            </w:pPr>
            <w:r w:rsidRPr="003665C6">
              <w:rPr>
                <w:sz w:val="16"/>
                <w:szCs w:val="16"/>
              </w:rPr>
              <w:t xml:space="preserve">where </w:t>
            </w:r>
            <w:proofErr w:type="spellStart"/>
            <w:r w:rsidRPr="003665C6">
              <w:rPr>
                <w:sz w:val="16"/>
                <w:szCs w:val="16"/>
              </w:rPr>
              <w:t>Tg</w:t>
            </w:r>
            <w:proofErr w:type="spellEnd"/>
            <w:r w:rsidRPr="003665C6">
              <w:rPr>
                <w:sz w:val="16"/>
                <w:szCs w:val="16"/>
              </w:rPr>
              <w:t xml:space="preserve"> is globe temperature (empirically estimated</w:t>
            </w:r>
            <w:r w:rsidR="00C73D0D" w:rsidRPr="003665C6">
              <w:rPr>
                <w:sz w:val="16"/>
                <w:szCs w:val="16"/>
              </w:rPr>
              <w:t xml:space="preserve"> from T, RH, and SR</w:t>
            </w:r>
            <w:r w:rsidRPr="003665C6">
              <w:rPr>
                <w:sz w:val="16"/>
                <w:szCs w:val="16"/>
              </w:rPr>
              <w:t>)</w:t>
            </w:r>
          </w:p>
          <w:p w14:paraId="7C283CD9" w14:textId="136B0170" w:rsidR="001509AC" w:rsidRPr="003665C6" w:rsidRDefault="001509AC">
            <w:pPr>
              <w:rPr>
                <w:sz w:val="16"/>
                <w:szCs w:val="16"/>
              </w:rPr>
            </w:pPr>
          </w:p>
        </w:tc>
        <w:tc>
          <w:tcPr>
            <w:tcW w:w="2430" w:type="dxa"/>
          </w:tcPr>
          <w:p w14:paraId="2EB34007" w14:textId="3A84C4B3" w:rsidR="0041530B" w:rsidRDefault="0041530B">
            <w:r>
              <w:t>Based on PWBGT but corrects for influences of wind and solar radiation.</w:t>
            </w:r>
          </w:p>
        </w:tc>
        <w:tc>
          <w:tcPr>
            <w:tcW w:w="2695" w:type="dxa"/>
          </w:tcPr>
          <w:p w14:paraId="7396DC76" w14:textId="7F611625" w:rsidR="0041530B" w:rsidRDefault="003457B0">
            <w:hyperlink r:id="rId4" w:history="1">
              <w:r w:rsidRPr="003924E8">
                <w:rPr>
                  <w:rStyle w:val="Hyperlink"/>
                </w:rPr>
                <w:t>https://www.ncbi.nlm.nih.gov/pmc/articles/PMC7240860/</w:t>
              </w:r>
            </w:hyperlink>
          </w:p>
          <w:p w14:paraId="25305178" w14:textId="544285C1" w:rsidR="003457B0" w:rsidRDefault="003457B0">
            <w:r w:rsidRPr="006E008E">
              <w:t>https://rmets.onlinelibrary.wiley.com/doi/full/10.1002/met.1631</w:t>
            </w:r>
          </w:p>
        </w:tc>
      </w:tr>
      <w:tr w:rsidR="0041530B" w14:paraId="0F73DF11" w14:textId="76E0FA99" w:rsidTr="00242DA2">
        <w:tc>
          <w:tcPr>
            <w:tcW w:w="1071" w:type="dxa"/>
          </w:tcPr>
          <w:p w14:paraId="3DB9ECC3" w14:textId="61915427" w:rsidR="0041530B" w:rsidRDefault="0041530B">
            <w:r>
              <w:t>Heat Index</w:t>
            </w:r>
          </w:p>
        </w:tc>
        <w:tc>
          <w:tcPr>
            <w:tcW w:w="1174" w:type="dxa"/>
          </w:tcPr>
          <w:p w14:paraId="20BCBAC0" w14:textId="4E7370B4" w:rsidR="0041530B" w:rsidRDefault="0041530B">
            <w:r>
              <w:t>T, RH</w:t>
            </w:r>
          </w:p>
        </w:tc>
        <w:tc>
          <w:tcPr>
            <w:tcW w:w="1980" w:type="dxa"/>
          </w:tcPr>
          <w:p w14:paraId="6C5B72AA" w14:textId="77777777" w:rsidR="0041530B" w:rsidRPr="003665C6" w:rsidRDefault="0041530B">
            <w:pPr>
              <w:rPr>
                <w:sz w:val="16"/>
                <w:szCs w:val="16"/>
              </w:rPr>
            </w:pPr>
            <w:r w:rsidRPr="003665C6">
              <w:rPr>
                <w:sz w:val="16"/>
                <w:szCs w:val="16"/>
              </w:rPr>
              <w:t>HI = -42.379 + 2.04901523*T + 10.14333127*RH - .22475541*T*RH - .00683783*T*T - .05481717*RH*RH + .00122874*T*T*RH + .00085282*T*RH*RH - .00000199*T*T*RH*RH</w:t>
            </w:r>
          </w:p>
          <w:p w14:paraId="17D4378B" w14:textId="77777777" w:rsidR="0041530B" w:rsidRPr="003665C6" w:rsidRDefault="0041530B">
            <w:pPr>
              <w:rPr>
                <w:sz w:val="16"/>
                <w:szCs w:val="16"/>
              </w:rPr>
            </w:pPr>
          </w:p>
          <w:p w14:paraId="5B3FC0A7" w14:textId="5061CEAB" w:rsidR="0041530B" w:rsidRPr="003665C6" w:rsidRDefault="0041530B">
            <w:pPr>
              <w:rPr>
                <w:sz w:val="16"/>
                <w:szCs w:val="16"/>
              </w:rPr>
            </w:pPr>
            <w:r w:rsidRPr="003665C6">
              <w:rPr>
                <w:sz w:val="16"/>
                <w:szCs w:val="16"/>
              </w:rPr>
              <w:t>For RH &lt; 13% and 80 &lt; T &lt; 112 °F, subtract</w:t>
            </w:r>
            <w:r w:rsidRPr="003665C6">
              <w:rPr>
                <w:sz w:val="16"/>
                <w:szCs w:val="16"/>
              </w:rPr>
              <w:t xml:space="preserve"> [(13-RH)/4]*SQRT{[17-ABS(T-95.)]/17}</w:t>
            </w:r>
          </w:p>
          <w:p w14:paraId="3269DD62" w14:textId="77777777" w:rsidR="0041530B" w:rsidRPr="003665C6" w:rsidRDefault="0041530B">
            <w:pPr>
              <w:rPr>
                <w:sz w:val="16"/>
                <w:szCs w:val="16"/>
              </w:rPr>
            </w:pPr>
          </w:p>
          <w:p w14:paraId="2B6E42B5" w14:textId="48D605B0" w:rsidR="0041530B" w:rsidRPr="003665C6" w:rsidRDefault="0041530B">
            <w:pPr>
              <w:rPr>
                <w:sz w:val="16"/>
                <w:szCs w:val="16"/>
              </w:rPr>
            </w:pPr>
            <w:r w:rsidRPr="003665C6">
              <w:rPr>
                <w:sz w:val="16"/>
                <w:szCs w:val="16"/>
              </w:rPr>
              <w:t xml:space="preserve">For RH&gt; 85% and 80 &lt; T &lt; 87 </w:t>
            </w:r>
            <w:r w:rsidRPr="003665C6">
              <w:rPr>
                <w:sz w:val="16"/>
                <w:szCs w:val="16"/>
              </w:rPr>
              <w:t>°F</w:t>
            </w:r>
            <w:r w:rsidRPr="003665C6">
              <w:rPr>
                <w:sz w:val="16"/>
                <w:szCs w:val="16"/>
              </w:rPr>
              <w:t xml:space="preserve">, add </w:t>
            </w:r>
            <w:r w:rsidRPr="003665C6">
              <w:rPr>
                <w:sz w:val="16"/>
                <w:szCs w:val="16"/>
              </w:rPr>
              <w:t>[(RH-85)/10] * [(87-T)/5]</w:t>
            </w:r>
          </w:p>
          <w:p w14:paraId="392DB3DC" w14:textId="77777777" w:rsidR="0041530B" w:rsidRPr="003665C6" w:rsidRDefault="0041530B">
            <w:pPr>
              <w:rPr>
                <w:sz w:val="16"/>
                <w:szCs w:val="16"/>
              </w:rPr>
            </w:pPr>
          </w:p>
          <w:p w14:paraId="03551D4A" w14:textId="5EDBD31D" w:rsidR="0041530B" w:rsidRPr="003665C6" w:rsidRDefault="0041530B">
            <w:pPr>
              <w:rPr>
                <w:sz w:val="16"/>
                <w:szCs w:val="16"/>
              </w:rPr>
            </w:pPr>
            <w:r w:rsidRPr="003665C6">
              <w:rPr>
                <w:sz w:val="16"/>
                <w:szCs w:val="16"/>
              </w:rPr>
              <w:t xml:space="preserve">For HI &lt; 80 </w:t>
            </w:r>
            <w:r w:rsidRPr="003665C6">
              <w:rPr>
                <w:sz w:val="16"/>
                <w:szCs w:val="16"/>
              </w:rPr>
              <w:t>°F</w:t>
            </w:r>
            <w:r w:rsidRPr="003665C6">
              <w:rPr>
                <w:sz w:val="16"/>
                <w:szCs w:val="16"/>
              </w:rPr>
              <w:t xml:space="preserve">, </w:t>
            </w:r>
            <w:r w:rsidRPr="003665C6">
              <w:rPr>
                <w:sz w:val="16"/>
                <w:szCs w:val="16"/>
              </w:rPr>
              <w:t>HI = 0.5 * {T + 61.0 + [(T-68.0)*1.2] + (RH*0.094)}</w:t>
            </w:r>
          </w:p>
        </w:tc>
        <w:tc>
          <w:tcPr>
            <w:tcW w:w="2430" w:type="dxa"/>
          </w:tcPr>
          <w:p w14:paraId="73514292" w14:textId="57C37116" w:rsidR="0041530B" w:rsidRDefault="0041530B">
            <w:r>
              <w:t>Assumes shade and is commonly known as the “feels like” temperature. Empirically estimated.</w:t>
            </w:r>
          </w:p>
        </w:tc>
        <w:tc>
          <w:tcPr>
            <w:tcW w:w="2695" w:type="dxa"/>
          </w:tcPr>
          <w:p w14:paraId="2FFABC6A" w14:textId="654EE2C4" w:rsidR="0041530B" w:rsidRDefault="0013786E">
            <w:r w:rsidRPr="0013786E">
              <w:t>https://www.wpc.ncep.noaa.gov/html/heatindex_equation.shtml</w:t>
            </w:r>
          </w:p>
        </w:tc>
      </w:tr>
      <w:tr w:rsidR="0041530B" w14:paraId="68A5E748" w14:textId="72B5BD2E" w:rsidTr="00242DA2">
        <w:tc>
          <w:tcPr>
            <w:tcW w:w="1071" w:type="dxa"/>
          </w:tcPr>
          <w:p w14:paraId="6B415BAD" w14:textId="71EBA536" w:rsidR="0041530B" w:rsidRDefault="0041530B">
            <w:r>
              <w:lastRenderedPageBreak/>
              <w:t>Wet Bulb Globe Temperature (Simple Calculation)</w:t>
            </w:r>
          </w:p>
        </w:tc>
        <w:tc>
          <w:tcPr>
            <w:tcW w:w="1174" w:type="dxa"/>
          </w:tcPr>
          <w:p w14:paraId="4566E725" w14:textId="13BF4777" w:rsidR="0041530B" w:rsidRDefault="0041530B">
            <w:r>
              <w:t>T, RH</w:t>
            </w:r>
          </w:p>
        </w:tc>
        <w:tc>
          <w:tcPr>
            <w:tcW w:w="1980" w:type="dxa"/>
          </w:tcPr>
          <w:p w14:paraId="5F238761" w14:textId="5E062176" w:rsidR="0041530B" w:rsidRPr="003665C6" w:rsidRDefault="00D36E99">
            <w:pPr>
              <w:rPr>
                <w:sz w:val="16"/>
                <w:szCs w:val="16"/>
              </w:rPr>
            </w:pPr>
            <w:r w:rsidRPr="003665C6">
              <w:rPr>
                <w:sz w:val="16"/>
                <w:szCs w:val="16"/>
              </w:rPr>
              <w:t>WBGT = 0.567 * T + 0.393 * e + 3.94</w:t>
            </w:r>
          </w:p>
          <w:p w14:paraId="2E5B4360" w14:textId="77777777" w:rsidR="00D36E99" w:rsidRPr="003665C6" w:rsidRDefault="00D36E99">
            <w:pPr>
              <w:rPr>
                <w:sz w:val="16"/>
                <w:szCs w:val="16"/>
              </w:rPr>
            </w:pPr>
          </w:p>
          <w:p w14:paraId="17BE547B" w14:textId="24A87B85" w:rsidR="00D36E99" w:rsidRPr="003665C6" w:rsidRDefault="00D36E99">
            <w:pPr>
              <w:rPr>
                <w:sz w:val="16"/>
                <w:szCs w:val="16"/>
              </w:rPr>
            </w:pPr>
            <w:r w:rsidRPr="003665C6">
              <w:rPr>
                <w:sz w:val="16"/>
                <w:szCs w:val="16"/>
              </w:rPr>
              <w:t>Where e is water vapor pressure</w:t>
            </w:r>
            <w:r w:rsidR="00C73D0D" w:rsidRPr="003665C6">
              <w:rPr>
                <w:sz w:val="16"/>
                <w:szCs w:val="16"/>
              </w:rPr>
              <w:t xml:space="preserve"> (calculated from RH)</w:t>
            </w:r>
          </w:p>
        </w:tc>
        <w:tc>
          <w:tcPr>
            <w:tcW w:w="2430" w:type="dxa"/>
          </w:tcPr>
          <w:p w14:paraId="7BBBA495" w14:textId="7A8411E7" w:rsidR="0041530B" w:rsidRDefault="0041530B">
            <w:r>
              <w:t>Assumes direct sunlight. This calculation is an empirical estimate.</w:t>
            </w:r>
          </w:p>
        </w:tc>
        <w:tc>
          <w:tcPr>
            <w:tcW w:w="2695" w:type="dxa"/>
          </w:tcPr>
          <w:p w14:paraId="41278599" w14:textId="05881835" w:rsidR="0041530B" w:rsidRDefault="003F0709">
            <w:r w:rsidRPr="00973EF9">
              <w:t>https://www.nature.com/articles/s41597-021-01010-w</w:t>
            </w:r>
          </w:p>
        </w:tc>
      </w:tr>
      <w:tr w:rsidR="0041530B" w14:paraId="2564863F" w14:textId="04990AAB" w:rsidTr="00242DA2">
        <w:tc>
          <w:tcPr>
            <w:tcW w:w="1071" w:type="dxa"/>
          </w:tcPr>
          <w:p w14:paraId="3FA69870" w14:textId="08092CC9" w:rsidR="0041530B" w:rsidRDefault="0041530B" w:rsidP="00C471FA">
            <w:r>
              <w:t>Indoor Wet Bulb Globe Temperature</w:t>
            </w:r>
          </w:p>
        </w:tc>
        <w:tc>
          <w:tcPr>
            <w:tcW w:w="1174" w:type="dxa"/>
          </w:tcPr>
          <w:p w14:paraId="7532CE03" w14:textId="216C443F" w:rsidR="0041530B" w:rsidRDefault="0041530B" w:rsidP="00C471FA">
            <w:r>
              <w:t>T, RH, SR, V</w:t>
            </w:r>
          </w:p>
        </w:tc>
        <w:tc>
          <w:tcPr>
            <w:tcW w:w="1980" w:type="dxa"/>
          </w:tcPr>
          <w:p w14:paraId="39163450" w14:textId="4720432A" w:rsidR="0041530B" w:rsidRPr="003665C6" w:rsidRDefault="0041530B" w:rsidP="009735EC">
            <w:pPr>
              <w:rPr>
                <w:sz w:val="16"/>
                <w:szCs w:val="16"/>
              </w:rPr>
            </w:pPr>
            <m:oMathPara>
              <m:oMathParaPr>
                <m:jc m:val="left"/>
              </m:oMathParaPr>
              <m:oMath>
                <m:r>
                  <w:rPr>
                    <w:rFonts w:ascii="Cambria Math" w:hAnsi="Cambria Math"/>
                    <w:sz w:val="16"/>
                    <w:szCs w:val="16"/>
                  </w:rPr>
                  <m:t>WBGT=0.7</m:t>
                </m:r>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T</m:t>
                        </m:r>
                      </m:e>
                      <m:sub>
                        <m:r>
                          <w:rPr>
                            <w:rFonts w:ascii="Cambria Math" w:hAnsi="Cambria Math"/>
                            <w:sz w:val="16"/>
                            <w:szCs w:val="16"/>
                          </w:rPr>
                          <m:t>NWB</m:t>
                        </m:r>
                      </m:sub>
                    </m:sSub>
                  </m:e>
                </m:d>
                <m:r>
                  <w:rPr>
                    <w:rFonts w:ascii="Cambria Math" w:hAnsi="Cambria Math"/>
                    <w:sz w:val="16"/>
                    <w:szCs w:val="16"/>
                  </w:rPr>
                  <m:t>+0.</m:t>
                </m:r>
                <m:r>
                  <w:rPr>
                    <w:rFonts w:ascii="Cambria Math" w:hAnsi="Cambria Math"/>
                    <w:sz w:val="16"/>
                    <w:szCs w:val="16"/>
                  </w:rPr>
                  <m:t>3</m:t>
                </m:r>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T</m:t>
                        </m:r>
                      </m:e>
                      <m:sub>
                        <m:r>
                          <w:rPr>
                            <w:rFonts w:ascii="Cambria Math" w:hAnsi="Cambria Math"/>
                            <w:sz w:val="16"/>
                            <w:szCs w:val="16"/>
                          </w:rPr>
                          <m:t>g</m:t>
                        </m:r>
                      </m:sub>
                    </m:sSub>
                  </m:e>
                </m:d>
              </m:oMath>
            </m:oMathPara>
          </w:p>
        </w:tc>
        <w:tc>
          <w:tcPr>
            <w:tcW w:w="2430" w:type="dxa"/>
          </w:tcPr>
          <w:p w14:paraId="23E1B835" w14:textId="3E902D00" w:rsidR="0041530B" w:rsidRDefault="0041530B" w:rsidP="00C471FA">
            <w:r>
              <w:t>A more comprehensive estimate of WBGT, from NWBT and globe temperature (latter estimated empirically). This is to be used in all cases except when outside in direct sunlight.</w:t>
            </w:r>
          </w:p>
        </w:tc>
        <w:tc>
          <w:tcPr>
            <w:tcW w:w="2695" w:type="dxa"/>
          </w:tcPr>
          <w:p w14:paraId="376E4470" w14:textId="52814A14" w:rsidR="0041530B" w:rsidRDefault="001C14E4" w:rsidP="00C471FA">
            <w:hyperlink r:id="rId5" w:history="1">
              <w:r w:rsidRPr="003924E8">
                <w:rPr>
                  <w:rStyle w:val="Hyperlink"/>
                </w:rPr>
                <w:t>https://rmets.onlinelibrary.wiley.com/doi/full/10.1002/met.1631</w:t>
              </w:r>
            </w:hyperlink>
          </w:p>
          <w:p w14:paraId="0585B0DA" w14:textId="0E3BC37C" w:rsidR="001C14E4" w:rsidRDefault="00A345AC" w:rsidP="00C471FA">
            <w:hyperlink r:id="rId6" w:history="1">
              <w:r w:rsidRPr="003924E8">
                <w:rPr>
                  <w:rStyle w:val="Hyperlink"/>
                </w:rPr>
                <w:t>https://www.ncbi.nlm.nih.gov/pmc/articles/PMC7240860/</w:t>
              </w:r>
            </w:hyperlink>
          </w:p>
          <w:p w14:paraId="7E3AEEC6" w14:textId="44E7F760" w:rsidR="00A345AC" w:rsidRDefault="00A345AC" w:rsidP="00C471FA">
            <w:r w:rsidRPr="00A345AC">
              <w:t>https://www.sciencedirect.com/science/article/pii/S0378778819310965</w:t>
            </w:r>
          </w:p>
        </w:tc>
      </w:tr>
      <w:tr w:rsidR="0041530B" w14:paraId="06DB215E" w14:textId="4A30ED02" w:rsidTr="00242DA2">
        <w:tc>
          <w:tcPr>
            <w:tcW w:w="1071" w:type="dxa"/>
          </w:tcPr>
          <w:p w14:paraId="0B49B4D7" w14:textId="28916822" w:rsidR="0041530B" w:rsidRDefault="0041530B" w:rsidP="00C471FA">
            <w:r>
              <w:t>Outdoor Wet Bulb Temperature</w:t>
            </w:r>
          </w:p>
        </w:tc>
        <w:tc>
          <w:tcPr>
            <w:tcW w:w="1174" w:type="dxa"/>
          </w:tcPr>
          <w:p w14:paraId="25AB6144" w14:textId="61AD62F6" w:rsidR="0041530B" w:rsidRDefault="0041530B" w:rsidP="00C471FA">
            <w:r>
              <w:t>T, RH, SR, V</w:t>
            </w:r>
          </w:p>
        </w:tc>
        <w:tc>
          <w:tcPr>
            <w:tcW w:w="1980" w:type="dxa"/>
          </w:tcPr>
          <w:p w14:paraId="3ABF3A48" w14:textId="5D39E28F" w:rsidR="0041530B" w:rsidRPr="003665C6" w:rsidRDefault="0041530B" w:rsidP="009735EC">
            <w:pPr>
              <w:rPr>
                <w:sz w:val="16"/>
                <w:szCs w:val="16"/>
              </w:rPr>
            </w:pPr>
            <m:oMathPara>
              <m:oMathParaPr>
                <m:jc m:val="left"/>
              </m:oMathParaPr>
              <m:oMath>
                <m:r>
                  <w:rPr>
                    <w:rFonts w:ascii="Cambria Math" w:hAnsi="Cambria Math"/>
                    <w:sz w:val="16"/>
                    <w:szCs w:val="16"/>
                  </w:rPr>
                  <m:t>WBGT=0.7</m:t>
                </m:r>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T</m:t>
                        </m:r>
                      </m:e>
                      <m:sub>
                        <m:r>
                          <w:rPr>
                            <w:rFonts w:ascii="Cambria Math" w:hAnsi="Cambria Math"/>
                            <w:sz w:val="16"/>
                            <w:szCs w:val="16"/>
                          </w:rPr>
                          <m:t>NWB</m:t>
                        </m:r>
                      </m:sub>
                    </m:sSub>
                  </m:e>
                </m:d>
                <m:r>
                  <w:rPr>
                    <w:rFonts w:ascii="Cambria Math" w:hAnsi="Cambria Math"/>
                    <w:sz w:val="16"/>
                    <w:szCs w:val="16"/>
                  </w:rPr>
                  <m:t>+0.2</m:t>
                </m:r>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T</m:t>
                        </m:r>
                      </m:e>
                      <m:sub>
                        <m:r>
                          <w:rPr>
                            <w:rFonts w:ascii="Cambria Math" w:hAnsi="Cambria Math"/>
                            <w:sz w:val="16"/>
                            <w:szCs w:val="16"/>
                          </w:rPr>
                          <m:t>g</m:t>
                        </m:r>
                      </m:sub>
                    </m:sSub>
                  </m:e>
                </m:d>
                <m:r>
                  <w:rPr>
                    <w:rFonts w:ascii="Cambria Math" w:hAnsi="Cambria Math"/>
                    <w:sz w:val="16"/>
                    <w:szCs w:val="16"/>
                  </w:rPr>
                  <m:t>+0.1(</m:t>
                </m:r>
                <m:sSub>
                  <m:sSubPr>
                    <m:ctrlPr>
                      <w:rPr>
                        <w:rFonts w:ascii="Cambria Math" w:hAnsi="Cambria Math"/>
                        <w:i/>
                        <w:sz w:val="16"/>
                        <w:szCs w:val="16"/>
                      </w:rPr>
                    </m:ctrlPr>
                  </m:sSubPr>
                  <m:e>
                    <m:r>
                      <w:rPr>
                        <w:rFonts w:ascii="Cambria Math" w:hAnsi="Cambria Math"/>
                        <w:sz w:val="16"/>
                        <w:szCs w:val="16"/>
                      </w:rPr>
                      <m:t>T</m:t>
                    </m:r>
                  </m:e>
                  <m:sub>
                    <m:r>
                      <w:rPr>
                        <w:rFonts w:ascii="Cambria Math" w:hAnsi="Cambria Math"/>
                        <w:sz w:val="16"/>
                        <w:szCs w:val="16"/>
                      </w:rPr>
                      <m:t>a</m:t>
                    </m:r>
                  </m:sub>
                </m:sSub>
                <m:r>
                  <w:rPr>
                    <w:rFonts w:ascii="Cambria Math" w:hAnsi="Cambria Math"/>
                    <w:sz w:val="16"/>
                    <w:szCs w:val="16"/>
                  </w:rPr>
                  <m:t>)</m:t>
                </m:r>
              </m:oMath>
            </m:oMathPara>
          </w:p>
        </w:tc>
        <w:tc>
          <w:tcPr>
            <w:tcW w:w="2430" w:type="dxa"/>
          </w:tcPr>
          <w:p w14:paraId="552BA80F" w14:textId="074336C7" w:rsidR="0041530B" w:rsidRDefault="0041530B" w:rsidP="00C471FA">
            <w:r>
              <w:t>This version of WBGT is a correction to the indoor WBGT, now incorporating dry bulb temperature to minimize the influence of the globe temperature. This is done because the indoor WBGT equation overestimates WBGT when applied outdoors.</w:t>
            </w:r>
          </w:p>
        </w:tc>
        <w:tc>
          <w:tcPr>
            <w:tcW w:w="2695" w:type="dxa"/>
          </w:tcPr>
          <w:p w14:paraId="75E50AC3" w14:textId="77777777" w:rsidR="0041530B" w:rsidRDefault="000E4874" w:rsidP="00C471FA">
            <w:hyperlink r:id="rId7" w:history="1">
              <w:r w:rsidRPr="003924E8">
                <w:rPr>
                  <w:rStyle w:val="Hyperlink"/>
                </w:rPr>
                <w:t>https://rmets.onlinelibrary.wiley.com/doi/full/10.1002/met.1631</w:t>
              </w:r>
            </w:hyperlink>
          </w:p>
          <w:p w14:paraId="52013AEC" w14:textId="6B041E1B" w:rsidR="000E4874" w:rsidRDefault="000E4874" w:rsidP="00C471FA">
            <w:r w:rsidRPr="000E4874">
              <w:t>https://www.ncbi.nlm.nih.gov/pmc/articles/PMC7240860/</w:t>
            </w:r>
          </w:p>
        </w:tc>
      </w:tr>
    </w:tbl>
    <w:p w14:paraId="124FA9D4" w14:textId="77777777" w:rsidR="000E5BDA" w:rsidRDefault="000E5BDA"/>
    <w:sectPr w:rsidR="000E5B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8EE"/>
    <w:rsid w:val="00073C58"/>
    <w:rsid w:val="000E4874"/>
    <w:rsid w:val="000E5BDA"/>
    <w:rsid w:val="0013786E"/>
    <w:rsid w:val="001509AC"/>
    <w:rsid w:val="00180C4F"/>
    <w:rsid w:val="0019035E"/>
    <w:rsid w:val="00192B99"/>
    <w:rsid w:val="001C14E4"/>
    <w:rsid w:val="001E1648"/>
    <w:rsid w:val="002147AE"/>
    <w:rsid w:val="00242DA2"/>
    <w:rsid w:val="002C69F4"/>
    <w:rsid w:val="003457B0"/>
    <w:rsid w:val="00364EEB"/>
    <w:rsid w:val="003665C6"/>
    <w:rsid w:val="003D3D19"/>
    <w:rsid w:val="003F0709"/>
    <w:rsid w:val="0041530B"/>
    <w:rsid w:val="00427426"/>
    <w:rsid w:val="004663C2"/>
    <w:rsid w:val="006328A9"/>
    <w:rsid w:val="00647B04"/>
    <w:rsid w:val="0067164F"/>
    <w:rsid w:val="00672148"/>
    <w:rsid w:val="00674D86"/>
    <w:rsid w:val="006B368B"/>
    <w:rsid w:val="006E008E"/>
    <w:rsid w:val="006F215E"/>
    <w:rsid w:val="0072757A"/>
    <w:rsid w:val="0077293F"/>
    <w:rsid w:val="009735EC"/>
    <w:rsid w:val="00973EF9"/>
    <w:rsid w:val="009B5564"/>
    <w:rsid w:val="00A345AC"/>
    <w:rsid w:val="00A47ACC"/>
    <w:rsid w:val="00C22D29"/>
    <w:rsid w:val="00C471FA"/>
    <w:rsid w:val="00C518EE"/>
    <w:rsid w:val="00C73D0D"/>
    <w:rsid w:val="00D32479"/>
    <w:rsid w:val="00D36E99"/>
    <w:rsid w:val="00EC38FC"/>
    <w:rsid w:val="00F02AAD"/>
    <w:rsid w:val="00F34C04"/>
    <w:rsid w:val="00FC4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CE386"/>
  <w15:chartTrackingRefBased/>
  <w15:docId w15:val="{1F80C57F-4EC0-4E3B-99C1-99C472704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18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18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18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18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18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18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18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18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18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8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18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18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18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18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18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18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18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18EE"/>
    <w:rPr>
      <w:rFonts w:eastAsiaTheme="majorEastAsia" w:cstheme="majorBidi"/>
      <w:color w:val="272727" w:themeColor="text1" w:themeTint="D8"/>
    </w:rPr>
  </w:style>
  <w:style w:type="paragraph" w:styleId="Title">
    <w:name w:val="Title"/>
    <w:basedOn w:val="Normal"/>
    <w:next w:val="Normal"/>
    <w:link w:val="TitleChar"/>
    <w:uiPriority w:val="10"/>
    <w:qFormat/>
    <w:rsid w:val="00C518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18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18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18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18EE"/>
    <w:pPr>
      <w:spacing w:before="160"/>
      <w:jc w:val="center"/>
    </w:pPr>
    <w:rPr>
      <w:i/>
      <w:iCs/>
      <w:color w:val="404040" w:themeColor="text1" w:themeTint="BF"/>
    </w:rPr>
  </w:style>
  <w:style w:type="character" w:customStyle="1" w:styleId="QuoteChar">
    <w:name w:val="Quote Char"/>
    <w:basedOn w:val="DefaultParagraphFont"/>
    <w:link w:val="Quote"/>
    <w:uiPriority w:val="29"/>
    <w:rsid w:val="00C518EE"/>
    <w:rPr>
      <w:i/>
      <w:iCs/>
      <w:color w:val="404040" w:themeColor="text1" w:themeTint="BF"/>
    </w:rPr>
  </w:style>
  <w:style w:type="paragraph" w:styleId="ListParagraph">
    <w:name w:val="List Paragraph"/>
    <w:basedOn w:val="Normal"/>
    <w:uiPriority w:val="34"/>
    <w:qFormat/>
    <w:rsid w:val="00C518EE"/>
    <w:pPr>
      <w:ind w:left="720"/>
      <w:contextualSpacing/>
    </w:pPr>
  </w:style>
  <w:style w:type="character" w:styleId="IntenseEmphasis">
    <w:name w:val="Intense Emphasis"/>
    <w:basedOn w:val="DefaultParagraphFont"/>
    <w:uiPriority w:val="21"/>
    <w:qFormat/>
    <w:rsid w:val="00C518EE"/>
    <w:rPr>
      <w:i/>
      <w:iCs/>
      <w:color w:val="0F4761" w:themeColor="accent1" w:themeShade="BF"/>
    </w:rPr>
  </w:style>
  <w:style w:type="paragraph" w:styleId="IntenseQuote">
    <w:name w:val="Intense Quote"/>
    <w:basedOn w:val="Normal"/>
    <w:next w:val="Normal"/>
    <w:link w:val="IntenseQuoteChar"/>
    <w:uiPriority w:val="30"/>
    <w:qFormat/>
    <w:rsid w:val="00C518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18EE"/>
    <w:rPr>
      <w:i/>
      <w:iCs/>
      <w:color w:val="0F4761" w:themeColor="accent1" w:themeShade="BF"/>
    </w:rPr>
  </w:style>
  <w:style w:type="character" w:styleId="IntenseReference">
    <w:name w:val="Intense Reference"/>
    <w:basedOn w:val="DefaultParagraphFont"/>
    <w:uiPriority w:val="32"/>
    <w:qFormat/>
    <w:rsid w:val="00C518EE"/>
    <w:rPr>
      <w:b/>
      <w:bCs/>
      <w:smallCaps/>
      <w:color w:val="0F4761" w:themeColor="accent1" w:themeShade="BF"/>
      <w:spacing w:val="5"/>
    </w:rPr>
  </w:style>
  <w:style w:type="table" w:styleId="TableGrid">
    <w:name w:val="Table Grid"/>
    <w:basedOn w:val="TableNormal"/>
    <w:uiPriority w:val="39"/>
    <w:rsid w:val="00C518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2148"/>
    <w:rPr>
      <w:color w:val="666666"/>
    </w:rPr>
  </w:style>
  <w:style w:type="character" w:styleId="Hyperlink">
    <w:name w:val="Hyperlink"/>
    <w:basedOn w:val="DefaultParagraphFont"/>
    <w:uiPriority w:val="99"/>
    <w:unhideWhenUsed/>
    <w:rsid w:val="003457B0"/>
    <w:rPr>
      <w:color w:val="467886" w:themeColor="hyperlink"/>
      <w:u w:val="single"/>
    </w:rPr>
  </w:style>
  <w:style w:type="character" w:styleId="UnresolvedMention">
    <w:name w:val="Unresolved Mention"/>
    <w:basedOn w:val="DefaultParagraphFont"/>
    <w:uiPriority w:val="99"/>
    <w:semiHidden/>
    <w:unhideWhenUsed/>
    <w:rsid w:val="003457B0"/>
    <w:rPr>
      <w:color w:val="605E5C"/>
      <w:shd w:val="clear" w:color="auto" w:fill="E1DFDD"/>
    </w:rPr>
  </w:style>
  <w:style w:type="character" w:styleId="FollowedHyperlink">
    <w:name w:val="FollowedHyperlink"/>
    <w:basedOn w:val="DefaultParagraphFont"/>
    <w:uiPriority w:val="99"/>
    <w:semiHidden/>
    <w:unhideWhenUsed/>
    <w:rsid w:val="006F215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51121">
      <w:bodyDiv w:val="1"/>
      <w:marLeft w:val="0"/>
      <w:marRight w:val="0"/>
      <w:marTop w:val="0"/>
      <w:marBottom w:val="0"/>
      <w:divBdr>
        <w:top w:val="none" w:sz="0" w:space="0" w:color="auto"/>
        <w:left w:val="none" w:sz="0" w:space="0" w:color="auto"/>
        <w:bottom w:val="none" w:sz="0" w:space="0" w:color="auto"/>
        <w:right w:val="none" w:sz="0" w:space="0" w:color="auto"/>
      </w:divBdr>
      <w:divsChild>
        <w:div w:id="1633902547">
          <w:marLeft w:val="0"/>
          <w:marRight w:val="0"/>
          <w:marTop w:val="400"/>
          <w:marBottom w:val="400"/>
          <w:divBdr>
            <w:top w:val="none" w:sz="0" w:space="0" w:color="auto"/>
            <w:left w:val="none" w:sz="0" w:space="0" w:color="auto"/>
            <w:bottom w:val="none" w:sz="0" w:space="0" w:color="auto"/>
            <w:right w:val="none" w:sz="0" w:space="0" w:color="auto"/>
          </w:divBdr>
          <w:divsChild>
            <w:div w:id="582641277">
              <w:marLeft w:val="0"/>
              <w:marRight w:val="0"/>
              <w:marTop w:val="240"/>
              <w:marBottom w:val="240"/>
              <w:divBdr>
                <w:top w:val="none" w:sz="0" w:space="0" w:color="auto"/>
                <w:left w:val="none" w:sz="0" w:space="0" w:color="auto"/>
                <w:bottom w:val="none" w:sz="0" w:space="0" w:color="auto"/>
                <w:right w:val="none" w:sz="0" w:space="0" w:color="auto"/>
              </w:divBdr>
            </w:div>
          </w:divsChild>
        </w:div>
        <w:div w:id="102459277">
          <w:marLeft w:val="0"/>
          <w:marRight w:val="0"/>
          <w:marTop w:val="400"/>
          <w:marBottom w:val="400"/>
          <w:divBdr>
            <w:top w:val="none" w:sz="0" w:space="0" w:color="auto"/>
            <w:left w:val="none" w:sz="0" w:space="0" w:color="auto"/>
            <w:bottom w:val="none" w:sz="0" w:space="0" w:color="auto"/>
            <w:right w:val="none" w:sz="0" w:space="0" w:color="auto"/>
          </w:divBdr>
          <w:divsChild>
            <w:div w:id="1407846617">
              <w:marLeft w:val="0"/>
              <w:marRight w:val="0"/>
              <w:marTop w:val="240"/>
              <w:marBottom w:val="240"/>
              <w:divBdr>
                <w:top w:val="none" w:sz="0" w:space="0" w:color="auto"/>
                <w:left w:val="none" w:sz="0" w:space="0" w:color="auto"/>
                <w:bottom w:val="none" w:sz="0" w:space="0" w:color="auto"/>
                <w:right w:val="none" w:sz="0" w:space="0" w:color="auto"/>
              </w:divBdr>
            </w:div>
          </w:divsChild>
        </w:div>
        <w:div w:id="1884439989">
          <w:marLeft w:val="0"/>
          <w:marRight w:val="0"/>
          <w:marTop w:val="400"/>
          <w:marBottom w:val="400"/>
          <w:divBdr>
            <w:top w:val="none" w:sz="0" w:space="0" w:color="auto"/>
            <w:left w:val="none" w:sz="0" w:space="0" w:color="auto"/>
            <w:bottom w:val="none" w:sz="0" w:space="0" w:color="auto"/>
            <w:right w:val="none" w:sz="0" w:space="0" w:color="auto"/>
          </w:divBdr>
          <w:divsChild>
            <w:div w:id="964392107">
              <w:marLeft w:val="0"/>
              <w:marRight w:val="0"/>
              <w:marTop w:val="240"/>
              <w:marBottom w:val="240"/>
              <w:divBdr>
                <w:top w:val="none" w:sz="0" w:space="0" w:color="auto"/>
                <w:left w:val="none" w:sz="0" w:space="0" w:color="auto"/>
                <w:bottom w:val="none" w:sz="0" w:space="0" w:color="auto"/>
                <w:right w:val="none" w:sz="0" w:space="0" w:color="auto"/>
              </w:divBdr>
            </w:div>
          </w:divsChild>
        </w:div>
        <w:div w:id="476149838">
          <w:marLeft w:val="0"/>
          <w:marRight w:val="0"/>
          <w:marTop w:val="400"/>
          <w:marBottom w:val="400"/>
          <w:divBdr>
            <w:top w:val="none" w:sz="0" w:space="0" w:color="auto"/>
            <w:left w:val="none" w:sz="0" w:space="0" w:color="auto"/>
            <w:bottom w:val="none" w:sz="0" w:space="0" w:color="auto"/>
            <w:right w:val="none" w:sz="0" w:space="0" w:color="auto"/>
          </w:divBdr>
          <w:divsChild>
            <w:div w:id="138105328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402997148">
      <w:bodyDiv w:val="1"/>
      <w:marLeft w:val="0"/>
      <w:marRight w:val="0"/>
      <w:marTop w:val="0"/>
      <w:marBottom w:val="0"/>
      <w:divBdr>
        <w:top w:val="none" w:sz="0" w:space="0" w:color="auto"/>
        <w:left w:val="none" w:sz="0" w:space="0" w:color="auto"/>
        <w:bottom w:val="none" w:sz="0" w:space="0" w:color="auto"/>
        <w:right w:val="none" w:sz="0" w:space="0" w:color="auto"/>
      </w:divBdr>
      <w:divsChild>
        <w:div w:id="811019898">
          <w:marLeft w:val="0"/>
          <w:marRight w:val="0"/>
          <w:marTop w:val="400"/>
          <w:marBottom w:val="400"/>
          <w:divBdr>
            <w:top w:val="none" w:sz="0" w:space="0" w:color="auto"/>
            <w:left w:val="none" w:sz="0" w:space="0" w:color="auto"/>
            <w:bottom w:val="none" w:sz="0" w:space="0" w:color="auto"/>
            <w:right w:val="none" w:sz="0" w:space="0" w:color="auto"/>
          </w:divBdr>
          <w:divsChild>
            <w:div w:id="643393231">
              <w:marLeft w:val="0"/>
              <w:marRight w:val="0"/>
              <w:marTop w:val="240"/>
              <w:marBottom w:val="240"/>
              <w:divBdr>
                <w:top w:val="none" w:sz="0" w:space="0" w:color="auto"/>
                <w:left w:val="none" w:sz="0" w:space="0" w:color="auto"/>
                <w:bottom w:val="none" w:sz="0" w:space="0" w:color="auto"/>
                <w:right w:val="none" w:sz="0" w:space="0" w:color="auto"/>
              </w:divBdr>
            </w:div>
          </w:divsChild>
        </w:div>
        <w:div w:id="584998425">
          <w:marLeft w:val="0"/>
          <w:marRight w:val="0"/>
          <w:marTop w:val="400"/>
          <w:marBottom w:val="400"/>
          <w:divBdr>
            <w:top w:val="none" w:sz="0" w:space="0" w:color="auto"/>
            <w:left w:val="none" w:sz="0" w:space="0" w:color="auto"/>
            <w:bottom w:val="none" w:sz="0" w:space="0" w:color="auto"/>
            <w:right w:val="none" w:sz="0" w:space="0" w:color="auto"/>
          </w:divBdr>
          <w:divsChild>
            <w:div w:id="292906062">
              <w:marLeft w:val="0"/>
              <w:marRight w:val="0"/>
              <w:marTop w:val="240"/>
              <w:marBottom w:val="240"/>
              <w:divBdr>
                <w:top w:val="none" w:sz="0" w:space="0" w:color="auto"/>
                <w:left w:val="none" w:sz="0" w:space="0" w:color="auto"/>
                <w:bottom w:val="none" w:sz="0" w:space="0" w:color="auto"/>
                <w:right w:val="none" w:sz="0" w:space="0" w:color="auto"/>
              </w:divBdr>
            </w:div>
          </w:divsChild>
        </w:div>
        <w:div w:id="1546211597">
          <w:marLeft w:val="0"/>
          <w:marRight w:val="0"/>
          <w:marTop w:val="400"/>
          <w:marBottom w:val="400"/>
          <w:divBdr>
            <w:top w:val="none" w:sz="0" w:space="0" w:color="auto"/>
            <w:left w:val="none" w:sz="0" w:space="0" w:color="auto"/>
            <w:bottom w:val="none" w:sz="0" w:space="0" w:color="auto"/>
            <w:right w:val="none" w:sz="0" w:space="0" w:color="auto"/>
          </w:divBdr>
          <w:divsChild>
            <w:div w:id="236063577">
              <w:marLeft w:val="0"/>
              <w:marRight w:val="0"/>
              <w:marTop w:val="240"/>
              <w:marBottom w:val="240"/>
              <w:divBdr>
                <w:top w:val="none" w:sz="0" w:space="0" w:color="auto"/>
                <w:left w:val="none" w:sz="0" w:space="0" w:color="auto"/>
                <w:bottom w:val="none" w:sz="0" w:space="0" w:color="auto"/>
                <w:right w:val="none" w:sz="0" w:space="0" w:color="auto"/>
              </w:divBdr>
            </w:div>
          </w:divsChild>
        </w:div>
        <w:div w:id="1632829971">
          <w:marLeft w:val="0"/>
          <w:marRight w:val="0"/>
          <w:marTop w:val="400"/>
          <w:marBottom w:val="400"/>
          <w:divBdr>
            <w:top w:val="none" w:sz="0" w:space="0" w:color="auto"/>
            <w:left w:val="none" w:sz="0" w:space="0" w:color="auto"/>
            <w:bottom w:val="none" w:sz="0" w:space="0" w:color="auto"/>
            <w:right w:val="none" w:sz="0" w:space="0" w:color="auto"/>
          </w:divBdr>
          <w:divsChild>
            <w:div w:id="2248381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512528411">
      <w:bodyDiv w:val="1"/>
      <w:marLeft w:val="0"/>
      <w:marRight w:val="0"/>
      <w:marTop w:val="0"/>
      <w:marBottom w:val="0"/>
      <w:divBdr>
        <w:top w:val="none" w:sz="0" w:space="0" w:color="auto"/>
        <w:left w:val="none" w:sz="0" w:space="0" w:color="auto"/>
        <w:bottom w:val="none" w:sz="0" w:space="0" w:color="auto"/>
        <w:right w:val="none" w:sz="0" w:space="0" w:color="auto"/>
      </w:divBdr>
      <w:divsChild>
        <w:div w:id="867258262">
          <w:marLeft w:val="0"/>
          <w:marRight w:val="0"/>
          <w:marTop w:val="400"/>
          <w:marBottom w:val="400"/>
          <w:divBdr>
            <w:top w:val="none" w:sz="0" w:space="0" w:color="auto"/>
            <w:left w:val="none" w:sz="0" w:space="0" w:color="auto"/>
            <w:bottom w:val="none" w:sz="0" w:space="0" w:color="auto"/>
            <w:right w:val="none" w:sz="0" w:space="0" w:color="auto"/>
          </w:divBdr>
          <w:divsChild>
            <w:div w:id="892428182">
              <w:marLeft w:val="0"/>
              <w:marRight w:val="0"/>
              <w:marTop w:val="240"/>
              <w:marBottom w:val="240"/>
              <w:divBdr>
                <w:top w:val="none" w:sz="0" w:space="0" w:color="auto"/>
                <w:left w:val="none" w:sz="0" w:space="0" w:color="auto"/>
                <w:bottom w:val="none" w:sz="0" w:space="0" w:color="auto"/>
                <w:right w:val="none" w:sz="0" w:space="0" w:color="auto"/>
              </w:divBdr>
            </w:div>
          </w:divsChild>
        </w:div>
        <w:div w:id="345136389">
          <w:marLeft w:val="0"/>
          <w:marRight w:val="0"/>
          <w:marTop w:val="400"/>
          <w:marBottom w:val="400"/>
          <w:divBdr>
            <w:top w:val="none" w:sz="0" w:space="0" w:color="auto"/>
            <w:left w:val="none" w:sz="0" w:space="0" w:color="auto"/>
            <w:bottom w:val="none" w:sz="0" w:space="0" w:color="auto"/>
            <w:right w:val="none" w:sz="0" w:space="0" w:color="auto"/>
          </w:divBdr>
          <w:divsChild>
            <w:div w:id="1333024691">
              <w:marLeft w:val="0"/>
              <w:marRight w:val="0"/>
              <w:marTop w:val="240"/>
              <w:marBottom w:val="240"/>
              <w:divBdr>
                <w:top w:val="none" w:sz="0" w:space="0" w:color="auto"/>
                <w:left w:val="none" w:sz="0" w:space="0" w:color="auto"/>
                <w:bottom w:val="none" w:sz="0" w:space="0" w:color="auto"/>
                <w:right w:val="none" w:sz="0" w:space="0" w:color="auto"/>
              </w:divBdr>
            </w:div>
          </w:divsChild>
        </w:div>
        <w:div w:id="697850859">
          <w:marLeft w:val="0"/>
          <w:marRight w:val="0"/>
          <w:marTop w:val="400"/>
          <w:marBottom w:val="400"/>
          <w:divBdr>
            <w:top w:val="none" w:sz="0" w:space="0" w:color="auto"/>
            <w:left w:val="none" w:sz="0" w:space="0" w:color="auto"/>
            <w:bottom w:val="none" w:sz="0" w:space="0" w:color="auto"/>
            <w:right w:val="none" w:sz="0" w:space="0" w:color="auto"/>
          </w:divBdr>
          <w:divsChild>
            <w:div w:id="558638871">
              <w:marLeft w:val="0"/>
              <w:marRight w:val="0"/>
              <w:marTop w:val="240"/>
              <w:marBottom w:val="240"/>
              <w:divBdr>
                <w:top w:val="none" w:sz="0" w:space="0" w:color="auto"/>
                <w:left w:val="none" w:sz="0" w:space="0" w:color="auto"/>
                <w:bottom w:val="none" w:sz="0" w:space="0" w:color="auto"/>
                <w:right w:val="none" w:sz="0" w:space="0" w:color="auto"/>
              </w:divBdr>
            </w:div>
          </w:divsChild>
        </w:div>
        <w:div w:id="683898886">
          <w:marLeft w:val="0"/>
          <w:marRight w:val="0"/>
          <w:marTop w:val="400"/>
          <w:marBottom w:val="400"/>
          <w:divBdr>
            <w:top w:val="none" w:sz="0" w:space="0" w:color="auto"/>
            <w:left w:val="none" w:sz="0" w:space="0" w:color="auto"/>
            <w:bottom w:val="none" w:sz="0" w:space="0" w:color="auto"/>
            <w:right w:val="none" w:sz="0" w:space="0" w:color="auto"/>
          </w:divBdr>
          <w:divsChild>
            <w:div w:id="2057927076">
              <w:marLeft w:val="0"/>
              <w:marRight w:val="0"/>
              <w:marTop w:val="240"/>
              <w:marBottom w:val="240"/>
              <w:divBdr>
                <w:top w:val="none" w:sz="0" w:space="0" w:color="auto"/>
                <w:left w:val="none" w:sz="0" w:space="0" w:color="auto"/>
                <w:bottom w:val="none" w:sz="0" w:space="0" w:color="auto"/>
                <w:right w:val="none" w:sz="0" w:space="0" w:color="auto"/>
              </w:divBdr>
            </w:div>
          </w:divsChild>
        </w:div>
        <w:div w:id="181554614">
          <w:marLeft w:val="0"/>
          <w:marRight w:val="0"/>
          <w:marTop w:val="400"/>
          <w:marBottom w:val="400"/>
          <w:divBdr>
            <w:top w:val="none" w:sz="0" w:space="0" w:color="auto"/>
            <w:left w:val="none" w:sz="0" w:space="0" w:color="auto"/>
            <w:bottom w:val="none" w:sz="0" w:space="0" w:color="auto"/>
            <w:right w:val="none" w:sz="0" w:space="0" w:color="auto"/>
          </w:divBdr>
          <w:divsChild>
            <w:div w:id="99569468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28068099">
      <w:bodyDiv w:val="1"/>
      <w:marLeft w:val="0"/>
      <w:marRight w:val="0"/>
      <w:marTop w:val="0"/>
      <w:marBottom w:val="0"/>
      <w:divBdr>
        <w:top w:val="none" w:sz="0" w:space="0" w:color="auto"/>
        <w:left w:val="none" w:sz="0" w:space="0" w:color="auto"/>
        <w:bottom w:val="none" w:sz="0" w:space="0" w:color="auto"/>
        <w:right w:val="none" w:sz="0" w:space="0" w:color="auto"/>
      </w:divBdr>
      <w:divsChild>
        <w:div w:id="1288006652">
          <w:marLeft w:val="0"/>
          <w:marRight w:val="0"/>
          <w:marTop w:val="400"/>
          <w:marBottom w:val="400"/>
          <w:divBdr>
            <w:top w:val="none" w:sz="0" w:space="0" w:color="auto"/>
            <w:left w:val="none" w:sz="0" w:space="0" w:color="auto"/>
            <w:bottom w:val="none" w:sz="0" w:space="0" w:color="auto"/>
            <w:right w:val="none" w:sz="0" w:space="0" w:color="auto"/>
          </w:divBdr>
          <w:divsChild>
            <w:div w:id="157619957">
              <w:marLeft w:val="0"/>
              <w:marRight w:val="0"/>
              <w:marTop w:val="240"/>
              <w:marBottom w:val="240"/>
              <w:divBdr>
                <w:top w:val="none" w:sz="0" w:space="0" w:color="auto"/>
                <w:left w:val="none" w:sz="0" w:space="0" w:color="auto"/>
                <w:bottom w:val="none" w:sz="0" w:space="0" w:color="auto"/>
                <w:right w:val="none" w:sz="0" w:space="0" w:color="auto"/>
              </w:divBdr>
            </w:div>
          </w:divsChild>
        </w:div>
        <w:div w:id="1944918454">
          <w:marLeft w:val="0"/>
          <w:marRight w:val="0"/>
          <w:marTop w:val="400"/>
          <w:marBottom w:val="400"/>
          <w:divBdr>
            <w:top w:val="none" w:sz="0" w:space="0" w:color="auto"/>
            <w:left w:val="none" w:sz="0" w:space="0" w:color="auto"/>
            <w:bottom w:val="none" w:sz="0" w:space="0" w:color="auto"/>
            <w:right w:val="none" w:sz="0" w:space="0" w:color="auto"/>
          </w:divBdr>
          <w:divsChild>
            <w:div w:id="1142042060">
              <w:marLeft w:val="0"/>
              <w:marRight w:val="0"/>
              <w:marTop w:val="240"/>
              <w:marBottom w:val="240"/>
              <w:divBdr>
                <w:top w:val="none" w:sz="0" w:space="0" w:color="auto"/>
                <w:left w:val="none" w:sz="0" w:space="0" w:color="auto"/>
                <w:bottom w:val="none" w:sz="0" w:space="0" w:color="auto"/>
                <w:right w:val="none" w:sz="0" w:space="0" w:color="auto"/>
              </w:divBdr>
            </w:div>
          </w:divsChild>
        </w:div>
        <w:div w:id="65614555">
          <w:marLeft w:val="0"/>
          <w:marRight w:val="0"/>
          <w:marTop w:val="400"/>
          <w:marBottom w:val="400"/>
          <w:divBdr>
            <w:top w:val="none" w:sz="0" w:space="0" w:color="auto"/>
            <w:left w:val="none" w:sz="0" w:space="0" w:color="auto"/>
            <w:bottom w:val="none" w:sz="0" w:space="0" w:color="auto"/>
            <w:right w:val="none" w:sz="0" w:space="0" w:color="auto"/>
          </w:divBdr>
          <w:divsChild>
            <w:div w:id="1895044014">
              <w:marLeft w:val="0"/>
              <w:marRight w:val="0"/>
              <w:marTop w:val="240"/>
              <w:marBottom w:val="240"/>
              <w:divBdr>
                <w:top w:val="none" w:sz="0" w:space="0" w:color="auto"/>
                <w:left w:val="none" w:sz="0" w:space="0" w:color="auto"/>
                <w:bottom w:val="none" w:sz="0" w:space="0" w:color="auto"/>
                <w:right w:val="none" w:sz="0" w:space="0" w:color="auto"/>
              </w:divBdr>
            </w:div>
          </w:divsChild>
        </w:div>
        <w:div w:id="1826631438">
          <w:marLeft w:val="0"/>
          <w:marRight w:val="0"/>
          <w:marTop w:val="400"/>
          <w:marBottom w:val="400"/>
          <w:divBdr>
            <w:top w:val="none" w:sz="0" w:space="0" w:color="auto"/>
            <w:left w:val="none" w:sz="0" w:space="0" w:color="auto"/>
            <w:bottom w:val="none" w:sz="0" w:space="0" w:color="auto"/>
            <w:right w:val="none" w:sz="0" w:space="0" w:color="auto"/>
          </w:divBdr>
          <w:divsChild>
            <w:div w:id="49232649">
              <w:marLeft w:val="0"/>
              <w:marRight w:val="0"/>
              <w:marTop w:val="240"/>
              <w:marBottom w:val="240"/>
              <w:divBdr>
                <w:top w:val="none" w:sz="0" w:space="0" w:color="auto"/>
                <w:left w:val="none" w:sz="0" w:space="0" w:color="auto"/>
                <w:bottom w:val="none" w:sz="0" w:space="0" w:color="auto"/>
                <w:right w:val="none" w:sz="0" w:space="0" w:color="auto"/>
              </w:divBdr>
            </w:div>
          </w:divsChild>
        </w:div>
        <w:div w:id="1294870857">
          <w:marLeft w:val="0"/>
          <w:marRight w:val="0"/>
          <w:marTop w:val="400"/>
          <w:marBottom w:val="400"/>
          <w:divBdr>
            <w:top w:val="none" w:sz="0" w:space="0" w:color="auto"/>
            <w:left w:val="none" w:sz="0" w:space="0" w:color="auto"/>
            <w:bottom w:val="none" w:sz="0" w:space="0" w:color="auto"/>
            <w:right w:val="none" w:sz="0" w:space="0" w:color="auto"/>
          </w:divBdr>
          <w:divsChild>
            <w:div w:id="134821568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rmets.onlinelibrary.wiley.com/doi/full/10.1002/met.163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cbi.nlm.nih.gov/pmc/articles/PMC7240860/" TargetMode="External"/><Relationship Id="rId5" Type="http://schemas.openxmlformats.org/officeDocument/2006/relationships/hyperlink" Target="https://rmets.onlinelibrary.wiley.com/doi/full/10.1002/met.1631" TargetMode="External"/><Relationship Id="rId4" Type="http://schemas.openxmlformats.org/officeDocument/2006/relationships/hyperlink" Target="https://www.ncbi.nlm.nih.gov/pmc/articles/PMC7240860/"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2</Pages>
  <Words>471</Words>
  <Characters>2691</Characters>
  <Application>Microsoft Office Word</Application>
  <DocSecurity>0</DocSecurity>
  <Lines>22</Lines>
  <Paragraphs>6</Paragraphs>
  <ScaleCrop>false</ScaleCrop>
  <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Tracey Willis</dc:creator>
  <cp:keywords/>
  <dc:description/>
  <cp:lastModifiedBy>Tracey Willis</cp:lastModifiedBy>
  <cp:revision>40</cp:revision>
  <dcterms:created xsi:type="dcterms:W3CDTF">2024-09-05T20:08:00Z</dcterms:created>
  <dcterms:modified xsi:type="dcterms:W3CDTF">2024-09-06T06:46:00Z</dcterms:modified>
</cp:coreProperties>
</file>