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625D1" w14:textId="2B2D0019" w:rsidR="00AD1400" w:rsidRPr="00AD1400" w:rsidRDefault="00AD1400">
      <w:pPr>
        <w:rPr>
          <w:sz w:val="36"/>
          <w:szCs w:val="36"/>
        </w:rPr>
      </w:pPr>
      <w:r w:rsidRPr="00AD1400">
        <w:rPr>
          <w:sz w:val="36"/>
          <w:szCs w:val="36"/>
        </w:rPr>
        <w:t xml:space="preserve">DCGAN Modeli </w:t>
      </w:r>
      <w:r>
        <w:rPr>
          <w:sz w:val="36"/>
          <w:szCs w:val="36"/>
        </w:rPr>
        <w:t>Rapor</w:t>
      </w:r>
    </w:p>
    <w:p w14:paraId="73CFCBFD" w14:textId="1D49A156" w:rsidR="00AD1400" w:rsidRDefault="00AD1400" w:rsidP="00AD1400">
      <w:r w:rsidRPr="00AD1400">
        <w:t xml:space="preserve">Bu model </w:t>
      </w:r>
      <w:proofErr w:type="spellStart"/>
      <w:r w:rsidRPr="00AD1400">
        <w:t>CelebA</w:t>
      </w:r>
      <w:proofErr w:type="spellEnd"/>
      <w:r w:rsidRPr="00AD1400">
        <w:t xml:space="preserve"> veri seti kullanılarak eğitilmiş bir yüz üretim modelidir. Temelinde DCGAN yapısı bulunmaktadır ve model, gerçek insan yüzlerine benzeyen yeni görüntüler üretmeyi amaçlamaktadır. Eğitim sürecinde modelin daha stabil çalışması ve daha kaliteli sonuçlar vermesi için </w:t>
      </w:r>
      <w:proofErr w:type="spellStart"/>
      <w:r w:rsidRPr="00AD1400">
        <w:t>spectral</w:t>
      </w:r>
      <w:proofErr w:type="spellEnd"/>
      <w:r w:rsidRPr="00AD1400">
        <w:t xml:space="preserve"> </w:t>
      </w:r>
      <w:proofErr w:type="spellStart"/>
      <w:r w:rsidRPr="00AD1400">
        <w:t>normalization</w:t>
      </w:r>
      <w:proofErr w:type="spellEnd"/>
      <w:r w:rsidRPr="00AD1400">
        <w:t xml:space="preserve"> ve self-</w:t>
      </w:r>
      <w:proofErr w:type="spellStart"/>
      <w:r w:rsidRPr="00AD1400">
        <w:t>attention</w:t>
      </w:r>
      <w:proofErr w:type="spellEnd"/>
      <w:r w:rsidRPr="00AD1400">
        <w:t xml:space="preserve"> gibi ek yöntemlerden yararlanılmıştır. Modelin başarısı da FID metriği ile değerlendirilmiştir. Kısacası bu çalışma, </w:t>
      </w:r>
      <w:proofErr w:type="spellStart"/>
      <w:r w:rsidRPr="00AD1400">
        <w:t>CelebA</w:t>
      </w:r>
      <w:proofErr w:type="spellEnd"/>
      <w:r w:rsidRPr="00AD1400">
        <w:t xml:space="preserve"> veri setindeki yüz örneklerinden öğrenerek yeni ve gerçekçi yüz görselleri üretebilen, geliştirilmiş bir derin öğrenme modeline dayanmaktadır.</w:t>
      </w:r>
    </w:p>
    <w:p w14:paraId="73E574D5" w14:textId="57A7C0E1" w:rsidR="00AD1400" w:rsidRDefault="00AD1400" w:rsidP="00AD1400">
      <w:pPr>
        <w:rPr>
          <w:color w:val="EE0000"/>
          <w:sz w:val="28"/>
          <w:szCs w:val="28"/>
        </w:rPr>
      </w:pPr>
      <w:r>
        <w:rPr>
          <w:color w:val="EE0000"/>
          <w:sz w:val="28"/>
          <w:szCs w:val="28"/>
        </w:rPr>
        <w:t>Bu proje başlığı altında herhangi bir anonimleştirme bulunmamaktadır.</w:t>
      </w:r>
    </w:p>
    <w:p w14:paraId="519BDA55" w14:textId="3C5E093F" w:rsidR="00AD1400" w:rsidRDefault="00AD1400" w:rsidP="00AD1400">
      <w:pPr>
        <w:rPr>
          <w:color w:val="EE0000"/>
          <w:sz w:val="28"/>
          <w:szCs w:val="28"/>
        </w:rPr>
      </w:pPr>
    </w:p>
    <w:p w14:paraId="08BD4FE2" w14:textId="671753C8" w:rsidR="00AD1400" w:rsidRDefault="00AD1400" w:rsidP="00AD1400">
      <w:pPr>
        <w:rPr>
          <w:sz w:val="36"/>
          <w:szCs w:val="36"/>
        </w:rPr>
      </w:pPr>
      <w:r w:rsidRPr="00AD1400">
        <w:rPr>
          <w:sz w:val="36"/>
          <w:szCs w:val="36"/>
        </w:rPr>
        <w:t>Kaynakça</w:t>
      </w:r>
    </w:p>
    <w:p w14:paraId="6C880CDE" w14:textId="00E59AF5" w:rsidR="00AD1400" w:rsidRPr="00AD1400" w:rsidRDefault="00AD1400" w:rsidP="00AD1400">
      <w:pPr>
        <w:rPr>
          <w:color w:val="000000" w:themeColor="text1"/>
          <w:sz w:val="36"/>
          <w:szCs w:val="36"/>
        </w:rPr>
      </w:pPr>
      <w:r>
        <w:rPr>
          <w:color w:val="000000" w:themeColor="text1"/>
          <w:sz w:val="36"/>
          <w:szCs w:val="36"/>
        </w:rPr>
        <w:t xml:space="preserve"> </w:t>
      </w:r>
      <w:r w:rsidRPr="00AD1400">
        <w:rPr>
          <w:color w:val="000000" w:themeColor="text1"/>
          <w:sz w:val="36"/>
          <w:szCs w:val="36"/>
        </w:rPr>
        <w:t xml:space="preserve"> </w:t>
      </w:r>
      <w:proofErr w:type="spellStart"/>
      <w:r w:rsidRPr="00AD1400">
        <w:rPr>
          <w:color w:val="000000" w:themeColor="text1"/>
          <w:sz w:val="36"/>
          <w:szCs w:val="36"/>
        </w:rPr>
        <w:t>Goodfellow</w:t>
      </w:r>
      <w:proofErr w:type="spellEnd"/>
      <w:r w:rsidRPr="00AD1400">
        <w:rPr>
          <w:color w:val="000000" w:themeColor="text1"/>
          <w:sz w:val="36"/>
          <w:szCs w:val="36"/>
        </w:rPr>
        <w:t xml:space="preserve"> et al., 2014 — GAN</w:t>
      </w:r>
    </w:p>
    <w:p w14:paraId="3A62A340" w14:textId="037650F2" w:rsidR="00AD1400" w:rsidRPr="00AD1400" w:rsidRDefault="00AD1400" w:rsidP="00AD1400">
      <w:pPr>
        <w:rPr>
          <w:color w:val="000000" w:themeColor="text1"/>
          <w:sz w:val="36"/>
          <w:szCs w:val="36"/>
        </w:rPr>
      </w:pPr>
      <w:r w:rsidRPr="00AD1400">
        <w:rPr>
          <w:color w:val="000000" w:themeColor="text1"/>
          <w:sz w:val="36"/>
          <w:szCs w:val="36"/>
        </w:rPr>
        <w:t xml:space="preserve">  </w:t>
      </w:r>
      <w:proofErr w:type="spellStart"/>
      <w:r w:rsidRPr="00AD1400">
        <w:rPr>
          <w:color w:val="000000" w:themeColor="text1"/>
          <w:sz w:val="36"/>
          <w:szCs w:val="36"/>
        </w:rPr>
        <w:t>Radford</w:t>
      </w:r>
      <w:proofErr w:type="spellEnd"/>
      <w:r w:rsidRPr="00AD1400">
        <w:rPr>
          <w:color w:val="000000" w:themeColor="text1"/>
          <w:sz w:val="36"/>
          <w:szCs w:val="36"/>
        </w:rPr>
        <w:t xml:space="preserve"> et al., 2016 — DCGAN</w:t>
      </w:r>
    </w:p>
    <w:p w14:paraId="751D98CD" w14:textId="6D0C0045" w:rsidR="00AD1400" w:rsidRPr="00AD1400" w:rsidRDefault="00AD1400" w:rsidP="00AD1400">
      <w:pPr>
        <w:rPr>
          <w:color w:val="000000" w:themeColor="text1"/>
          <w:sz w:val="36"/>
          <w:szCs w:val="36"/>
        </w:rPr>
      </w:pPr>
      <w:r w:rsidRPr="00AD1400">
        <w:rPr>
          <w:color w:val="000000" w:themeColor="text1"/>
          <w:sz w:val="36"/>
          <w:szCs w:val="36"/>
        </w:rPr>
        <w:t xml:space="preserve">  </w:t>
      </w:r>
      <w:proofErr w:type="spellStart"/>
      <w:r w:rsidRPr="00AD1400">
        <w:rPr>
          <w:color w:val="000000" w:themeColor="text1"/>
          <w:sz w:val="36"/>
          <w:szCs w:val="36"/>
        </w:rPr>
        <w:t>Miyato</w:t>
      </w:r>
      <w:proofErr w:type="spellEnd"/>
      <w:r w:rsidRPr="00AD1400">
        <w:rPr>
          <w:color w:val="000000" w:themeColor="text1"/>
          <w:sz w:val="36"/>
          <w:szCs w:val="36"/>
        </w:rPr>
        <w:t xml:space="preserve"> et al., 2018 — </w:t>
      </w:r>
      <w:proofErr w:type="spellStart"/>
      <w:r w:rsidRPr="00AD1400">
        <w:rPr>
          <w:color w:val="000000" w:themeColor="text1"/>
          <w:sz w:val="36"/>
          <w:szCs w:val="36"/>
        </w:rPr>
        <w:t>Spectral</w:t>
      </w:r>
      <w:proofErr w:type="spellEnd"/>
      <w:r w:rsidRPr="00AD1400">
        <w:rPr>
          <w:color w:val="000000" w:themeColor="text1"/>
          <w:sz w:val="36"/>
          <w:szCs w:val="36"/>
        </w:rPr>
        <w:t xml:space="preserve"> </w:t>
      </w:r>
      <w:proofErr w:type="spellStart"/>
      <w:r w:rsidRPr="00AD1400">
        <w:rPr>
          <w:color w:val="000000" w:themeColor="text1"/>
          <w:sz w:val="36"/>
          <w:szCs w:val="36"/>
        </w:rPr>
        <w:t>Normalization</w:t>
      </w:r>
      <w:proofErr w:type="spellEnd"/>
    </w:p>
    <w:p w14:paraId="0B7BE66A" w14:textId="007350C9" w:rsidR="00AD1400" w:rsidRPr="00AD1400" w:rsidRDefault="00AD1400" w:rsidP="00AD1400">
      <w:pPr>
        <w:rPr>
          <w:color w:val="000000" w:themeColor="text1"/>
          <w:sz w:val="36"/>
          <w:szCs w:val="36"/>
        </w:rPr>
      </w:pPr>
      <w:r w:rsidRPr="00AD1400">
        <w:rPr>
          <w:color w:val="000000" w:themeColor="text1"/>
          <w:sz w:val="36"/>
          <w:szCs w:val="36"/>
        </w:rPr>
        <w:t xml:space="preserve">  Zhang et al., 2019 — SAGAN / Self-</w:t>
      </w:r>
      <w:proofErr w:type="spellStart"/>
      <w:r w:rsidRPr="00AD1400">
        <w:rPr>
          <w:color w:val="000000" w:themeColor="text1"/>
          <w:sz w:val="36"/>
          <w:szCs w:val="36"/>
        </w:rPr>
        <w:t>Attention</w:t>
      </w:r>
      <w:proofErr w:type="spellEnd"/>
    </w:p>
    <w:p w14:paraId="493E526D" w14:textId="46ED314C" w:rsidR="00AD1400" w:rsidRPr="00AD1400" w:rsidRDefault="00AD1400" w:rsidP="00AD1400">
      <w:pPr>
        <w:rPr>
          <w:color w:val="000000" w:themeColor="text1"/>
          <w:sz w:val="36"/>
          <w:szCs w:val="36"/>
        </w:rPr>
      </w:pPr>
      <w:r w:rsidRPr="00AD1400">
        <w:rPr>
          <w:color w:val="000000" w:themeColor="text1"/>
          <w:sz w:val="36"/>
          <w:szCs w:val="36"/>
        </w:rPr>
        <w:t xml:space="preserve">  </w:t>
      </w:r>
      <w:proofErr w:type="spellStart"/>
      <w:r w:rsidRPr="00AD1400">
        <w:rPr>
          <w:color w:val="000000" w:themeColor="text1"/>
          <w:sz w:val="36"/>
          <w:szCs w:val="36"/>
        </w:rPr>
        <w:t>Heusel</w:t>
      </w:r>
      <w:proofErr w:type="spellEnd"/>
      <w:r w:rsidRPr="00AD1400">
        <w:rPr>
          <w:color w:val="000000" w:themeColor="text1"/>
          <w:sz w:val="36"/>
          <w:szCs w:val="36"/>
        </w:rPr>
        <w:t xml:space="preserve"> et al., 2017 — TTUR + FID</w:t>
      </w:r>
    </w:p>
    <w:p w14:paraId="76ECFEFA" w14:textId="03A19AB9" w:rsidR="00AD1400" w:rsidRPr="00AD1400" w:rsidRDefault="00AD1400" w:rsidP="00AD1400">
      <w:pPr>
        <w:rPr>
          <w:color w:val="000000" w:themeColor="text1"/>
          <w:sz w:val="36"/>
          <w:szCs w:val="36"/>
        </w:rPr>
      </w:pPr>
      <w:r w:rsidRPr="00AD1400">
        <w:rPr>
          <w:color w:val="000000" w:themeColor="text1"/>
          <w:sz w:val="36"/>
          <w:szCs w:val="36"/>
        </w:rPr>
        <w:t xml:space="preserve">  Zhao et al., 2020 — </w:t>
      </w:r>
      <w:proofErr w:type="spellStart"/>
      <w:r w:rsidRPr="00AD1400">
        <w:rPr>
          <w:color w:val="000000" w:themeColor="text1"/>
          <w:sz w:val="36"/>
          <w:szCs w:val="36"/>
        </w:rPr>
        <w:t>DiffAugment</w:t>
      </w:r>
      <w:proofErr w:type="spellEnd"/>
    </w:p>
    <w:p w14:paraId="7CFEC5C9" w14:textId="69B96FD7" w:rsidR="00AD1400" w:rsidRPr="00AD1400" w:rsidRDefault="00AD1400" w:rsidP="00AD1400">
      <w:pPr>
        <w:rPr>
          <w:color w:val="000000" w:themeColor="text1"/>
          <w:sz w:val="36"/>
          <w:szCs w:val="36"/>
        </w:rPr>
      </w:pPr>
      <w:r w:rsidRPr="00AD1400">
        <w:rPr>
          <w:color w:val="000000" w:themeColor="text1"/>
          <w:sz w:val="36"/>
          <w:szCs w:val="36"/>
        </w:rPr>
        <w:t xml:space="preserve">  </w:t>
      </w:r>
      <w:proofErr w:type="spellStart"/>
      <w:r w:rsidRPr="00AD1400">
        <w:rPr>
          <w:color w:val="000000" w:themeColor="text1"/>
          <w:sz w:val="36"/>
          <w:szCs w:val="36"/>
        </w:rPr>
        <w:t>Liu</w:t>
      </w:r>
      <w:proofErr w:type="spellEnd"/>
      <w:r w:rsidRPr="00AD1400">
        <w:rPr>
          <w:color w:val="000000" w:themeColor="text1"/>
          <w:sz w:val="36"/>
          <w:szCs w:val="36"/>
        </w:rPr>
        <w:t xml:space="preserve"> et al., 2015 — </w:t>
      </w:r>
      <w:proofErr w:type="spellStart"/>
      <w:r w:rsidRPr="00AD1400">
        <w:rPr>
          <w:color w:val="000000" w:themeColor="text1"/>
          <w:sz w:val="36"/>
          <w:szCs w:val="36"/>
        </w:rPr>
        <w:t>CelebA</w:t>
      </w:r>
      <w:proofErr w:type="spellEnd"/>
    </w:p>
    <w:p w14:paraId="54F6B1B8" w14:textId="0A0473A2" w:rsidR="00AD1400" w:rsidRDefault="00AD1400" w:rsidP="00AD1400">
      <w:pPr>
        <w:pBdr>
          <w:bottom w:val="single" w:sz="6" w:space="1" w:color="auto"/>
        </w:pBdr>
        <w:rPr>
          <w:color w:val="000000" w:themeColor="text1"/>
          <w:sz w:val="36"/>
          <w:szCs w:val="36"/>
        </w:rPr>
      </w:pPr>
      <w:r w:rsidRPr="00AD1400">
        <w:rPr>
          <w:color w:val="000000" w:themeColor="text1"/>
          <w:sz w:val="36"/>
          <w:szCs w:val="36"/>
        </w:rPr>
        <w:t xml:space="preserve">  Jessica </w:t>
      </w:r>
      <w:proofErr w:type="spellStart"/>
      <w:r w:rsidRPr="00AD1400">
        <w:rPr>
          <w:color w:val="000000" w:themeColor="text1"/>
          <w:sz w:val="36"/>
          <w:szCs w:val="36"/>
        </w:rPr>
        <w:t>Li</w:t>
      </w:r>
      <w:proofErr w:type="spellEnd"/>
      <w:r w:rsidRPr="00AD1400">
        <w:rPr>
          <w:color w:val="000000" w:themeColor="text1"/>
          <w:sz w:val="36"/>
          <w:szCs w:val="36"/>
        </w:rPr>
        <w:t xml:space="preserve"> </w:t>
      </w:r>
      <w:proofErr w:type="spellStart"/>
      <w:r w:rsidRPr="00AD1400">
        <w:rPr>
          <w:color w:val="000000" w:themeColor="text1"/>
          <w:sz w:val="36"/>
          <w:szCs w:val="36"/>
        </w:rPr>
        <w:t>Kaggle</w:t>
      </w:r>
      <w:proofErr w:type="spellEnd"/>
      <w:r w:rsidRPr="00AD1400">
        <w:rPr>
          <w:color w:val="000000" w:themeColor="text1"/>
          <w:sz w:val="36"/>
          <w:szCs w:val="36"/>
        </w:rPr>
        <w:t xml:space="preserve"> </w:t>
      </w:r>
      <w:proofErr w:type="spellStart"/>
      <w:r w:rsidRPr="00AD1400">
        <w:rPr>
          <w:color w:val="000000" w:themeColor="text1"/>
          <w:sz w:val="36"/>
          <w:szCs w:val="36"/>
        </w:rPr>
        <w:t>CelebA</w:t>
      </w:r>
      <w:proofErr w:type="spellEnd"/>
      <w:r w:rsidRPr="00AD1400">
        <w:rPr>
          <w:color w:val="000000" w:themeColor="text1"/>
          <w:sz w:val="36"/>
          <w:szCs w:val="36"/>
        </w:rPr>
        <w:t xml:space="preserve"> </w:t>
      </w:r>
      <w:proofErr w:type="spellStart"/>
      <w:r w:rsidRPr="00AD1400">
        <w:rPr>
          <w:color w:val="000000" w:themeColor="text1"/>
          <w:sz w:val="36"/>
          <w:szCs w:val="36"/>
        </w:rPr>
        <w:t>dataset</w:t>
      </w:r>
      <w:proofErr w:type="spellEnd"/>
      <w:r w:rsidRPr="00AD1400">
        <w:rPr>
          <w:color w:val="000000" w:themeColor="text1"/>
          <w:sz w:val="36"/>
          <w:szCs w:val="36"/>
        </w:rPr>
        <w:t xml:space="preserve"> </w:t>
      </w:r>
      <w:proofErr w:type="spellStart"/>
      <w:r w:rsidRPr="00AD1400">
        <w:rPr>
          <w:color w:val="000000" w:themeColor="text1"/>
          <w:sz w:val="36"/>
          <w:szCs w:val="36"/>
        </w:rPr>
        <w:t>page</w:t>
      </w:r>
      <w:proofErr w:type="spellEnd"/>
    </w:p>
    <w:p w14:paraId="56F6B459" w14:textId="09E90C04" w:rsidR="00AD1400" w:rsidRPr="00AD1400" w:rsidRDefault="00AD1400" w:rsidP="00AD1400">
      <w:pPr>
        <w:rPr>
          <w:color w:val="000000" w:themeColor="text1"/>
          <w:sz w:val="36"/>
          <w:szCs w:val="36"/>
        </w:rPr>
      </w:pPr>
      <w:proofErr w:type="spellStart"/>
      <w:r w:rsidRPr="00AD1400">
        <w:rPr>
          <w:color w:val="000000" w:themeColor="text1"/>
          <w:sz w:val="36"/>
          <w:szCs w:val="36"/>
        </w:rPr>
        <w:t>Goodfellow</w:t>
      </w:r>
      <w:proofErr w:type="spellEnd"/>
      <w:r w:rsidRPr="00AD1400">
        <w:rPr>
          <w:color w:val="000000" w:themeColor="text1"/>
          <w:sz w:val="36"/>
          <w:szCs w:val="36"/>
        </w:rPr>
        <w:t xml:space="preserve">, I., </w:t>
      </w:r>
      <w:proofErr w:type="spellStart"/>
      <w:r w:rsidRPr="00AD1400">
        <w:rPr>
          <w:color w:val="000000" w:themeColor="text1"/>
          <w:sz w:val="36"/>
          <w:szCs w:val="36"/>
        </w:rPr>
        <w:t>Pouget-Abadie</w:t>
      </w:r>
      <w:proofErr w:type="spellEnd"/>
      <w:r w:rsidRPr="00AD1400">
        <w:rPr>
          <w:color w:val="000000" w:themeColor="text1"/>
          <w:sz w:val="36"/>
          <w:szCs w:val="36"/>
        </w:rPr>
        <w:t xml:space="preserve">, J., Mirza, M., Xu, B., </w:t>
      </w:r>
      <w:proofErr w:type="spellStart"/>
      <w:r w:rsidRPr="00AD1400">
        <w:rPr>
          <w:color w:val="000000" w:themeColor="text1"/>
          <w:sz w:val="36"/>
          <w:szCs w:val="36"/>
        </w:rPr>
        <w:t>Warde-Farley</w:t>
      </w:r>
      <w:proofErr w:type="spellEnd"/>
      <w:r w:rsidRPr="00AD1400">
        <w:rPr>
          <w:color w:val="000000" w:themeColor="text1"/>
          <w:sz w:val="36"/>
          <w:szCs w:val="36"/>
        </w:rPr>
        <w:t xml:space="preserve">, D., </w:t>
      </w:r>
      <w:proofErr w:type="spellStart"/>
      <w:r w:rsidRPr="00AD1400">
        <w:rPr>
          <w:color w:val="000000" w:themeColor="text1"/>
          <w:sz w:val="36"/>
          <w:szCs w:val="36"/>
        </w:rPr>
        <w:t>Ozair</w:t>
      </w:r>
      <w:proofErr w:type="spellEnd"/>
      <w:r w:rsidRPr="00AD1400">
        <w:rPr>
          <w:color w:val="000000" w:themeColor="text1"/>
          <w:sz w:val="36"/>
          <w:szCs w:val="36"/>
        </w:rPr>
        <w:t xml:space="preserve">, S., </w:t>
      </w:r>
      <w:proofErr w:type="spellStart"/>
      <w:r w:rsidRPr="00AD1400">
        <w:rPr>
          <w:color w:val="000000" w:themeColor="text1"/>
          <w:sz w:val="36"/>
          <w:szCs w:val="36"/>
        </w:rPr>
        <w:t>Courville</w:t>
      </w:r>
      <w:proofErr w:type="spellEnd"/>
      <w:r w:rsidRPr="00AD1400">
        <w:rPr>
          <w:color w:val="000000" w:themeColor="text1"/>
          <w:sz w:val="36"/>
          <w:szCs w:val="36"/>
        </w:rPr>
        <w:t xml:space="preserve">, A., &amp; </w:t>
      </w:r>
      <w:proofErr w:type="spellStart"/>
      <w:r w:rsidRPr="00AD1400">
        <w:rPr>
          <w:color w:val="000000" w:themeColor="text1"/>
          <w:sz w:val="36"/>
          <w:szCs w:val="36"/>
        </w:rPr>
        <w:t>Bengio</w:t>
      </w:r>
      <w:proofErr w:type="spellEnd"/>
      <w:r w:rsidRPr="00AD1400">
        <w:rPr>
          <w:color w:val="000000" w:themeColor="text1"/>
          <w:sz w:val="36"/>
          <w:szCs w:val="36"/>
        </w:rPr>
        <w:t xml:space="preserve">, Y. (2014). </w:t>
      </w:r>
      <w:proofErr w:type="spellStart"/>
      <w:r w:rsidRPr="00AD1400">
        <w:rPr>
          <w:i/>
          <w:iCs/>
          <w:color w:val="000000" w:themeColor="text1"/>
          <w:sz w:val="36"/>
          <w:szCs w:val="36"/>
        </w:rPr>
        <w:t>Generative</w:t>
      </w:r>
      <w:proofErr w:type="spellEnd"/>
      <w:r w:rsidRPr="00AD1400">
        <w:rPr>
          <w:i/>
          <w:iCs/>
          <w:color w:val="000000" w:themeColor="text1"/>
          <w:sz w:val="36"/>
          <w:szCs w:val="36"/>
        </w:rPr>
        <w:t xml:space="preserve"> </w:t>
      </w:r>
      <w:proofErr w:type="spellStart"/>
      <w:r w:rsidRPr="00AD1400">
        <w:rPr>
          <w:i/>
          <w:iCs/>
          <w:color w:val="000000" w:themeColor="text1"/>
          <w:sz w:val="36"/>
          <w:szCs w:val="36"/>
        </w:rPr>
        <w:t>adversarial</w:t>
      </w:r>
      <w:proofErr w:type="spellEnd"/>
      <w:r w:rsidRPr="00AD1400">
        <w:rPr>
          <w:i/>
          <w:iCs/>
          <w:color w:val="000000" w:themeColor="text1"/>
          <w:sz w:val="36"/>
          <w:szCs w:val="36"/>
        </w:rPr>
        <w:t xml:space="preserve"> </w:t>
      </w:r>
      <w:proofErr w:type="spellStart"/>
      <w:r w:rsidRPr="00AD1400">
        <w:rPr>
          <w:i/>
          <w:iCs/>
          <w:color w:val="000000" w:themeColor="text1"/>
          <w:sz w:val="36"/>
          <w:szCs w:val="36"/>
        </w:rPr>
        <w:t>nets</w:t>
      </w:r>
      <w:proofErr w:type="spellEnd"/>
      <w:r w:rsidRPr="00AD1400">
        <w:rPr>
          <w:color w:val="000000" w:themeColor="text1"/>
          <w:sz w:val="36"/>
          <w:szCs w:val="36"/>
        </w:rPr>
        <w:t xml:space="preserve">. </w:t>
      </w:r>
      <w:proofErr w:type="spellStart"/>
      <w:r w:rsidRPr="00AD1400">
        <w:rPr>
          <w:color w:val="000000" w:themeColor="text1"/>
          <w:sz w:val="36"/>
          <w:szCs w:val="36"/>
        </w:rPr>
        <w:t>In</w:t>
      </w:r>
      <w:proofErr w:type="spellEnd"/>
      <w:r w:rsidRPr="00AD1400">
        <w:rPr>
          <w:color w:val="000000" w:themeColor="text1"/>
          <w:sz w:val="36"/>
          <w:szCs w:val="36"/>
        </w:rPr>
        <w:t xml:space="preserve"> </w:t>
      </w:r>
      <w:proofErr w:type="spellStart"/>
      <w:r w:rsidRPr="00AD1400">
        <w:rPr>
          <w:i/>
          <w:iCs/>
          <w:color w:val="000000" w:themeColor="text1"/>
          <w:sz w:val="36"/>
          <w:szCs w:val="36"/>
        </w:rPr>
        <w:t>Advances</w:t>
      </w:r>
      <w:proofErr w:type="spellEnd"/>
      <w:r w:rsidRPr="00AD1400">
        <w:rPr>
          <w:i/>
          <w:iCs/>
          <w:color w:val="000000" w:themeColor="text1"/>
          <w:sz w:val="36"/>
          <w:szCs w:val="36"/>
        </w:rPr>
        <w:t xml:space="preserve"> in </w:t>
      </w:r>
      <w:proofErr w:type="spellStart"/>
      <w:r w:rsidRPr="00AD1400">
        <w:rPr>
          <w:i/>
          <w:iCs/>
          <w:color w:val="000000" w:themeColor="text1"/>
          <w:sz w:val="36"/>
          <w:szCs w:val="36"/>
        </w:rPr>
        <w:t>Neural</w:t>
      </w:r>
      <w:proofErr w:type="spellEnd"/>
      <w:r w:rsidRPr="00AD1400">
        <w:rPr>
          <w:i/>
          <w:iCs/>
          <w:color w:val="000000" w:themeColor="text1"/>
          <w:sz w:val="36"/>
          <w:szCs w:val="36"/>
        </w:rPr>
        <w:t xml:space="preserve"> Information </w:t>
      </w:r>
      <w:proofErr w:type="spellStart"/>
      <w:r w:rsidRPr="00AD1400">
        <w:rPr>
          <w:i/>
          <w:iCs/>
          <w:color w:val="000000" w:themeColor="text1"/>
          <w:sz w:val="36"/>
          <w:szCs w:val="36"/>
        </w:rPr>
        <w:t>Processing</w:t>
      </w:r>
      <w:proofErr w:type="spellEnd"/>
      <w:r w:rsidRPr="00AD1400">
        <w:rPr>
          <w:i/>
          <w:iCs/>
          <w:color w:val="000000" w:themeColor="text1"/>
          <w:sz w:val="36"/>
          <w:szCs w:val="36"/>
        </w:rPr>
        <w:t xml:space="preserve"> </w:t>
      </w:r>
      <w:proofErr w:type="spellStart"/>
      <w:r w:rsidRPr="00AD1400">
        <w:rPr>
          <w:i/>
          <w:iCs/>
          <w:color w:val="000000" w:themeColor="text1"/>
          <w:sz w:val="36"/>
          <w:szCs w:val="36"/>
        </w:rPr>
        <w:t>Systems</w:t>
      </w:r>
      <w:proofErr w:type="spellEnd"/>
      <w:r w:rsidRPr="00AD1400">
        <w:rPr>
          <w:i/>
          <w:iCs/>
          <w:color w:val="000000" w:themeColor="text1"/>
          <w:sz w:val="36"/>
          <w:szCs w:val="36"/>
        </w:rPr>
        <w:t xml:space="preserve"> (</w:t>
      </w:r>
      <w:proofErr w:type="spellStart"/>
      <w:r w:rsidRPr="00AD1400">
        <w:rPr>
          <w:i/>
          <w:iCs/>
          <w:color w:val="000000" w:themeColor="text1"/>
          <w:sz w:val="36"/>
          <w:szCs w:val="36"/>
        </w:rPr>
        <w:t>NeurIPS</w:t>
      </w:r>
      <w:proofErr w:type="spellEnd"/>
      <w:r w:rsidRPr="00AD1400">
        <w:rPr>
          <w:i/>
          <w:iCs/>
          <w:color w:val="000000" w:themeColor="text1"/>
          <w:sz w:val="36"/>
          <w:szCs w:val="36"/>
        </w:rPr>
        <w:t>)</w:t>
      </w:r>
      <w:r w:rsidRPr="00AD1400">
        <w:rPr>
          <w:color w:val="000000" w:themeColor="text1"/>
          <w:sz w:val="36"/>
          <w:szCs w:val="36"/>
        </w:rPr>
        <w:t>.</w:t>
      </w:r>
    </w:p>
    <w:p w14:paraId="6C5D0434" w14:textId="77777777" w:rsidR="00AD1400" w:rsidRPr="00AD1400" w:rsidRDefault="00AD1400" w:rsidP="00AD1400">
      <w:pPr>
        <w:rPr>
          <w:color w:val="F2F2F2" w:themeColor="background1" w:themeShade="F2"/>
          <w:sz w:val="36"/>
          <w:szCs w:val="36"/>
        </w:rPr>
      </w:pPr>
    </w:p>
    <w:sectPr w:rsidR="00AD1400" w:rsidRPr="00AD140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400"/>
    <w:rsid w:val="00860CEC"/>
    <w:rsid w:val="00AD140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D960A"/>
  <w15:chartTrackingRefBased/>
  <w15:docId w15:val="{F775E48D-96B5-47CB-979D-314EE80D9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AD14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AD14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AD1400"/>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AD1400"/>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AD1400"/>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AD1400"/>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AD1400"/>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AD1400"/>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AD1400"/>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AD1400"/>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AD1400"/>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AD1400"/>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AD1400"/>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AD1400"/>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AD1400"/>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AD1400"/>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AD1400"/>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AD1400"/>
    <w:rPr>
      <w:rFonts w:eastAsiaTheme="majorEastAsia" w:cstheme="majorBidi"/>
      <w:color w:val="272727" w:themeColor="text1" w:themeTint="D8"/>
    </w:rPr>
  </w:style>
  <w:style w:type="paragraph" w:styleId="KonuBal">
    <w:name w:val="Title"/>
    <w:basedOn w:val="Normal"/>
    <w:next w:val="Normal"/>
    <w:link w:val="KonuBalChar"/>
    <w:uiPriority w:val="10"/>
    <w:qFormat/>
    <w:rsid w:val="00AD14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AD1400"/>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AD1400"/>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AD1400"/>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AD1400"/>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AD1400"/>
    <w:rPr>
      <w:i/>
      <w:iCs/>
      <w:color w:val="404040" w:themeColor="text1" w:themeTint="BF"/>
    </w:rPr>
  </w:style>
  <w:style w:type="paragraph" w:styleId="ListeParagraf">
    <w:name w:val="List Paragraph"/>
    <w:basedOn w:val="Normal"/>
    <w:uiPriority w:val="34"/>
    <w:qFormat/>
    <w:rsid w:val="00AD1400"/>
    <w:pPr>
      <w:ind w:left="720"/>
      <w:contextualSpacing/>
    </w:pPr>
  </w:style>
  <w:style w:type="character" w:styleId="GlVurgulama">
    <w:name w:val="Intense Emphasis"/>
    <w:basedOn w:val="VarsaylanParagrafYazTipi"/>
    <w:uiPriority w:val="21"/>
    <w:qFormat/>
    <w:rsid w:val="00AD1400"/>
    <w:rPr>
      <w:i/>
      <w:iCs/>
      <w:color w:val="0F4761" w:themeColor="accent1" w:themeShade="BF"/>
    </w:rPr>
  </w:style>
  <w:style w:type="paragraph" w:styleId="GlAlnt">
    <w:name w:val="Intense Quote"/>
    <w:basedOn w:val="Normal"/>
    <w:next w:val="Normal"/>
    <w:link w:val="GlAlntChar"/>
    <w:uiPriority w:val="30"/>
    <w:qFormat/>
    <w:rsid w:val="00AD14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AD1400"/>
    <w:rPr>
      <w:i/>
      <w:iCs/>
      <w:color w:val="0F4761" w:themeColor="accent1" w:themeShade="BF"/>
    </w:rPr>
  </w:style>
  <w:style w:type="character" w:styleId="GlBavuru">
    <w:name w:val="Intense Reference"/>
    <w:basedOn w:val="VarsaylanParagrafYazTipi"/>
    <w:uiPriority w:val="32"/>
    <w:qFormat/>
    <w:rsid w:val="00AD14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162</Words>
  <Characters>1032</Characters>
  <Application>Microsoft Office Word</Application>
  <DocSecurity>0</DocSecurity>
  <Lines>54</Lines>
  <Paragraphs>59</Paragraphs>
  <ScaleCrop>false</ScaleCrop>
  <Company/>
  <LinksUpToDate>false</LinksUpToDate>
  <CharactersWithSpaces>1135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Seza KILINÇ</dc:creator>
  <cp:keywords/>
  <dc:description/>
  <cp:lastModifiedBy>Yusuf Seza KILINÇ</cp:lastModifiedBy>
  <cp:revision>1</cp:revision>
  <dcterms:created xsi:type="dcterms:W3CDTF">2026-03-06T13:57:00Z</dcterms:created>
  <dcterms:modified xsi:type="dcterms:W3CDTF">2026-03-06T14:06:00Z</dcterms:modified>
</cp:coreProperties>
</file>