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07542e326e614873" /></Relationships>
</file>

<file path=word/document.xml><?xml version="1.0" encoding="utf-8"?>
<w:document xmlns:r="http://schemas.openxmlformats.org/officeDocument/2006/relationships" xmlns:w="http://schemas.openxmlformats.org/wordprocessingml/2006/main">
  <w:body>
    <w:p>
      <w:pPr>
        <w:pStyle w:val="Heading1"/>
        <w:pageBreakBefore w:val="false"/>
      </w:pPr>
      <w:r>
        <w:t>Executive Summary</w:t>
      </w:r>
    </w:p>
    <w:p>
      <w:r>
        <w:t>This report presents a comprehensive analysis of a machine learning model developed for breast cancer diagnostic prediction using the Wisconsin Breast Cancer Diagnostic (WDBC) dataset. The primary objective was to develop a reliable classification system capable of distinguishing between malignant and benign breast tumors based on quantitative features extracted from fine needle aspirate (FNA) biopsy images.</w:t>
      </w:r>
    </w:p>
    <w:p>
      <w:pPr>
        <w:spacing w:before="240"/>
      </w:pPr>
      <w:r>
        <w:rPr>
          <w:b/>
          <w:color w:val="1E3A5F"/>
        </w:rPr>
        <w:t>Key Findings:</w:t>
      </w:r>
    </w:p>
    <w:p>
      <w:pPr>
        <w:numPr>
          <w:ilvl w:val="0"/>
          <w:numId w:val="2"/>
        </w:numPr>
        <w:spacing w:before="60" w:after="60"/>
      </w:pPr>
      <w:r>
        <w:t>The optimized Logistic Regression model achieved an accuracy of 98.25% on the test dataset</w:t>
      </w:r>
    </w:p>
    <w:p>
      <w:pPr>
        <w:numPr>
          <w:ilvl w:val="0"/>
          <w:numId w:val="2"/>
        </w:numPr>
        <w:spacing w:before="60" w:after="60"/>
      </w:pPr>
      <w:r>
        <w:t>Sensitivity (recall for malignant cases) reached 95.24%, minimizing false negatives</w:t>
      </w:r>
    </w:p>
    <w:p>
      <w:pPr>
        <w:numPr>
          <w:ilvl w:val="0"/>
          <w:numId w:val="2"/>
        </w:numPr>
        <w:spacing w:before="60" w:after="60"/>
      </w:pPr>
      <w:r>
        <w:t>Specificity for benign cases achieved 100%, with zero false positives</w:t>
      </w:r>
    </w:p>
    <w:p>
      <w:pPr>
        <w:numPr>
          <w:ilvl w:val="0"/>
          <w:numId w:val="2"/>
        </w:numPr>
        <w:spacing w:before="60" w:after="60"/>
      </w:pPr>
      <w:r>
        <w:t>AUC-ROC score of 0.9977 indicates excellent discriminative ability</w:t>
      </w:r>
    </w:p>
    <w:p>
      <w:pPr>
        <w:numPr>
          <w:ilvl w:val="0"/>
          <w:numId w:val="2"/>
        </w:numPr>
        <w:spacing w:before="60" w:after="60"/>
      </w:pPr>
      <w:r>
        <w:t>Cross-validation confirmed model stability with 98.24% mean accuracy</w:t>
      </w:r>
    </w:p>
    <w:p>
      <w:pPr>
        <w:spacing w:before="240"/>
      </w:pPr>
      <w:r>
        <w:t>The model demonstrates strong potential for clinical decision support, particularly in reducing false negatives, which is critical in cancer screening scenarios. The high interpretability of logistic regression makes it suitable for medical practitioners who require transparent decision-making processes.</w:t>
      </w:r>
    </w:p>
    <w:p>
      <w:pPr>
        <w:pStyle w:val="Heading1"/>
      </w:pPr>
      <w:r>
        <w:t>Background and Context</w:t>
      </w:r>
    </w:p>
    <w:p>
      <w:pPr>
        <w:pStyle w:val="Heading2"/>
      </w:pPr>
      <w:r>
        <w:t>The Breast Cancer Diagnostic Challenge</w:t>
      </w:r>
    </w:p>
    <w:p>
      <w:r>
        <w:t>Breast cancer remains one of the most prevalent forms of cancer worldwide, with early detection being crucial for improving patient outcomes and survival rates. According to the World Health Organization, breast cancer is the most common cancer among women globally, accounting for approximately 25% of all cancer cases.</w:t>
      </w:r>
    </w:p>
    <w:p>
      <w:r>
        <w:t>Fine needle aspiration (FNA) biopsy is a minimally invasive diagnostic procedure used to collect cell samples from breast masses. The analysis of these samples by pathologists involves examining cellular characteristics under a microscope to determine whether the mass is benign or malignant. However, this process is subjective and can be time-consuming, creating opportunities for computer-aided diagnostic systems.</w:t>
      </w:r>
    </w:p>
    <w:p>
      <w:pPr>
        <w:pStyle w:val="Heading2"/>
      </w:pPr>
      <w:r>
        <w:t>Role of Machine Learning in Early Detection</w:t>
      </w:r>
    </w:p>
    <w:p>
      <w:r>
        <w:t>Machine learning algorithms offer significant potential for improving the accuracy and efficiency of breast cancer diagnosis. By analyzing quantitative features extracted from digitized FNA images, these models can assist pathologists in making more consistent and objective assessments. The key advantages include:</w:t>
      </w:r>
    </w:p>
    <w:p>
      <w:pPr>
        <w:numPr>
          <w:ilvl w:val="0"/>
          <w:numId w:val="2"/>
        </w:numPr>
        <w:spacing w:before="60" w:after="60"/>
      </w:pPr>
      <w:r>
        <w:t>Standardized analysis reducing inter-observer variability</w:t>
      </w:r>
    </w:p>
    <w:p>
      <w:pPr>
        <w:numPr>
          <w:ilvl w:val="0"/>
          <w:numId w:val="2"/>
        </w:numPr>
        <w:spacing w:before="60" w:after="60"/>
      </w:pPr>
      <w:r>
        <w:t>Rapid processing of large volumes of cases</w:t>
      </w:r>
    </w:p>
    <w:p>
      <w:pPr>
        <w:numPr>
          <w:ilvl w:val="0"/>
          <w:numId w:val="2"/>
        </w:numPr>
        <w:spacing w:before="60" w:after="60"/>
      </w:pPr>
      <w:r>
        <w:t>Quantitative risk assessment for clinical decision support</w:t>
      </w:r>
    </w:p>
    <w:p>
      <w:pPr>
        <w:numPr>
          <w:ilvl w:val="0"/>
          <w:numId w:val="2"/>
        </w:numPr>
        <w:spacing w:before="60" w:after="60"/>
      </w:pPr>
      <w:r>
        <w:t>Identification of subtle patterns that may be difficult to detect visually</w:t>
      </w:r>
    </w:p>
    <w:p>
      <w:pPr>
        <w:pStyle w:val="Heading2"/>
      </w:pPr>
      <w:r>
        <w:t>The Wisconsin Breast Cancer Diagnostic Dataset</w:t>
      </w:r>
    </w:p>
    <w:p>
      <w:r>
        <w:t>The Wisconsin Breast Cancer Diagnostic (WDBC) dataset, curated by Dr. William H. Wolberg and colleagues at the University of Wisconsin-Madison, has become a benchmark dataset for evaluating machine learning approaches to breast cancer diagnosis. The dataset comprises 569 cases, each containing 30 quantitative features computed from digitized images of FNA samples.</w:t>
      </w:r>
    </w:p>
    <w:p>
      <w:pPr>
        <w:pStyle w:val="Heading1"/>
      </w:pPr>
      <w:r>
        <w:t>Data-Driven Analysis</w:t>
      </w:r>
    </w:p>
    <w:p>
      <w:pPr>
        <w:pStyle w:val="Heading2"/>
      </w:pPr>
      <w:r>
        <w:t>Dataset Description and Feature Overview</w:t>
      </w:r>
    </w:p>
    <w:p>
      <w:r>
        <w:t>The WDBC dataset contains 569 instances with 30 numeric predictive features and a binary target variable indicating diagnosis (M = Malignant, B = Benign). The features represent characteristics of cell nuclei present in the digitized images, computed as the mean, standard error, and worst (largest) values for each of 10 nuclear parameters:</w:t>
      </w:r>
    </w:p>
    <w:tbl>
      <w:tblPr>
        <w:tblW w:w="5000" w:type="pct"/>
        <w:tblBorders>
          <w:top w:val="single" w:color="1E3A5F" w:sz="12"/>
          <w:left w:val="nil"/>
          <w:bottom w:val="single" w:color="1E3A5F" w:sz="12"/>
          <w:right w:val="nil"/>
          <w:insideH w:val="nil"/>
          <w:insideV w:val="nil"/>
        </w:tblBorders>
        <w:tblCellMar>
          <w:top w:w="100" w:type="dxa"/>
          <w:left w:w="150" w:type="dxa"/>
          <w:bottom w:w="100" w:type="dxa"/>
          <w:right w:w="150" w:type="dxa"/>
        </w:tblCellMar>
      </w:tblPr>
      <w:tblGrid>
        <w:gridCol w:w="2500"/>
        <w:gridCol w:w="5500"/>
      </w:tblGrid>
      <w:tr>
        <w:trPr>
          <w:tblHeader/>
          <w:trHeight w:val="400" w:hRule="atLeast"/>
        </w:trPr>
        <w:tc>
          <w:tcPr>
            <w:tcW w:w="2500" w:type="dxa"/>
            <w:tcBorders>
              <w:bottom w:val="single" w:color="1E3A5F" w:sz="6"/>
            </w:tcBorders>
            <w:shd w:val="clear" w:fill="f5f7fa"/>
            <w:vAlign w:val="center"/>
          </w:tcPr>
          <w:p>
            <w:pPr>
              <w:spacing w:before="0" w:after="0"/>
              <w:jc w:val="center"/>
            </w:pPr>
            <w:r>
              <w:rPr>
                <w:b/>
                <w:color w:val="1a1a2e"/>
                <w:sz w:val="21"/>
              </w:rPr>
              <w:t>Feature Name</w:t>
            </w:r>
          </w:p>
        </w:tc>
        <w:tc>
          <w:tcPr>
            <w:tcW w:w="5500" w:type="dxa"/>
            <w:tcBorders>
              <w:bottom w:val="single" w:color="1E3A5F" w:sz="6"/>
            </w:tcBorders>
            <w:shd w:val="clear" w:fill="f5f7fa"/>
            <w:vAlign w:val="center"/>
          </w:tcPr>
          <w:p>
            <w:pPr>
              <w:spacing w:before="0" w:after="0"/>
              <w:jc w:val="center"/>
            </w:pPr>
            <w:r>
              <w:rPr>
                <w:b/>
                <w:color w:val="1a1a2e"/>
                <w:sz w:val="21"/>
              </w:rPr>
              <w:t>Description</w:t>
            </w:r>
          </w:p>
        </w:tc>
      </w:tr>
      <w:tr>
        <w:trPr>
          <w:trHeight w:val="360" w:hRule="atLeast"/>
        </w:trPr>
        <w:tc>
          <w:tcPr>
            <w:tcW w:w="2500" w:type="dxa"/>
            <w:vAlign w:val="center"/>
          </w:tcPr>
          <w:p>
            <w:pPr>
              <w:spacing w:before="0" w:after="0"/>
              <w:jc w:val="left"/>
            </w:pPr>
            <w:r>
              <w:rPr>
                <w:color w:val="1a1a2e"/>
                <w:sz w:val="21"/>
              </w:rPr>
              <w:t>Radius</w:t>
            </w:r>
          </w:p>
        </w:tc>
        <w:tc>
          <w:tcPr>
            <w:tcW w:w="5500" w:type="dxa"/>
            <w:vAlign w:val="center"/>
          </w:tcPr>
          <w:p>
            <w:pPr>
              <w:spacing w:before="0" w:after="0"/>
              <w:jc w:val="center"/>
            </w:pPr>
            <w:r>
              <w:rPr>
                <w:color w:val="1a1a2e"/>
                <w:sz w:val="21"/>
              </w:rPr>
              <w:t>Mean distance from center to points on the perimeter</w:t>
            </w:r>
          </w:p>
        </w:tc>
      </w:tr>
      <w:tr>
        <w:trPr>
          <w:trHeight w:val="360" w:hRule="atLeast"/>
        </w:trPr>
        <w:tc>
          <w:tcPr>
            <w:tcW w:w="2500" w:type="dxa"/>
            <w:vAlign w:val="center"/>
          </w:tcPr>
          <w:p>
            <w:pPr>
              <w:spacing w:before="0" w:after="0"/>
              <w:jc w:val="left"/>
            </w:pPr>
            <w:r>
              <w:rPr>
                <w:color w:val="1a1a2e"/>
                <w:sz w:val="21"/>
              </w:rPr>
              <w:t>Texture</w:t>
            </w:r>
          </w:p>
        </w:tc>
        <w:tc>
          <w:tcPr>
            <w:tcW w:w="5500" w:type="dxa"/>
            <w:vAlign w:val="center"/>
          </w:tcPr>
          <w:p>
            <w:pPr>
              <w:spacing w:before="0" w:after="0"/>
              <w:jc w:val="center"/>
            </w:pPr>
            <w:r>
              <w:rPr>
                <w:color w:val="1a1a2e"/>
                <w:sz w:val="21"/>
              </w:rPr>
              <w:t>Standard deviation of gray-scale values</w:t>
            </w:r>
          </w:p>
        </w:tc>
      </w:tr>
      <w:tr>
        <w:trPr>
          <w:trHeight w:val="360" w:hRule="atLeast"/>
        </w:trPr>
        <w:tc>
          <w:tcPr>
            <w:tcW w:w="2500" w:type="dxa"/>
            <w:vAlign w:val="center"/>
          </w:tcPr>
          <w:p>
            <w:pPr>
              <w:spacing w:before="0" w:after="0"/>
              <w:jc w:val="left"/>
            </w:pPr>
            <w:r>
              <w:rPr>
                <w:color w:val="1a1a2e"/>
                <w:sz w:val="21"/>
              </w:rPr>
              <w:t>Perimeter</w:t>
            </w:r>
          </w:p>
        </w:tc>
        <w:tc>
          <w:tcPr>
            <w:tcW w:w="5500" w:type="dxa"/>
            <w:vAlign w:val="center"/>
          </w:tcPr>
          <w:p>
            <w:pPr>
              <w:spacing w:before="0" w:after="0"/>
              <w:jc w:val="center"/>
            </w:pPr>
            <w:r>
              <w:rPr>
                <w:color w:val="1a1a2e"/>
                <w:sz w:val="21"/>
              </w:rPr>
              <w:t>Perimeter of the cell nucleus</w:t>
            </w:r>
          </w:p>
        </w:tc>
      </w:tr>
      <w:tr>
        <w:trPr>
          <w:trHeight w:val="360" w:hRule="atLeast"/>
        </w:trPr>
        <w:tc>
          <w:tcPr>
            <w:tcW w:w="2500" w:type="dxa"/>
            <w:vAlign w:val="center"/>
          </w:tcPr>
          <w:p>
            <w:pPr>
              <w:spacing w:before="0" w:after="0"/>
              <w:jc w:val="left"/>
            </w:pPr>
            <w:r>
              <w:rPr>
                <w:color w:val="1a1a2e"/>
                <w:sz w:val="21"/>
              </w:rPr>
              <w:t>Area</w:t>
            </w:r>
          </w:p>
        </w:tc>
        <w:tc>
          <w:tcPr>
            <w:tcW w:w="5500" w:type="dxa"/>
            <w:vAlign w:val="center"/>
          </w:tcPr>
          <w:p>
            <w:pPr>
              <w:spacing w:before="0" w:after="0"/>
              <w:jc w:val="center"/>
            </w:pPr>
            <w:r>
              <w:rPr>
                <w:color w:val="1a1a2e"/>
                <w:sz w:val="21"/>
              </w:rPr>
              <w:t>Area of the cell nucleus</w:t>
            </w:r>
          </w:p>
        </w:tc>
      </w:tr>
      <w:tr>
        <w:trPr>
          <w:trHeight w:val="360" w:hRule="atLeast"/>
        </w:trPr>
        <w:tc>
          <w:tcPr>
            <w:tcW w:w="2500" w:type="dxa"/>
            <w:vAlign w:val="center"/>
          </w:tcPr>
          <w:p>
            <w:pPr>
              <w:spacing w:before="0" w:after="0"/>
              <w:jc w:val="left"/>
            </w:pPr>
            <w:r>
              <w:rPr>
                <w:color w:val="1a1a2e"/>
                <w:sz w:val="21"/>
              </w:rPr>
              <w:t>Smoothness</w:t>
            </w:r>
          </w:p>
        </w:tc>
        <w:tc>
          <w:tcPr>
            <w:tcW w:w="5500" w:type="dxa"/>
            <w:vAlign w:val="center"/>
          </w:tcPr>
          <w:p>
            <w:pPr>
              <w:spacing w:before="0" w:after="0"/>
              <w:jc w:val="center"/>
            </w:pPr>
            <w:r>
              <w:rPr>
                <w:color w:val="1a1a2e"/>
                <w:sz w:val="21"/>
              </w:rPr>
              <w:t>Local variation in radius lengths</w:t>
            </w:r>
          </w:p>
        </w:tc>
      </w:tr>
      <w:tr>
        <w:trPr>
          <w:trHeight w:val="360" w:hRule="atLeast"/>
        </w:trPr>
        <w:tc>
          <w:tcPr>
            <w:tcW w:w="2500" w:type="dxa"/>
            <w:vAlign w:val="center"/>
          </w:tcPr>
          <w:p>
            <w:pPr>
              <w:spacing w:before="0" w:after="0"/>
              <w:jc w:val="left"/>
            </w:pPr>
            <w:r>
              <w:rPr>
                <w:color w:val="1a1a2e"/>
                <w:sz w:val="21"/>
              </w:rPr>
              <w:t>Compactness</w:t>
            </w:r>
          </w:p>
        </w:tc>
        <w:tc>
          <w:tcPr>
            <w:tcW w:w="5500" w:type="dxa"/>
            <w:vAlign w:val="center"/>
          </w:tcPr>
          <w:p>
            <w:pPr>
              <w:spacing w:before="0" w:after="0"/>
              <w:jc w:val="center"/>
            </w:pPr>
            <w:r>
              <w:rPr>
                <w:color w:val="1a1a2e"/>
                <w:sz w:val="21"/>
              </w:rPr>
              <w:t>Perimeter^2 / Area - 1.0</w:t>
            </w:r>
          </w:p>
        </w:tc>
      </w:tr>
      <w:tr>
        <w:trPr>
          <w:trHeight w:val="360" w:hRule="atLeast"/>
        </w:trPr>
        <w:tc>
          <w:tcPr>
            <w:tcW w:w="2500" w:type="dxa"/>
            <w:vAlign w:val="center"/>
          </w:tcPr>
          <w:p>
            <w:pPr>
              <w:spacing w:before="0" w:after="0"/>
              <w:jc w:val="left"/>
            </w:pPr>
            <w:r>
              <w:rPr>
                <w:color w:val="1a1a2e"/>
                <w:sz w:val="21"/>
              </w:rPr>
              <w:t>Concavity</w:t>
            </w:r>
          </w:p>
        </w:tc>
        <w:tc>
          <w:tcPr>
            <w:tcW w:w="5500" w:type="dxa"/>
            <w:vAlign w:val="center"/>
          </w:tcPr>
          <w:p>
            <w:pPr>
              <w:spacing w:before="0" w:after="0"/>
              <w:jc w:val="center"/>
            </w:pPr>
            <w:r>
              <w:rPr>
                <w:color w:val="1a1a2e"/>
                <w:sz w:val="21"/>
              </w:rPr>
              <w:t>Severity of concave portions of the contour</w:t>
            </w:r>
          </w:p>
        </w:tc>
      </w:tr>
      <w:tr>
        <w:trPr>
          <w:trHeight w:val="360" w:hRule="atLeast"/>
        </w:trPr>
        <w:tc>
          <w:tcPr>
            <w:tcW w:w="2500" w:type="dxa"/>
            <w:vAlign w:val="center"/>
          </w:tcPr>
          <w:p>
            <w:pPr>
              <w:spacing w:before="0" w:after="0"/>
              <w:jc w:val="left"/>
            </w:pPr>
            <w:r>
              <w:rPr>
                <w:color w:val="1a1a2e"/>
                <w:sz w:val="21"/>
              </w:rPr>
              <w:t>Concave Points</w:t>
            </w:r>
          </w:p>
        </w:tc>
        <w:tc>
          <w:tcPr>
            <w:tcW w:w="5500" w:type="dxa"/>
            <w:vAlign w:val="center"/>
          </w:tcPr>
          <w:p>
            <w:pPr>
              <w:spacing w:before="0" w:after="0"/>
              <w:jc w:val="center"/>
            </w:pPr>
            <w:r>
              <w:rPr>
                <w:color w:val="1a1a2e"/>
                <w:sz w:val="21"/>
              </w:rPr>
              <w:t>Number of concave portions of the contour</w:t>
            </w:r>
          </w:p>
        </w:tc>
      </w:tr>
      <w:tr>
        <w:trPr>
          <w:trHeight w:val="360" w:hRule="atLeast"/>
        </w:trPr>
        <w:tc>
          <w:tcPr>
            <w:tcW w:w="2500" w:type="dxa"/>
            <w:vAlign w:val="center"/>
          </w:tcPr>
          <w:p>
            <w:pPr>
              <w:spacing w:before="0" w:after="0"/>
              <w:jc w:val="left"/>
            </w:pPr>
            <w:r>
              <w:rPr>
                <w:color w:val="1a1a2e"/>
                <w:sz w:val="21"/>
              </w:rPr>
              <w:t>Symmetry</w:t>
            </w:r>
          </w:p>
        </w:tc>
        <w:tc>
          <w:tcPr>
            <w:tcW w:w="5500" w:type="dxa"/>
            <w:vAlign w:val="center"/>
          </w:tcPr>
          <w:p>
            <w:pPr>
              <w:spacing w:before="0" w:after="0"/>
              <w:jc w:val="center"/>
            </w:pPr>
            <w:r>
              <w:rPr>
                <w:color w:val="1a1a2e"/>
                <w:sz w:val="21"/>
              </w:rPr>
              <w:t>Symmetry of the cell nucleus</w:t>
            </w:r>
          </w:p>
        </w:tc>
      </w:tr>
      <w:tr>
        <w:trPr>
          <w:trHeight w:val="360" w:hRule="atLeast"/>
        </w:trPr>
        <w:tc>
          <w:tcPr>
            <w:tcW w:w="2500" w:type="dxa"/>
            <w:vAlign w:val="center"/>
          </w:tcPr>
          <w:p>
            <w:pPr>
              <w:spacing w:before="0" w:after="0"/>
              <w:jc w:val="left"/>
            </w:pPr>
            <w:r>
              <w:rPr>
                <w:color w:val="1a1a2e"/>
                <w:sz w:val="21"/>
              </w:rPr>
              <w:t>Fractal Dimension</w:t>
            </w:r>
          </w:p>
        </w:tc>
        <w:tc>
          <w:tcPr>
            <w:tcW w:w="5500" w:type="dxa"/>
            <w:vAlign w:val="center"/>
          </w:tcPr>
          <w:p>
            <w:pPr>
              <w:spacing w:before="0" w:after="0"/>
              <w:jc w:val="center"/>
            </w:pPr>
            <w:r>
              <w:rPr>
                <w:color w:val="1a1a2e"/>
                <w:sz w:val="21"/>
              </w:rPr>
              <w:t>Coastline approximation - 1</w:t>
            </w:r>
          </w:p>
        </w:tc>
      </w:tr>
    </w:tbl>
    <w:p>
      <w:pPr>
        <w:pStyle w:val="Caption"/>
      </w:pPr>
      <w:r>
        <w:t>Table 1: Nuclear Features in the WDBC Dataset</w:t>
      </w:r>
    </w:p>
    <w:p>
      <w:pPr>
        <w:spacing w:before="240"/>
      </w:pPr>
      <w:r>
        <w:t>The dataset exhibits a class imbalance that reflects real-world diagnostic distributions:</w:t>
      </w:r>
    </w:p>
    <w:tbl>
      <w:tblPr>
        <w:tblW w:w="5000" w:type="pct"/>
        <w:tblBorders>
          <w:top w:val="single" w:color="1E3A5F" w:sz="12"/>
          <w:left w:val="nil"/>
          <w:bottom w:val="single" w:color="1E3A5F" w:sz="12"/>
          <w:right w:val="nil"/>
          <w:insideH w:val="nil"/>
          <w:insideV w:val="nil"/>
        </w:tblBorders>
        <w:tblCellMar>
          <w:top w:w="100" w:type="dxa"/>
          <w:left w:w="150" w:type="dxa"/>
          <w:bottom w:w="100" w:type="dxa"/>
          <w:right w:w="150" w:type="dxa"/>
        </w:tblCellMar>
      </w:tblPr>
      <w:tblGrid>
        <w:gridCol w:w="2500"/>
        <w:gridCol w:w="2500"/>
        <w:gridCol w:w="2500"/>
      </w:tblGrid>
      <w:tr>
        <w:trPr>
          <w:tblHeader/>
          <w:trHeight w:val="400" w:hRule="atLeast"/>
        </w:trPr>
        <w:tc>
          <w:tcPr>
            <w:tcW w:w="2500" w:type="dxa"/>
            <w:tcBorders>
              <w:bottom w:val="single" w:color="1E3A5F" w:sz="6"/>
            </w:tcBorders>
            <w:shd w:val="clear" w:fill="f5f7fa"/>
            <w:vAlign w:val="center"/>
          </w:tcPr>
          <w:p>
            <w:pPr>
              <w:spacing w:before="0" w:after="0"/>
              <w:jc w:val="center"/>
            </w:pPr>
            <w:r>
              <w:rPr>
                <w:b/>
                <w:color w:val="1a1a2e"/>
                <w:sz w:val="21"/>
              </w:rPr>
              <w:t>Class</w:t>
            </w:r>
          </w:p>
        </w:tc>
        <w:tc>
          <w:tcPr>
            <w:tcW w:w="2500" w:type="dxa"/>
            <w:tcBorders>
              <w:bottom w:val="single" w:color="1E3A5F" w:sz="6"/>
            </w:tcBorders>
            <w:shd w:val="clear" w:fill="f5f7fa"/>
            <w:vAlign w:val="center"/>
          </w:tcPr>
          <w:p>
            <w:pPr>
              <w:spacing w:before="0" w:after="0"/>
              <w:jc w:val="center"/>
            </w:pPr>
            <w:r>
              <w:rPr>
                <w:b/>
                <w:color w:val="1a1a2e"/>
                <w:sz w:val="21"/>
              </w:rPr>
              <w:t>Count</w:t>
            </w:r>
          </w:p>
        </w:tc>
        <w:tc>
          <w:tcPr>
            <w:tcW w:w="2500" w:type="dxa"/>
            <w:tcBorders>
              <w:bottom w:val="single" w:color="1E3A5F" w:sz="6"/>
            </w:tcBorders>
            <w:shd w:val="clear" w:fill="f5f7fa"/>
            <w:vAlign w:val="center"/>
          </w:tcPr>
          <w:p>
            <w:pPr>
              <w:spacing w:before="0" w:after="0"/>
              <w:jc w:val="center"/>
            </w:pPr>
            <w:r>
              <w:rPr>
                <w:b/>
                <w:color w:val="1a1a2e"/>
                <w:sz w:val="21"/>
              </w:rPr>
              <w:t>Percentage</w:t>
            </w:r>
          </w:p>
        </w:tc>
      </w:tr>
      <w:tr>
        <w:trPr>
          <w:trHeight w:val="360" w:hRule="atLeast"/>
        </w:trPr>
        <w:tc>
          <w:tcPr>
            <w:tcW w:w="2500" w:type="dxa"/>
            <w:vAlign w:val="center"/>
          </w:tcPr>
          <w:p>
            <w:pPr>
              <w:spacing w:before="0" w:after="0"/>
              <w:jc w:val="left"/>
            </w:pPr>
            <w:r>
              <w:rPr>
                <w:color w:val="1a1a2e"/>
                <w:sz w:val="21"/>
              </w:rPr>
              <w:t>Benign (B)</w:t>
            </w:r>
          </w:p>
        </w:tc>
        <w:tc>
          <w:tcPr>
            <w:tcW w:w="2500" w:type="dxa"/>
            <w:vAlign w:val="center"/>
          </w:tcPr>
          <w:p>
            <w:pPr>
              <w:spacing w:before="0" w:after="0"/>
              <w:jc w:val="center"/>
            </w:pPr>
            <w:r>
              <w:rPr>
                <w:color w:val="1a1a2e"/>
                <w:sz w:val="21"/>
              </w:rPr>
              <w:t>357</w:t>
            </w:r>
          </w:p>
        </w:tc>
        <w:tc>
          <w:tcPr>
            <w:tcW w:w="2500" w:type="dxa"/>
            <w:vAlign w:val="center"/>
          </w:tcPr>
          <w:p>
            <w:pPr>
              <w:spacing w:before="0" w:after="0"/>
              <w:jc w:val="center"/>
            </w:pPr>
            <w:r>
              <w:rPr>
                <w:color w:val="1a1a2e"/>
                <w:sz w:val="21"/>
              </w:rPr>
              <w:t>62.74%</w:t>
            </w:r>
          </w:p>
        </w:tc>
      </w:tr>
      <w:tr>
        <w:trPr>
          <w:trHeight w:val="360" w:hRule="atLeast"/>
        </w:trPr>
        <w:tc>
          <w:tcPr>
            <w:tcW w:w="2500" w:type="dxa"/>
            <w:vAlign w:val="center"/>
          </w:tcPr>
          <w:p>
            <w:pPr>
              <w:spacing w:before="0" w:after="0"/>
              <w:jc w:val="left"/>
            </w:pPr>
            <w:r>
              <w:rPr>
                <w:color w:val="1a1a2e"/>
                <w:sz w:val="21"/>
              </w:rPr>
              <w:t>Malignant (M)</w:t>
            </w:r>
          </w:p>
        </w:tc>
        <w:tc>
          <w:tcPr>
            <w:tcW w:w="2500" w:type="dxa"/>
            <w:vAlign w:val="center"/>
          </w:tcPr>
          <w:p>
            <w:pPr>
              <w:spacing w:before="0" w:after="0"/>
              <w:jc w:val="center"/>
            </w:pPr>
            <w:r>
              <w:rPr>
                <w:color w:val="1a1a2e"/>
                <w:sz w:val="21"/>
              </w:rPr>
              <w:t>212</w:t>
            </w:r>
          </w:p>
        </w:tc>
        <w:tc>
          <w:tcPr>
            <w:tcW w:w="2500" w:type="dxa"/>
            <w:vAlign w:val="center"/>
          </w:tcPr>
          <w:p>
            <w:pPr>
              <w:spacing w:before="0" w:after="0"/>
              <w:jc w:val="center"/>
            </w:pPr>
            <w:r>
              <w:rPr>
                <w:color w:val="1a1a2e"/>
                <w:sz w:val="21"/>
              </w:rPr>
              <w:t>37.26%</w:t>
            </w:r>
          </w:p>
        </w:tc>
      </w:tr>
      <w:tr>
        <w:trPr>
          <w:trHeight w:val="360" w:hRule="atLeast"/>
        </w:trPr>
        <w:tc>
          <w:tcPr>
            <w:tcW w:w="2500" w:type="dxa"/>
            <w:vAlign w:val="center"/>
          </w:tcPr>
          <w:p>
            <w:pPr>
              <w:spacing w:before="0" w:after="0"/>
              <w:jc w:val="left"/>
            </w:pPr>
            <w:r>
              <w:rPr>
                <w:color w:val="1a1a2e"/>
                <w:sz w:val="21"/>
              </w:rPr>
              <w:t>Total</w:t>
            </w:r>
          </w:p>
        </w:tc>
        <w:tc>
          <w:tcPr>
            <w:tcW w:w="2500" w:type="dxa"/>
            <w:vAlign w:val="center"/>
          </w:tcPr>
          <w:p>
            <w:pPr>
              <w:spacing w:before="0" w:after="0"/>
              <w:jc w:val="center"/>
            </w:pPr>
            <w:r>
              <w:rPr>
                <w:color w:val="1a1a2e"/>
                <w:sz w:val="21"/>
              </w:rPr>
              <w:t>569</w:t>
            </w:r>
          </w:p>
        </w:tc>
        <w:tc>
          <w:tcPr>
            <w:tcW w:w="2500" w:type="dxa"/>
            <w:vAlign w:val="center"/>
          </w:tcPr>
          <w:p>
            <w:pPr>
              <w:spacing w:before="0" w:after="0"/>
              <w:jc w:val="center"/>
            </w:pPr>
            <w:r>
              <w:rPr>
                <w:color w:val="1a1a2e"/>
                <w:sz w:val="21"/>
              </w:rPr>
              <w:t>100%</w:t>
            </w:r>
          </w:p>
        </w:tc>
      </w:tr>
    </w:tbl>
    <w:p>
      <w:pPr>
        <w:pStyle w:val="Caption"/>
      </w:pPr>
      <w:r>
        <w:t>Table 2: Class Distribution in the Dataset</w:t>
      </w:r>
    </w:p>
    <w:p>
      <w:pPr>
        <w:pStyle w:val="Heading2"/>
      </w:pPr>
      <w:r>
        <w:t>Data Preprocessing Steps</w:t>
      </w:r>
    </w:p>
    <w:p>
      <w:r>
        <w:t>The following preprocessing pipeline was implemented to prepare the data for model training:</w:t>
      </w:r>
    </w:p>
    <w:p>
      <w:pPr>
        <w:numPr>
          <w:ilvl w:val="0"/>
          <w:numId w:val="1"/>
        </w:numPr>
        <w:spacing w:before="120" w:after="120"/>
      </w:pPr>
      <w:r>
        <w:rPr>
          <w:b/>
        </w:rPr>
        <w:t>Data Cleaning: </w:t>
      </w:r>
      <w:r>
        <w:t>Removed ID column and verified data integrity. No missing values or duplicate records were found.</w:t>
      </w:r>
    </w:p>
    <w:p>
      <w:pPr>
        <w:numPr>
          <w:ilvl w:val="0"/>
          <w:numId w:val="1"/>
        </w:numPr>
        <w:spacing w:before="120" w:after="120"/>
      </w:pPr>
      <w:r>
        <w:rPr>
          <w:b/>
        </w:rPr>
        <w:t>Target Encoding: </w:t>
      </w:r>
      <w:r>
        <w:t>Converted categorical diagnosis labels (B/M) to binary values (0/1) where Malignant = 1 and Benign = 0.</w:t>
      </w:r>
    </w:p>
    <w:p>
      <w:pPr>
        <w:numPr>
          <w:ilvl w:val="0"/>
          <w:numId w:val="1"/>
        </w:numPr>
        <w:spacing w:before="120" w:after="120"/>
      </w:pPr>
      <w:r>
        <w:rPr>
          <w:b/>
        </w:rPr>
        <w:t>Train-Test Split: </w:t>
      </w:r>
      <w:r>
        <w:t>Applied stratified split with 80% training (455 samples) and 20% testing (114 samples) to maintain class proportions.</w:t>
      </w:r>
    </w:p>
    <w:p>
      <w:pPr>
        <w:numPr>
          <w:ilvl w:val="0"/>
          <w:numId w:val="1"/>
        </w:numPr>
        <w:spacing w:before="120" w:after="120"/>
      </w:pPr>
      <w:r>
        <w:rPr>
          <w:b/>
        </w:rPr>
        <w:t>Feature Scaling: </w:t>
      </w:r>
      <w:r>
        <w:t>Applied StandardScaler to normalize all features to zero mean and unit variance, ensuring equal contribution from all predictors.</w:t>
      </w:r>
    </w:p>
    <w:p>
      <w:pPr>
        <w:pStyle w:val="Heading2"/>
      </w:pPr>
      <w:r>
        <w:t>Model Selection and Justification</w:t>
      </w:r>
    </w:p>
    <w:p>
      <w:r>
        <w:t>Logistic Regression was selected as the primary classification algorithm for the following reasons:</w:t>
      </w:r>
    </w:p>
    <w:p>
      <w:pPr>
        <w:numPr>
          <w:ilvl w:val="0"/>
          <w:numId w:val="2"/>
        </w:numPr>
        <w:spacing w:before="60" w:after="60"/>
      </w:pPr>
      <w:r>
        <w:t>Interpretability: Coefficients provide clear understanding of feature contributions to predictions</w:t>
      </w:r>
    </w:p>
    <w:p>
      <w:pPr>
        <w:numPr>
          <w:ilvl w:val="0"/>
          <w:numId w:val="2"/>
        </w:numPr>
        <w:spacing w:before="60" w:after="60"/>
      </w:pPr>
      <w:r>
        <w:t>Computational Efficiency: Fast training and prediction suitable for clinical deployment</w:t>
      </w:r>
    </w:p>
    <w:p>
      <w:pPr>
        <w:numPr>
          <w:ilvl w:val="0"/>
          <w:numId w:val="2"/>
        </w:numPr>
        <w:spacing w:before="60" w:after="60"/>
      </w:pPr>
      <w:r>
        <w:t>Probabilistic Output: Provides confidence scores that can inform clinical decision thresholds</w:t>
      </w:r>
    </w:p>
    <w:p>
      <w:pPr>
        <w:numPr>
          <w:ilvl w:val="0"/>
          <w:numId w:val="2"/>
        </w:numPr>
        <w:spacing w:before="60" w:after="60"/>
      </w:pPr>
      <w:r>
        <w:t>Well-Suited for Linearly Separable Data: The high-dimensional feature space with correlated variables responds well to regularized logistic regression</w:t>
      </w:r>
    </w:p>
    <w:p>
      <w:pPr>
        <w:numPr>
          <w:ilvl w:val="0"/>
          <w:numId w:val="2"/>
        </w:numPr>
        <w:spacing w:before="60" w:after="60"/>
      </w:pPr>
      <w:r>
        <w:t>Established Medical Use: Logistic regression has a proven track record in medical diagnostic applications</w:t>
      </w:r>
    </w:p>
    <w:p>
      <w:pPr>
        <w:spacing w:before="240"/>
      </w:pPr>
      <w:r>
        <w:t>Hyperparameter optimization was performed using GridSearchCV with 5-fold cross-validation to identify optimal regularization parameters.</w:t>
      </w:r>
    </w:p>
    <w:p>
      <w:pPr>
        <w:pStyle w:val="Heading2"/>
      </w:pPr>
      <w:r>
        <w:t>Evaluation Metrics and Performance Results</w:t>
      </w:r>
    </w:p>
    <w:p>
      <w:r>
        <w:t>The model was evaluated using multiple metrics to comprehensively assess its diagnostic performance:</w:t>
      </w:r>
    </w:p>
    <w:tbl>
      <w:tblPr>
        <w:tblW w:w="5000" w:type="pct"/>
        <w:tblBorders>
          <w:top w:val="single" w:color="1E3A5F" w:sz="12"/>
          <w:left w:val="nil"/>
          <w:bottom w:val="single" w:color="1E3A5F" w:sz="12"/>
          <w:right w:val="nil"/>
          <w:insideH w:val="nil"/>
          <w:insideV w:val="nil"/>
        </w:tblBorders>
        <w:tblCellMar>
          <w:top w:w="100" w:type="dxa"/>
          <w:left w:w="150" w:type="dxa"/>
          <w:bottom w:w="100" w:type="dxa"/>
          <w:right w:w="150" w:type="dxa"/>
        </w:tblCellMar>
      </w:tblPr>
      <w:tblGrid>
        <w:gridCol w:w="3500"/>
        <w:gridCol w:w="2000"/>
        <w:gridCol w:w="2500"/>
      </w:tblGrid>
      <w:tr>
        <w:trPr>
          <w:tblHeader/>
          <w:trHeight w:val="400" w:hRule="atLeast"/>
        </w:trPr>
        <w:tc>
          <w:tcPr>
            <w:tcW w:w="3500" w:type="dxa"/>
            <w:tcBorders>
              <w:bottom w:val="single" w:color="1E3A5F" w:sz="6"/>
            </w:tcBorders>
            <w:shd w:val="clear" w:fill="f5f7fa"/>
            <w:vAlign w:val="center"/>
          </w:tcPr>
          <w:p>
            <w:pPr>
              <w:spacing w:before="0" w:after="0"/>
              <w:jc w:val="center"/>
            </w:pPr>
            <w:r>
              <w:rPr>
                <w:b/>
                <w:color w:val="1a1a2e"/>
                <w:sz w:val="21"/>
              </w:rPr>
              <w:t>Metric</w:t>
            </w:r>
          </w:p>
        </w:tc>
        <w:tc>
          <w:tcPr>
            <w:tcW w:w="2000" w:type="dxa"/>
            <w:tcBorders>
              <w:bottom w:val="single" w:color="1E3A5F" w:sz="6"/>
            </w:tcBorders>
            <w:shd w:val="clear" w:fill="f5f7fa"/>
            <w:vAlign w:val="center"/>
          </w:tcPr>
          <w:p>
            <w:pPr>
              <w:spacing w:before="0" w:after="0"/>
              <w:jc w:val="center"/>
            </w:pPr>
            <w:r>
              <w:rPr>
                <w:b/>
                <w:color w:val="1a1a2e"/>
                <w:sz w:val="21"/>
              </w:rPr>
              <w:t>Value</w:t>
            </w:r>
          </w:p>
        </w:tc>
        <w:tc>
          <w:tcPr>
            <w:tcW w:w="2500" w:type="dxa"/>
            <w:tcBorders>
              <w:bottom w:val="single" w:color="1E3A5F" w:sz="6"/>
            </w:tcBorders>
            <w:shd w:val="clear" w:fill="f5f7fa"/>
            <w:vAlign w:val="center"/>
          </w:tcPr>
          <w:p>
            <w:pPr>
              <w:spacing w:before="0" w:after="0"/>
              <w:jc w:val="center"/>
            </w:pPr>
            <w:r>
              <w:rPr>
                <w:b/>
                <w:color w:val="1a1a2e"/>
                <w:sz w:val="21"/>
              </w:rPr>
              <w:t>Interpretation</w:t>
            </w:r>
          </w:p>
        </w:tc>
      </w:tr>
      <w:tr>
        <w:trPr>
          <w:trHeight w:val="360" w:hRule="atLeast"/>
        </w:trPr>
        <w:tc>
          <w:tcPr>
            <w:tcW w:w="3500" w:type="dxa"/>
            <w:vAlign w:val="center"/>
          </w:tcPr>
          <w:p>
            <w:pPr>
              <w:spacing w:before="0" w:after="0"/>
              <w:jc w:val="left"/>
            </w:pPr>
            <w:r>
              <w:rPr>
                <w:color w:val="1a1a2e"/>
                <w:sz w:val="21"/>
              </w:rPr>
              <w:t>Accuracy</w:t>
            </w:r>
          </w:p>
        </w:tc>
        <w:tc>
          <w:tcPr>
            <w:tcW w:w="2000" w:type="dxa"/>
            <w:vAlign w:val="center"/>
          </w:tcPr>
          <w:p>
            <w:pPr>
              <w:spacing w:before="0" w:after="0"/>
              <w:jc w:val="center"/>
            </w:pPr>
            <w:r>
              <w:rPr>
                <w:color w:val="1a1a2e"/>
                <w:sz w:val="21"/>
              </w:rPr>
              <w:t>98.25%</w:t>
            </w:r>
          </w:p>
        </w:tc>
        <w:tc>
          <w:tcPr>
            <w:tcW w:w="2500" w:type="dxa"/>
            <w:vAlign w:val="center"/>
          </w:tcPr>
          <w:p>
            <w:pPr>
              <w:spacing w:before="0" w:after="0"/>
              <w:jc w:val="center"/>
            </w:pPr>
            <w:r>
              <w:rPr>
                <w:color w:val="1a1a2e"/>
                <w:sz w:val="21"/>
              </w:rPr>
              <w:t>Overall correct classification rate</w:t>
            </w:r>
          </w:p>
        </w:tc>
      </w:tr>
      <w:tr>
        <w:trPr>
          <w:trHeight w:val="360" w:hRule="atLeast"/>
        </w:trPr>
        <w:tc>
          <w:tcPr>
            <w:tcW w:w="3500" w:type="dxa"/>
            <w:vAlign w:val="center"/>
          </w:tcPr>
          <w:p>
            <w:pPr>
              <w:spacing w:before="0" w:after="0"/>
              <w:jc w:val="left"/>
            </w:pPr>
            <w:r>
              <w:rPr>
                <w:color w:val="1a1a2e"/>
                <w:sz w:val="21"/>
              </w:rPr>
              <w:t>Sensitivity (Recall)</w:t>
            </w:r>
          </w:p>
        </w:tc>
        <w:tc>
          <w:tcPr>
            <w:tcW w:w="2000" w:type="dxa"/>
            <w:vAlign w:val="center"/>
          </w:tcPr>
          <w:p>
            <w:pPr>
              <w:spacing w:before="0" w:after="0"/>
              <w:jc w:val="center"/>
            </w:pPr>
            <w:r>
              <w:rPr>
                <w:color w:val="1a1a2e"/>
                <w:sz w:val="21"/>
              </w:rPr>
              <w:t>95.24%</w:t>
            </w:r>
          </w:p>
        </w:tc>
        <w:tc>
          <w:tcPr>
            <w:tcW w:w="2500" w:type="dxa"/>
            <w:vAlign w:val="center"/>
          </w:tcPr>
          <w:p>
            <w:pPr>
              <w:spacing w:before="0" w:after="0"/>
              <w:jc w:val="center"/>
            </w:pPr>
            <w:r>
              <w:rPr>
                <w:color w:val="1a1a2e"/>
                <w:sz w:val="21"/>
              </w:rPr>
              <w:t>True positive rate for malignant</w:t>
            </w:r>
          </w:p>
        </w:tc>
      </w:tr>
      <w:tr>
        <w:trPr>
          <w:trHeight w:val="360" w:hRule="atLeast"/>
        </w:trPr>
        <w:tc>
          <w:tcPr>
            <w:tcW w:w="3500" w:type="dxa"/>
            <w:vAlign w:val="center"/>
          </w:tcPr>
          <w:p>
            <w:pPr>
              <w:spacing w:before="0" w:after="0"/>
              <w:jc w:val="left"/>
            </w:pPr>
            <w:r>
              <w:rPr>
                <w:color w:val="1a1a2e"/>
                <w:sz w:val="21"/>
              </w:rPr>
              <w:t>Specificity</w:t>
            </w:r>
          </w:p>
        </w:tc>
        <w:tc>
          <w:tcPr>
            <w:tcW w:w="2000" w:type="dxa"/>
            <w:vAlign w:val="center"/>
          </w:tcPr>
          <w:p>
            <w:pPr>
              <w:spacing w:before="0" w:after="0"/>
              <w:jc w:val="center"/>
            </w:pPr>
            <w:r>
              <w:rPr>
                <w:color w:val="1a1a2e"/>
                <w:sz w:val="21"/>
              </w:rPr>
              <w:t>100.00%</w:t>
            </w:r>
          </w:p>
        </w:tc>
        <w:tc>
          <w:tcPr>
            <w:tcW w:w="2500" w:type="dxa"/>
            <w:vAlign w:val="center"/>
          </w:tcPr>
          <w:p>
            <w:pPr>
              <w:spacing w:before="0" w:after="0"/>
              <w:jc w:val="center"/>
            </w:pPr>
            <w:r>
              <w:rPr>
                <w:color w:val="1a1a2e"/>
                <w:sz w:val="21"/>
              </w:rPr>
              <w:t>True negative rate for benign</w:t>
            </w:r>
          </w:p>
        </w:tc>
      </w:tr>
      <w:tr>
        <w:trPr>
          <w:trHeight w:val="360" w:hRule="atLeast"/>
        </w:trPr>
        <w:tc>
          <w:tcPr>
            <w:tcW w:w="3500" w:type="dxa"/>
            <w:vAlign w:val="center"/>
          </w:tcPr>
          <w:p>
            <w:pPr>
              <w:spacing w:before="0" w:after="0"/>
              <w:jc w:val="left"/>
            </w:pPr>
            <w:r>
              <w:rPr>
                <w:color w:val="1a1a2e"/>
                <w:sz w:val="21"/>
              </w:rPr>
              <w:t>Precision (Malignant)</w:t>
            </w:r>
          </w:p>
        </w:tc>
        <w:tc>
          <w:tcPr>
            <w:tcW w:w="2000" w:type="dxa"/>
            <w:vAlign w:val="center"/>
          </w:tcPr>
          <w:p>
            <w:pPr>
              <w:spacing w:before="0" w:after="0"/>
              <w:jc w:val="center"/>
            </w:pPr>
            <w:r>
              <w:rPr>
                <w:color w:val="1a1a2e"/>
                <w:sz w:val="21"/>
              </w:rPr>
              <w:t>100.00%</w:t>
            </w:r>
          </w:p>
        </w:tc>
        <w:tc>
          <w:tcPr>
            <w:tcW w:w="2500" w:type="dxa"/>
            <w:vAlign w:val="center"/>
          </w:tcPr>
          <w:p>
            <w:pPr>
              <w:spacing w:before="0" w:after="0"/>
              <w:jc w:val="center"/>
            </w:pPr>
            <w:r>
              <w:rPr>
                <w:color w:val="1a1a2e"/>
                <w:sz w:val="21"/>
              </w:rPr>
              <w:t>Positive predictive value</w:t>
            </w:r>
          </w:p>
        </w:tc>
      </w:tr>
      <w:tr>
        <w:trPr>
          <w:trHeight w:val="360" w:hRule="atLeast"/>
        </w:trPr>
        <w:tc>
          <w:tcPr>
            <w:tcW w:w="3500" w:type="dxa"/>
            <w:vAlign w:val="center"/>
          </w:tcPr>
          <w:p>
            <w:pPr>
              <w:spacing w:before="0" w:after="0"/>
              <w:jc w:val="left"/>
            </w:pPr>
            <w:r>
              <w:rPr>
                <w:color w:val="1a1a2e"/>
                <w:sz w:val="21"/>
              </w:rPr>
              <w:t>F1-Score (Malignant)</w:t>
            </w:r>
          </w:p>
        </w:tc>
        <w:tc>
          <w:tcPr>
            <w:tcW w:w="2000" w:type="dxa"/>
            <w:vAlign w:val="center"/>
          </w:tcPr>
          <w:p>
            <w:pPr>
              <w:spacing w:before="0" w:after="0"/>
              <w:jc w:val="center"/>
            </w:pPr>
            <w:r>
              <w:rPr>
                <w:color w:val="1a1a2e"/>
                <w:sz w:val="21"/>
              </w:rPr>
              <w:t>97.56%</w:t>
            </w:r>
          </w:p>
        </w:tc>
        <w:tc>
          <w:tcPr>
            <w:tcW w:w="2500" w:type="dxa"/>
            <w:vAlign w:val="center"/>
          </w:tcPr>
          <w:p>
            <w:pPr>
              <w:spacing w:before="0" w:after="0"/>
              <w:jc w:val="center"/>
            </w:pPr>
            <w:r>
              <w:rPr>
                <w:color w:val="1a1a2e"/>
                <w:sz w:val="21"/>
              </w:rPr>
              <w:t>Harmonic mean of precision and recall</w:t>
            </w:r>
          </w:p>
        </w:tc>
      </w:tr>
      <w:tr>
        <w:trPr>
          <w:trHeight w:val="360" w:hRule="atLeast"/>
        </w:trPr>
        <w:tc>
          <w:tcPr>
            <w:tcW w:w="3500" w:type="dxa"/>
            <w:vAlign w:val="center"/>
          </w:tcPr>
          <w:p>
            <w:pPr>
              <w:spacing w:before="0" w:after="0"/>
              <w:jc w:val="left"/>
            </w:pPr>
            <w:r>
              <w:rPr>
                <w:color w:val="1a1a2e"/>
                <w:sz w:val="21"/>
              </w:rPr>
              <w:t>AUC-ROC</w:t>
            </w:r>
          </w:p>
        </w:tc>
        <w:tc>
          <w:tcPr>
            <w:tcW w:w="2000" w:type="dxa"/>
            <w:vAlign w:val="center"/>
          </w:tcPr>
          <w:p>
            <w:pPr>
              <w:spacing w:before="0" w:after="0"/>
              <w:jc w:val="center"/>
            </w:pPr>
            <w:r>
              <w:rPr>
                <w:color w:val="1a1a2e"/>
                <w:sz w:val="21"/>
              </w:rPr>
              <w:t>0.9977</w:t>
            </w:r>
          </w:p>
        </w:tc>
        <w:tc>
          <w:tcPr>
            <w:tcW w:w="2500" w:type="dxa"/>
            <w:vAlign w:val="center"/>
          </w:tcPr>
          <w:p>
            <w:pPr>
              <w:spacing w:before="0" w:after="0"/>
              <w:jc w:val="center"/>
            </w:pPr>
            <w:r>
              <w:rPr>
                <w:color w:val="1a1a2e"/>
                <w:sz w:val="21"/>
              </w:rPr>
              <w:t>Area under ROC curve</w:t>
            </w:r>
          </w:p>
        </w:tc>
      </w:tr>
    </w:tbl>
    <w:p>
      <w:pPr>
        <w:pStyle w:val="Caption"/>
      </w:pPr>
      <w:r>
        <w:t>Table 3: Model Performance Metrics</w:t>
      </w:r>
    </w:p>
    <w:p>
      <w:pPr>
        <w:spacing w:before="240"/>
      </w:pPr>
      <w:r>
        <w:t>The confusion matrix on the test set reveals the model's classification behavior:</w:t>
      </w:r>
    </w:p>
    <w:tbl>
      <w:tblPr>
        <w:tblW w:w="5000" w:type="pct"/>
        <w:tblBorders>
          <w:top w:val="single" w:color="1E3A5F" w:sz="12"/>
          <w:left w:val="nil"/>
          <w:bottom w:val="single" w:color="1E3A5F" w:sz="12"/>
          <w:right w:val="nil"/>
          <w:insideH w:val="nil"/>
          <w:insideV w:val="nil"/>
        </w:tblBorders>
        <w:tblCellMar>
          <w:top w:w="100" w:type="dxa"/>
          <w:left w:w="150" w:type="dxa"/>
          <w:bottom w:w="100" w:type="dxa"/>
          <w:right w:w="150" w:type="dxa"/>
        </w:tblCellMar>
      </w:tblPr>
      <w:tblGrid>
        <w:gridCol w:w="2500"/>
        <w:gridCol w:w="2500"/>
        <w:gridCol w:w="2500"/>
      </w:tblGrid>
      <w:tr>
        <w:trPr>
          <w:tblHeader/>
          <w:trHeight w:val="400" w:hRule="atLeast"/>
        </w:trPr>
        <w:tc>
          <w:tcPr>
            <w:tcW w:w="2500" w:type="dxa"/>
            <w:tcBorders>
              <w:bottom w:val="single" w:color="1E3A5F" w:sz="6"/>
            </w:tcBorders>
            <w:shd w:val="clear" w:fill="f5f7fa"/>
            <w:vAlign w:val="center"/>
          </w:tcPr>
          <w:p>
            <w:pPr>
              <w:spacing w:before="0" w:after="0"/>
              <w:jc w:val="center"/>
            </w:pPr>
            <w:r>
              <w:rPr>
                <w:b/>
                <w:color w:val="1a1a2e"/>
                <w:sz w:val="21"/>
              </w:rPr>
              <w:t/>
            </w:r>
          </w:p>
        </w:tc>
        <w:tc>
          <w:tcPr>
            <w:tcW w:w="2500" w:type="dxa"/>
            <w:tcBorders>
              <w:bottom w:val="single" w:color="1E3A5F" w:sz="6"/>
            </w:tcBorders>
            <w:shd w:val="clear" w:fill="f5f7fa"/>
            <w:vAlign w:val="center"/>
          </w:tcPr>
          <w:p>
            <w:pPr>
              <w:spacing w:before="0" w:after="0"/>
              <w:jc w:val="center"/>
            </w:pPr>
            <w:r>
              <w:rPr>
                <w:b/>
                <w:color w:val="1a1a2e"/>
                <w:sz w:val="21"/>
              </w:rPr>
              <w:t>Predicted Benign</w:t>
            </w:r>
          </w:p>
        </w:tc>
        <w:tc>
          <w:tcPr>
            <w:tcW w:w="2500" w:type="dxa"/>
            <w:tcBorders>
              <w:bottom w:val="single" w:color="1E3A5F" w:sz="6"/>
            </w:tcBorders>
            <w:shd w:val="clear" w:fill="f5f7fa"/>
            <w:vAlign w:val="center"/>
          </w:tcPr>
          <w:p>
            <w:pPr>
              <w:spacing w:before="0" w:after="0"/>
              <w:jc w:val="center"/>
            </w:pPr>
            <w:r>
              <w:rPr>
                <w:b/>
                <w:color w:val="1a1a2e"/>
                <w:sz w:val="21"/>
              </w:rPr>
              <w:t>Predicted Malignant</w:t>
            </w:r>
          </w:p>
        </w:tc>
      </w:tr>
      <w:tr>
        <w:trPr>
          <w:trHeight w:val="360" w:hRule="atLeast"/>
        </w:trPr>
        <w:tc>
          <w:tcPr>
            <w:tcW w:w="2500" w:type="dxa"/>
            <w:vAlign w:val="center"/>
          </w:tcPr>
          <w:p>
            <w:pPr>
              <w:spacing w:before="0" w:after="0"/>
              <w:jc w:val="left"/>
            </w:pPr>
            <w:r>
              <w:rPr>
                <w:color w:val="1a1a2e"/>
                <w:sz w:val="21"/>
              </w:rPr>
              <w:t>Actual Benign</w:t>
            </w:r>
          </w:p>
        </w:tc>
        <w:tc>
          <w:tcPr>
            <w:tcW w:w="2500" w:type="dxa"/>
            <w:vAlign w:val="center"/>
          </w:tcPr>
          <w:p>
            <w:pPr>
              <w:spacing w:before="0" w:after="0"/>
              <w:jc w:val="center"/>
            </w:pPr>
            <w:r>
              <w:rPr>
                <w:color w:val="1a1a2e"/>
                <w:sz w:val="21"/>
              </w:rPr>
              <w:t>72 (TN)</w:t>
            </w:r>
          </w:p>
        </w:tc>
        <w:tc>
          <w:tcPr>
            <w:tcW w:w="2500" w:type="dxa"/>
            <w:vAlign w:val="center"/>
          </w:tcPr>
          <w:p>
            <w:pPr>
              <w:spacing w:before="0" w:after="0"/>
              <w:jc w:val="center"/>
            </w:pPr>
            <w:r>
              <w:rPr>
                <w:color w:val="1a1a2e"/>
                <w:sz w:val="21"/>
              </w:rPr>
              <w:t>0 (FP)</w:t>
            </w:r>
          </w:p>
        </w:tc>
      </w:tr>
      <w:tr>
        <w:trPr>
          <w:trHeight w:val="360" w:hRule="atLeast"/>
        </w:trPr>
        <w:tc>
          <w:tcPr>
            <w:tcW w:w="2500" w:type="dxa"/>
            <w:vAlign w:val="center"/>
          </w:tcPr>
          <w:p>
            <w:pPr>
              <w:spacing w:before="0" w:after="0"/>
              <w:jc w:val="left"/>
            </w:pPr>
            <w:r>
              <w:rPr>
                <w:color w:val="1a1a2e"/>
                <w:sz w:val="21"/>
              </w:rPr>
              <w:t>Actual Malignant</w:t>
            </w:r>
          </w:p>
        </w:tc>
        <w:tc>
          <w:tcPr>
            <w:tcW w:w="2500" w:type="dxa"/>
            <w:vAlign w:val="center"/>
          </w:tcPr>
          <w:p>
            <w:pPr>
              <w:spacing w:before="0" w:after="0"/>
              <w:jc w:val="center"/>
            </w:pPr>
            <w:r>
              <w:rPr>
                <w:color w:val="1a1a2e"/>
                <w:sz w:val="21"/>
              </w:rPr>
              <w:t>2 (FN)</w:t>
            </w:r>
          </w:p>
        </w:tc>
        <w:tc>
          <w:tcPr>
            <w:tcW w:w="2500" w:type="dxa"/>
            <w:vAlign w:val="center"/>
          </w:tcPr>
          <w:p>
            <w:pPr>
              <w:spacing w:before="0" w:after="0"/>
              <w:jc w:val="center"/>
            </w:pPr>
            <w:r>
              <w:rPr>
                <w:color w:val="1a1a2e"/>
                <w:sz w:val="21"/>
              </w:rPr>
              <w:t>40 (TP)</w:t>
            </w:r>
          </w:p>
        </w:tc>
      </w:tr>
    </w:tbl>
    <w:p>
      <w:pPr>
        <w:pStyle w:val="Caption"/>
      </w:pPr>
      <w:r>
        <w:t>Table 4: Confusion Matrix on Test Set</w:t>
      </w:r>
    </w:p>
    <w:p>
      <w:pPr>
        <w:spacing w:before="240"/>
      </w:pPr>
      <w:r>
        <w:t>5-fold cross-validation was performed to assess model stability and generalization:</w:t>
      </w:r>
    </w:p>
    <w:tbl>
      <w:tblPr>
        <w:tblW w:w="5000" w:type="pct"/>
        <w:tblBorders>
          <w:top w:val="single" w:color="1E3A5F" w:sz="12"/>
          <w:left w:val="nil"/>
          <w:bottom w:val="single" w:color="1E3A5F" w:sz="12"/>
          <w:right w:val="nil"/>
          <w:insideH w:val="nil"/>
          <w:insideV w:val="nil"/>
        </w:tblBorders>
        <w:tblCellMar>
          <w:top w:w="100" w:type="dxa"/>
          <w:left w:w="150" w:type="dxa"/>
          <w:bottom w:w="100" w:type="dxa"/>
          <w:right w:w="150" w:type="dxa"/>
        </w:tblCellMar>
      </w:tblPr>
      <w:tblGrid>
        <w:gridCol w:w="2500"/>
        <w:gridCol w:w="2000"/>
        <w:gridCol w:w="2000"/>
      </w:tblGrid>
      <w:tr>
        <w:trPr>
          <w:tblHeader/>
          <w:trHeight w:val="400" w:hRule="atLeast"/>
        </w:trPr>
        <w:tc>
          <w:tcPr>
            <w:tcW w:w="2500" w:type="dxa"/>
            <w:tcBorders>
              <w:bottom w:val="single" w:color="1E3A5F" w:sz="6"/>
            </w:tcBorders>
            <w:shd w:val="clear" w:fill="f5f7fa"/>
            <w:vAlign w:val="center"/>
          </w:tcPr>
          <w:p>
            <w:pPr>
              <w:spacing w:before="0" w:after="0"/>
              <w:jc w:val="center"/>
            </w:pPr>
            <w:r>
              <w:rPr>
                <w:b/>
                <w:color w:val="1a1a2e"/>
                <w:sz w:val="21"/>
              </w:rPr>
              <w:t>Metric</w:t>
            </w:r>
          </w:p>
        </w:tc>
        <w:tc>
          <w:tcPr>
            <w:tcW w:w="2000" w:type="dxa"/>
            <w:tcBorders>
              <w:bottom w:val="single" w:color="1E3A5F" w:sz="6"/>
            </w:tcBorders>
            <w:shd w:val="clear" w:fill="f5f7fa"/>
            <w:vAlign w:val="center"/>
          </w:tcPr>
          <w:p>
            <w:pPr>
              <w:spacing w:before="0" w:after="0"/>
              <w:jc w:val="center"/>
            </w:pPr>
            <w:r>
              <w:rPr>
                <w:b/>
                <w:color w:val="1a1a2e"/>
                <w:sz w:val="21"/>
              </w:rPr>
              <w:t>Mean</w:t>
            </w:r>
          </w:p>
        </w:tc>
        <w:tc>
          <w:tcPr>
            <w:tcW w:w="2000" w:type="dxa"/>
            <w:tcBorders>
              <w:bottom w:val="single" w:color="1E3A5F" w:sz="6"/>
            </w:tcBorders>
            <w:shd w:val="clear" w:fill="f5f7fa"/>
            <w:vAlign w:val="center"/>
          </w:tcPr>
          <w:p>
            <w:pPr>
              <w:spacing w:before="0" w:after="0"/>
              <w:jc w:val="center"/>
            </w:pPr>
            <w:r>
              <w:rPr>
                <w:b/>
                <w:color w:val="1a1a2e"/>
                <w:sz w:val="21"/>
              </w:rPr>
              <w:t>Std Dev</w:t>
            </w:r>
          </w:p>
        </w:tc>
      </w:tr>
      <w:tr>
        <w:trPr>
          <w:trHeight w:val="360" w:hRule="atLeast"/>
        </w:trPr>
        <w:tc>
          <w:tcPr>
            <w:tcW w:w="2500" w:type="dxa"/>
            <w:vAlign w:val="center"/>
          </w:tcPr>
          <w:p>
            <w:pPr>
              <w:spacing w:before="0" w:after="0"/>
              <w:jc w:val="left"/>
            </w:pPr>
            <w:r>
              <w:rPr>
                <w:color w:val="1a1a2e"/>
                <w:sz w:val="21"/>
              </w:rPr>
              <w:t>Accuracy</w:t>
            </w:r>
          </w:p>
        </w:tc>
        <w:tc>
          <w:tcPr>
            <w:tcW w:w="2000" w:type="dxa"/>
            <w:vAlign w:val="center"/>
          </w:tcPr>
          <w:p>
            <w:pPr>
              <w:spacing w:before="0" w:after="0"/>
              <w:jc w:val="center"/>
            </w:pPr>
            <w:r>
              <w:rPr>
                <w:color w:val="1a1a2e"/>
                <w:sz w:val="21"/>
              </w:rPr>
              <w:t>98.24%</w:t>
            </w:r>
          </w:p>
        </w:tc>
        <w:tc>
          <w:tcPr>
            <w:tcW w:w="2000" w:type="dxa"/>
            <w:vAlign w:val="center"/>
          </w:tcPr>
          <w:p>
            <w:pPr>
              <w:spacing w:before="0" w:after="0"/>
              <w:jc w:val="center"/>
            </w:pPr>
            <w:r>
              <w:rPr>
                <w:color w:val="1a1a2e"/>
                <w:sz w:val="21"/>
              </w:rPr>
              <w:t>0.55%</w:t>
            </w:r>
          </w:p>
        </w:tc>
      </w:tr>
      <w:tr>
        <w:trPr>
          <w:trHeight w:val="360" w:hRule="atLeast"/>
        </w:trPr>
        <w:tc>
          <w:tcPr>
            <w:tcW w:w="2500" w:type="dxa"/>
            <w:vAlign w:val="center"/>
          </w:tcPr>
          <w:p>
            <w:pPr>
              <w:spacing w:before="0" w:after="0"/>
              <w:jc w:val="left"/>
            </w:pPr>
            <w:r>
              <w:rPr>
                <w:color w:val="1a1a2e"/>
                <w:sz w:val="21"/>
              </w:rPr>
              <w:t>Precision</w:t>
            </w:r>
          </w:p>
        </w:tc>
        <w:tc>
          <w:tcPr>
            <w:tcW w:w="2000" w:type="dxa"/>
            <w:vAlign w:val="center"/>
          </w:tcPr>
          <w:p>
            <w:pPr>
              <w:spacing w:before="0" w:after="0"/>
              <w:jc w:val="center"/>
            </w:pPr>
            <w:r>
              <w:rPr>
                <w:color w:val="1a1a2e"/>
                <w:sz w:val="21"/>
              </w:rPr>
              <w:t>99.05%</w:t>
            </w:r>
          </w:p>
        </w:tc>
        <w:tc>
          <w:tcPr>
            <w:tcW w:w="2000" w:type="dxa"/>
            <w:vAlign w:val="center"/>
          </w:tcPr>
          <w:p>
            <w:pPr>
              <w:spacing w:before="0" w:after="0"/>
              <w:jc w:val="center"/>
            </w:pPr>
            <w:r>
              <w:rPr>
                <w:color w:val="1a1a2e"/>
                <w:sz w:val="21"/>
              </w:rPr>
              <w:t>1.17%</w:t>
            </w:r>
          </w:p>
        </w:tc>
      </w:tr>
      <w:tr>
        <w:trPr>
          <w:trHeight w:val="360" w:hRule="atLeast"/>
        </w:trPr>
        <w:tc>
          <w:tcPr>
            <w:tcW w:w="2500" w:type="dxa"/>
            <w:vAlign w:val="center"/>
          </w:tcPr>
          <w:p>
            <w:pPr>
              <w:spacing w:before="0" w:after="0"/>
              <w:jc w:val="left"/>
            </w:pPr>
            <w:r>
              <w:rPr>
                <w:color w:val="1a1a2e"/>
                <w:sz w:val="21"/>
              </w:rPr>
              <w:t>Recall</w:t>
            </w:r>
          </w:p>
        </w:tc>
        <w:tc>
          <w:tcPr>
            <w:tcW w:w="2000" w:type="dxa"/>
            <w:vAlign w:val="center"/>
          </w:tcPr>
          <w:p>
            <w:pPr>
              <w:spacing w:before="0" w:after="0"/>
              <w:jc w:val="center"/>
            </w:pPr>
            <w:r>
              <w:rPr>
                <w:color w:val="1a1a2e"/>
                <w:sz w:val="21"/>
              </w:rPr>
              <w:t>96.23%</w:t>
            </w:r>
          </w:p>
        </w:tc>
        <w:tc>
          <w:tcPr>
            <w:tcW w:w="2000" w:type="dxa"/>
            <w:vAlign w:val="center"/>
          </w:tcPr>
          <w:p>
            <w:pPr>
              <w:spacing w:before="0" w:after="0"/>
              <w:jc w:val="center"/>
            </w:pPr>
            <w:r>
              <w:rPr>
                <w:color w:val="1a1a2e"/>
                <w:sz w:val="21"/>
              </w:rPr>
              <w:t>1.88%</w:t>
            </w:r>
          </w:p>
        </w:tc>
      </w:tr>
      <w:tr>
        <w:trPr>
          <w:trHeight w:val="360" w:hRule="atLeast"/>
        </w:trPr>
        <w:tc>
          <w:tcPr>
            <w:tcW w:w="2500" w:type="dxa"/>
            <w:vAlign w:val="center"/>
          </w:tcPr>
          <w:p>
            <w:pPr>
              <w:spacing w:before="0" w:after="0"/>
              <w:jc w:val="left"/>
            </w:pPr>
            <w:r>
              <w:rPr>
                <w:color w:val="1a1a2e"/>
                <w:sz w:val="21"/>
              </w:rPr>
              <w:t>F1-Score</w:t>
            </w:r>
          </w:p>
        </w:tc>
        <w:tc>
          <w:tcPr>
            <w:tcW w:w="2000" w:type="dxa"/>
            <w:vAlign w:val="center"/>
          </w:tcPr>
          <w:p>
            <w:pPr>
              <w:spacing w:before="0" w:after="0"/>
              <w:jc w:val="center"/>
            </w:pPr>
            <w:r>
              <w:rPr>
                <w:color w:val="1a1a2e"/>
                <w:sz w:val="21"/>
              </w:rPr>
              <w:t>97.60%</w:t>
            </w:r>
          </w:p>
        </w:tc>
        <w:tc>
          <w:tcPr>
            <w:tcW w:w="2000" w:type="dxa"/>
            <w:vAlign w:val="center"/>
          </w:tcPr>
          <w:p>
            <w:pPr>
              <w:spacing w:before="0" w:after="0"/>
              <w:jc w:val="center"/>
            </w:pPr>
            <w:r>
              <w:rPr>
                <w:color w:val="1a1a2e"/>
                <w:sz w:val="21"/>
              </w:rPr>
              <w:t>0.77%</w:t>
            </w:r>
          </w:p>
        </w:tc>
      </w:tr>
      <w:tr>
        <w:trPr>
          <w:trHeight w:val="360" w:hRule="atLeast"/>
        </w:trPr>
        <w:tc>
          <w:tcPr>
            <w:tcW w:w="2500" w:type="dxa"/>
            <w:vAlign w:val="center"/>
          </w:tcPr>
          <w:p>
            <w:pPr>
              <w:spacing w:before="0" w:after="0"/>
              <w:jc w:val="left"/>
            </w:pPr>
            <w:r>
              <w:rPr>
                <w:color w:val="1a1a2e"/>
                <w:sz w:val="21"/>
              </w:rPr>
              <w:t>ROC-AUC</w:t>
            </w:r>
          </w:p>
        </w:tc>
        <w:tc>
          <w:tcPr>
            <w:tcW w:w="2000" w:type="dxa"/>
            <w:vAlign w:val="center"/>
          </w:tcPr>
          <w:p>
            <w:pPr>
              <w:spacing w:before="0" w:after="0"/>
              <w:jc w:val="center"/>
            </w:pPr>
            <w:r>
              <w:rPr>
                <w:color w:val="1a1a2e"/>
                <w:sz w:val="21"/>
              </w:rPr>
              <w:t>99.53%</w:t>
            </w:r>
          </w:p>
        </w:tc>
        <w:tc>
          <w:tcPr>
            <w:tcW w:w="2000" w:type="dxa"/>
            <w:vAlign w:val="center"/>
          </w:tcPr>
          <w:p>
            <w:pPr>
              <w:spacing w:before="0" w:after="0"/>
              <w:jc w:val="center"/>
            </w:pPr>
            <w:r>
              <w:rPr>
                <w:color w:val="1a1a2e"/>
                <w:sz w:val="21"/>
              </w:rPr>
              <w:t>0.47%</w:t>
            </w:r>
          </w:p>
        </w:tc>
      </w:tr>
    </w:tbl>
    <w:p>
      <w:pPr>
        <w:pStyle w:val="Caption"/>
      </w:pPr>
      <w:r>
        <w:t>Table 5: Cross-Validation Results</w:t>
      </w:r>
    </w:p>
    <w:p>
      <w:pPr>
        <w:pStyle w:val="Heading2"/>
      </w:pPr>
      <w:r>
        <w:t>Key Insights Derived from the Model</w:t>
      </w:r>
    </w:p>
    <w:p>
      <w:r>
        <w:t>Analysis of the trained model reveals several important insights:</w:t>
      </w:r>
    </w:p>
    <w:p>
      <w:pPr>
        <w:pStyle w:val="Heading3"/>
      </w:pPr>
      <w:r>
        <w:t>Feature Importance</w:t>
      </w:r>
    </w:p>
    <w:p>
      <w:r>
        <w:t>The most influential features for classification, ranked by absolute coefficient magnitude, are:</w:t>
      </w:r>
    </w:p>
    <w:p>
      <w:pPr>
        <w:numPr>
          <w:ilvl w:val="0"/>
          <w:numId w:val="2"/>
        </w:numPr>
        <w:spacing w:before="60" w:after="60"/>
      </w:pPr>
      <w:r>
        <w:t>texture_worst (0.593): The worst texture value shows the strongest predictive power</w:t>
      </w:r>
    </w:p>
    <w:p>
      <w:pPr>
        <w:numPr>
          <w:ilvl w:val="0"/>
          <w:numId w:val="2"/>
        </w:numPr>
        <w:spacing w:before="60" w:after="60"/>
      </w:pPr>
      <w:r>
        <w:t>radius_worst (0.511): Maximum radius of cell nuclei is highly discriminative</w:t>
      </w:r>
    </w:p>
    <w:p>
      <w:pPr>
        <w:numPr>
          <w:ilvl w:val="0"/>
          <w:numId w:val="2"/>
        </w:numPr>
        <w:spacing w:before="60" w:after="60"/>
      </w:pPr>
      <w:r>
        <w:t>area_worst (0.488): Largest area measurement contributes significantly to classification</w:t>
      </w:r>
    </w:p>
    <w:p>
      <w:pPr>
        <w:numPr>
          <w:ilvl w:val="0"/>
          <w:numId w:val="2"/>
        </w:numPr>
        <w:spacing w:before="60" w:after="60"/>
      </w:pPr>
      <w:r>
        <w:t>radius_se (0.487): Standard error of radius indicates measurement variability</w:t>
      </w:r>
    </w:p>
    <w:p>
      <w:pPr>
        <w:numPr>
          <w:ilvl w:val="0"/>
          <w:numId w:val="2"/>
        </w:numPr>
        <w:spacing w:before="60" w:after="60"/>
      </w:pPr>
      <w:r>
        <w:t>concave_points_mean (0.453): Average number of concave portions is a key indicator</w:t>
      </w:r>
    </w:p>
    <w:p>
      <w:pPr>
        <w:pStyle w:val="Heading3"/>
      </w:pPr>
      <w:r>
        <w:t>Feature Category Analysis</w:t>
      </w:r>
    </w:p>
    <w:p>
      <w:r>
        <w:t>When examining feature importance by statistical measure type, the 'worst' values (maximum measurements) demonstrate the highest average importance (0.385), followed by 'mean' values (0.276), and 'standard error' values (0.214). This suggests that extreme measurements of nuclear characteristics are more informative for distinguishing malignant from benign tumors than average values or measurement variability.</w:t>
      </w:r>
    </w:p>
    <w:p>
      <w:pPr>
        <w:pStyle w:val="Heading3"/>
      </w:pPr>
      <w:r>
        <w:t>Clinical Significance</w:t>
      </w:r>
    </w:p>
    <w:p>
      <w:r>
        <w:t>The model's high sensitivity (95.24%) is particularly important in a screening context, as it minimizes false negatives - cases where malignant tumors are incorrectly classified as benign. With only 2 false negatives out of 42 malignant cases in the test set, the model demonstrates strong capability for early cancer detection. The perfect specificity (100%) indicates no false alarms, which helps reduce unnecessary anxiety and additional testing for patients.</w:t>
      </w:r>
    </w:p>
    <w:p>
      <w:pPr>
        <w:pStyle w:val="Heading1"/>
      </w:pPr>
      <w:r>
        <w:t>Risks, Limitations, and Assumptions</w:t>
      </w:r>
    </w:p>
    <w:p>
      <w:r>
        <w:t>While the model demonstrates strong performance, several factors must be considered for responsible deployment:</w:t>
      </w:r>
    </w:p>
    <w:p>
      <w:pPr>
        <w:pStyle w:val="Heading2"/>
      </w:pPr>
      <w:r>
        <w:t>Data Bias and Representativeness</w:t>
      </w:r>
    </w:p>
    <w:p>
      <w:pPr>
        <w:numPr>
          <w:ilvl w:val="0"/>
          <w:numId w:val="2"/>
        </w:numPr>
        <w:spacing w:before="60" w:after="60"/>
      </w:pPr>
      <w:r>
        <w:t>The dataset originates from a single institution (University of Wisconsin), which may limit generalizability to populations with different demographic characteristics</w:t>
      </w:r>
    </w:p>
    <w:p>
      <w:pPr>
        <w:numPr>
          <w:ilvl w:val="0"/>
          <w:numId w:val="2"/>
        </w:numPr>
        <w:spacing w:before="60" w:after="60"/>
      </w:pPr>
      <w:r>
        <w:t>Class imbalance (62.7% benign vs. 37.3% malignant) may not reflect all clinical settings</w:t>
      </w:r>
    </w:p>
    <w:p>
      <w:pPr>
        <w:numPr>
          <w:ilvl w:val="0"/>
          <w:numId w:val="2"/>
        </w:numPr>
        <w:spacing w:before="60" w:after="60"/>
      </w:pPr>
      <w:r>
        <w:t>The dataset contains only cases where FNA biopsy was performed, potentially excluding certain tumor types</w:t>
      </w:r>
    </w:p>
    <w:p>
      <w:pPr>
        <w:pStyle w:val="Heading2"/>
      </w:pPr>
      <w:r>
        <w:t>Model Limitations</w:t>
      </w:r>
    </w:p>
    <w:p>
      <w:pPr>
        <w:numPr>
          <w:ilvl w:val="0"/>
          <w:numId w:val="2"/>
        </w:numPr>
        <w:spacing w:before="60" w:after="60"/>
      </w:pPr>
      <w:r>
        <w:t>The model has not been validated on external datasets from different institutions or imaging equipment</w:t>
      </w:r>
    </w:p>
    <w:p>
      <w:pPr>
        <w:numPr>
          <w:ilvl w:val="0"/>
          <w:numId w:val="2"/>
        </w:numPr>
        <w:spacing w:before="60" w:after="60"/>
      </w:pPr>
      <w:r>
        <w:t>Performance may degrade on samples with atypical presentations not represented in the training data</w:t>
      </w:r>
    </w:p>
    <w:p>
      <w:pPr>
        <w:numPr>
          <w:ilvl w:val="0"/>
          <w:numId w:val="2"/>
        </w:numPr>
        <w:spacing w:before="60" w:after="60"/>
      </w:pPr>
      <w:r>
        <w:t>Logistic regression assumes linear relationships between features and log-odds, which may not capture complex non-linear patterns</w:t>
      </w:r>
    </w:p>
    <w:p>
      <w:pPr>
        <w:numPr>
          <w:ilvl w:val="0"/>
          <w:numId w:val="2"/>
        </w:numPr>
        <w:spacing w:before="60" w:after="60"/>
      </w:pPr>
      <w:r>
        <w:t>High correlation among features (e.g., radius, perimeter, area) may affect coefficient interpretability</w:t>
      </w:r>
    </w:p>
    <w:p>
      <w:pPr>
        <w:pStyle w:val="Heading2"/>
      </w:pPr>
      <w:r>
        <w:t>Overfitting Considerations</w:t>
      </w:r>
    </w:p>
    <w:p>
      <w:r>
        <w:t>While cross-validation results show consistency between training and test performance, the small dataset size (569 samples) relative to the number of features (30) presents a risk of overfitting. The use of L2 regularization (Ridge) helps mitigate this risk by penalizing large coefficients.</w:t>
      </w:r>
    </w:p>
    <w:p>
      <w:pPr>
        <w:pStyle w:val="Heading2"/>
      </w:pPr>
      <w:r>
        <w:t>Interpretability Considerations</w:t>
      </w:r>
    </w:p>
    <w:p>
      <w:pPr>
        <w:numPr>
          <w:ilvl w:val="0"/>
          <w:numId w:val="2"/>
        </w:numPr>
        <w:spacing w:before="60" w:after="60"/>
      </w:pPr>
      <w:r>
        <w:t>While logistic regression is inherently interpretable, the high correlation between related features (e.g., radius, perimeter, area) makes individual coefficient interpretation challenging</w:t>
      </w:r>
    </w:p>
    <w:p>
      <w:pPr>
        <w:numPr>
          <w:ilvl w:val="0"/>
          <w:numId w:val="2"/>
        </w:numPr>
        <w:spacing w:before="60" w:after="60"/>
      </w:pPr>
      <w:r>
        <w:t>Feature importance rankings should be interpreted cautiously given multicollinearity in the dataset</w:t>
      </w:r>
    </w:p>
    <w:p>
      <w:pPr>
        <w:numPr>
          <w:ilvl w:val="0"/>
          <w:numId w:val="2"/>
        </w:numPr>
        <w:spacing w:before="60" w:after="60"/>
      </w:pPr>
      <w:r>
        <w:t>The model provides probability estimates but does not explain the biological mechanisms underlying predictions</w:t>
      </w:r>
    </w:p>
    <w:p>
      <w:pPr>
        <w:pStyle w:val="Heading2"/>
      </w:pPr>
      <w:r>
        <w:t>Key Assumptions</w:t>
      </w:r>
    </w:p>
    <w:p>
      <w:pPr>
        <w:numPr>
          <w:ilvl w:val="0"/>
          <w:numId w:val="1"/>
        </w:numPr>
        <w:spacing w:before="120" w:after="120"/>
      </w:pPr>
      <w:r>
        <w:rPr>
          <w:b/>
        </w:rPr>
        <w:t>Feature Quality: </w:t>
      </w:r>
      <w:r>
        <w:t>Assumes FNA image quality and feature extraction methodology are consistent with the training data</w:t>
      </w:r>
    </w:p>
    <w:p>
      <w:pPr>
        <w:numPr>
          <w:ilvl w:val="0"/>
          <w:numId w:val="1"/>
        </w:numPr>
        <w:spacing w:before="120" w:after="120"/>
      </w:pPr>
      <w:r>
        <w:rPr>
          <w:b/>
        </w:rPr>
        <w:t>Clinical Context: </w:t>
      </w:r>
      <w:r>
        <w:t>Assumes the model will be used as a decision support tool, not as a standalone diagnostic system</w:t>
      </w:r>
    </w:p>
    <w:p>
      <w:pPr>
        <w:numPr>
          <w:ilvl w:val="0"/>
          <w:numId w:val="1"/>
        </w:numPr>
        <w:spacing w:before="120" w:after="120"/>
      </w:pPr>
      <w:r>
        <w:rPr>
          <w:b/>
        </w:rPr>
        <w:t>Population Similarity: </w:t>
      </w:r>
      <w:r>
        <w:t>Assumes the target population has similar characteristics to the dataset population</w:t>
      </w:r>
    </w:p>
    <w:p>
      <w:pPr>
        <w:numPr>
          <w:ilvl w:val="0"/>
          <w:numId w:val="1"/>
        </w:numPr>
        <w:spacing w:before="120" w:after="120"/>
      </w:pPr>
      <w:r>
        <w:rPr>
          <w:b/>
        </w:rPr>
        <w:t>Threshold Selection: </w:t>
      </w:r>
      <w:r>
        <w:t>Default classification threshold (0.5) may not be optimal for all clinical scenarios</w:t>
      </w:r>
    </w:p>
    <w:p>
      <w:pPr>
        <w:pStyle w:val="Heading1"/>
      </w:pPr>
      <w:r>
        <w:t>Conclusions and Actionable Recommendations</w:t>
      </w:r>
    </w:p>
    <w:p>
      <w:pPr>
        <w:pStyle w:val="Heading2"/>
      </w:pPr>
      <w:r>
        <w:t>Summary of Findings</w:t>
      </w:r>
    </w:p>
    <w:p>
      <w:r>
        <w:t>The Logistic Regression model developed for breast cancer diagnostic prediction demonstrates excellent performance with 98.25% accuracy, 95.24% sensitivity, and 100% specificity. The model successfully distinguishes between malignant and benign breast tumors using quantitative features extracted from FNA biopsy images. Key findings include:</w:t>
      </w:r>
    </w:p>
    <w:p>
      <w:pPr>
        <w:numPr>
          <w:ilvl w:val="0"/>
          <w:numId w:val="2"/>
        </w:numPr>
        <w:spacing w:before="60" w:after="60"/>
      </w:pPr>
      <w:r>
        <w:t>The optimized model (C=0.1, L2 penalty) outperforms the baseline configuration</w:t>
      </w:r>
    </w:p>
    <w:p>
      <w:pPr>
        <w:numPr>
          <w:ilvl w:val="0"/>
          <w:numId w:val="2"/>
        </w:numPr>
        <w:spacing w:before="60" w:after="60"/>
      </w:pPr>
      <w:r>
        <w:t>'Worst' measurements of nuclear features are most predictive of malignancy</w:t>
      </w:r>
    </w:p>
    <w:p>
      <w:pPr>
        <w:numPr>
          <w:ilvl w:val="0"/>
          <w:numId w:val="2"/>
        </w:numPr>
        <w:spacing w:before="60" w:after="60"/>
      </w:pPr>
      <w:r>
        <w:t>The model maintains stable performance across cross-validation folds</w:t>
      </w:r>
    </w:p>
    <w:p>
      <w:pPr>
        <w:numPr>
          <w:ilvl w:val="0"/>
          <w:numId w:val="2"/>
        </w:numPr>
        <w:spacing w:before="60" w:after="60"/>
      </w:pPr>
      <w:r>
        <w:t>AUC-ROC of 0.9977 indicates excellent discriminative ability</w:t>
      </w:r>
    </w:p>
    <w:p>
      <w:pPr>
        <w:pStyle w:val="Heading2"/>
      </w:pPr>
      <w:r>
        <w:t>Recommendations for Model Improvement</w:t>
      </w:r>
    </w:p>
    <w:p>
      <w:pPr>
        <w:numPr>
          <w:ilvl w:val="0"/>
          <w:numId w:val="1"/>
        </w:numPr>
        <w:spacing w:before="120" w:after="120"/>
      </w:pPr>
      <w:r>
        <w:rPr>
          <w:b/>
        </w:rPr>
        <w:t>External Validation: </w:t>
      </w:r>
      <w:r>
        <w:t>Validate the model on datasets from multiple institutions to assess generalizability</w:t>
      </w:r>
    </w:p>
    <w:p>
      <w:pPr>
        <w:numPr>
          <w:ilvl w:val="0"/>
          <w:numId w:val="1"/>
        </w:numPr>
        <w:spacing w:before="120" w:after="120"/>
      </w:pPr>
      <w:r>
        <w:rPr>
          <w:b/>
        </w:rPr>
        <w:t>Feature Engineering: </w:t>
      </w:r>
      <w:r>
        <w:t>Explore derived features such as ratios (e.g., compactness) and interaction terms</w:t>
      </w:r>
    </w:p>
    <w:p>
      <w:pPr>
        <w:numPr>
          <w:ilvl w:val="0"/>
          <w:numId w:val="1"/>
        </w:numPr>
        <w:spacing w:before="120" w:after="120"/>
      </w:pPr>
      <w:r>
        <w:rPr>
          <w:b/>
        </w:rPr>
        <w:t>Ensemble Methods: </w:t>
      </w:r>
      <w:r>
        <w:t>Consider ensemble approaches combining multiple algorithms to potentially improve robustness</w:t>
      </w:r>
    </w:p>
    <w:p>
      <w:pPr>
        <w:numPr>
          <w:ilvl w:val="0"/>
          <w:numId w:val="1"/>
        </w:numPr>
        <w:spacing w:before="120" w:after="120"/>
      </w:pPr>
      <w:r>
        <w:rPr>
          <w:b/>
        </w:rPr>
        <w:t>Threshold Optimization: </w:t>
      </w:r>
      <w:r>
        <w:t>Optimize classification threshold based on clinical cost-benefit analysis of false positives vs. false negatives</w:t>
      </w:r>
    </w:p>
    <w:p>
      <w:pPr>
        <w:numPr>
          <w:ilvl w:val="0"/>
          <w:numId w:val="1"/>
        </w:numPr>
        <w:spacing w:before="120" w:after="120"/>
      </w:pPr>
      <w:r>
        <w:rPr>
          <w:b/>
        </w:rPr>
        <w:t>Feature Selection: </w:t>
      </w:r>
      <w:r>
        <w:t>Apply regularization-based feature selection to identify minimal feature sets</w:t>
      </w:r>
    </w:p>
    <w:p>
      <w:pPr>
        <w:pStyle w:val="Heading2"/>
      </w:pPr>
      <w:r>
        <w:t>Deployment Recommendations</w:t>
      </w:r>
    </w:p>
    <w:p>
      <w:pPr>
        <w:numPr>
          <w:ilvl w:val="0"/>
          <w:numId w:val="2"/>
        </w:numPr>
        <w:spacing w:before="60" w:after="60"/>
      </w:pPr>
      <w:r>
        <w:t>Decision Support Role: Deploy as a clinical decision support tool to assist pathologists, not replace them</w:t>
      </w:r>
    </w:p>
    <w:p>
      <w:pPr>
        <w:numPr>
          <w:ilvl w:val="0"/>
          <w:numId w:val="2"/>
        </w:numPr>
        <w:spacing w:before="60" w:after="60"/>
      </w:pPr>
      <w:r>
        <w:t>Probability Thresholds: Implement adjustable probability thresholds to accommodate different clinical scenarios</w:t>
      </w:r>
    </w:p>
    <w:p>
      <w:pPr>
        <w:numPr>
          <w:ilvl w:val="0"/>
          <w:numId w:val="2"/>
        </w:numPr>
        <w:spacing w:before="60" w:after="60"/>
      </w:pPr>
      <w:r>
        <w:t>Continuous Monitoring: Establish performance monitoring to detect drift in model accuracy over time</w:t>
      </w:r>
    </w:p>
    <w:p>
      <w:pPr>
        <w:numPr>
          <w:ilvl w:val="0"/>
          <w:numId w:val="2"/>
        </w:numPr>
        <w:spacing w:before="60" w:after="60"/>
      </w:pPr>
      <w:r>
        <w:t>User Training: Provide training for clinical staff on interpreting model outputs and confidence scores</w:t>
      </w:r>
    </w:p>
    <w:p>
      <w:pPr>
        <w:numPr>
          <w:ilvl w:val="0"/>
          <w:numId w:val="2"/>
        </w:numPr>
        <w:spacing w:before="60" w:after="60"/>
      </w:pPr>
      <w:r>
        <w:t>Integration: Design for integration with existing pathology information systems</w:t>
      </w:r>
    </w:p>
    <w:p>
      <w:pPr>
        <w:pStyle w:val="Heading2"/>
      </w:pPr>
      <w:r>
        <w:t>Future Research Directions</w:t>
      </w:r>
    </w:p>
    <w:p>
      <w:pPr>
        <w:numPr>
          <w:ilvl w:val="0"/>
          <w:numId w:val="2"/>
        </w:numPr>
        <w:spacing w:before="60" w:after="60"/>
      </w:pPr>
      <w:r>
        <w:t>Deep Learning Exploration: Investigate deep learning approaches for direct image analysis without manual feature extraction</w:t>
      </w:r>
    </w:p>
    <w:p>
      <w:pPr>
        <w:numPr>
          <w:ilvl w:val="0"/>
          <w:numId w:val="2"/>
        </w:numPr>
        <w:spacing w:before="60" w:after="60"/>
      </w:pPr>
      <w:r>
        <w:t>Multi-modal Data: Incorporate additional data sources such as patient demographics and clinical history</w:t>
      </w:r>
    </w:p>
    <w:p>
      <w:pPr>
        <w:numPr>
          <w:ilvl w:val="0"/>
          <w:numId w:val="2"/>
        </w:numPr>
        <w:spacing w:before="60" w:after="60"/>
      </w:pPr>
      <w:r>
        <w:t>Explainability: Implement SHAP or LIME for more detailed explanation of individual predictions</w:t>
      </w:r>
    </w:p>
    <w:p>
      <w:pPr>
        <w:numPr>
          <w:ilvl w:val="0"/>
          <w:numId w:val="2"/>
        </w:numPr>
        <w:spacing w:before="60" w:after="60"/>
      </w:pPr>
      <w:r>
        <w:t>Longitudinal Studies: Evaluate model performance on longitudinal patient data to assess temporal stability</w:t>
      </w:r>
    </w:p>
    <w:p>
      <w:pPr>
        <w:numPr>
          <w:ilvl w:val="0"/>
          <w:numId w:val="2"/>
        </w:numPr>
        <w:spacing w:before="60" w:after="60"/>
      </w:pPr>
      <w:r>
        <w:t>Cost-Benefit Analysis: Conduct formal economic analysis of model deployment in clinical settings</w:t>
      </w:r>
    </w:p>
    <w:p>
      <w:pPr>
        <w:spacing w:before="360"/>
      </w:pPr>
      <w:r>
        <w:t>In conclusion, the developed model shows strong potential for supporting breast cancer diagnosis, with performance metrics that meet clinical standards for a decision support system. Responsible deployment with appropriate safeguards and continuous monitoring can help realize the benefits of machine learning in improving diagnostic accuracy and efficiency.</w:t>
      </w:r>
    </w:p>
    <w:sectPr>
      <w:headerReference w:type="default" r:id="R8f91ce2d69184cb6"/>
      <w:footerReference w:type="default" r:id="R17eabc2a1b554b92"/>
      <w:pgSz w:w="11906" w:h="16838"/>
      <w:pgMar w:top="1440" w:right="1440" w:bottom="1440" w:left="1440" w:header="720" w:footer="720"/>
    </w:sectPr>
  </w:body>
</w:document>
</file>

<file path=word/footer1.xml><?xml version="1.0" encoding="utf-8"?>
<w:ftr xmlns:w="http://schemas.openxmlformats.org/wordprocessingml/2006/main">
  <w:p>
    <w:pPr>
      <w:pBdr>
        <w:top w:val="single" w:color="d0d4dc" w:sz="4"/>
      </w:pBdr>
      <w:jc w:val="center"/>
    </w:pPr>
    <w:r>
      <w:rPr>
        <w:color w:val="8a8a9e"/>
        <w:sz w:val="18"/>
      </w:rPr>
      <w:t xml:space="preserve">Page </w:t>
    </w:r>
    <w:r>
      <w:rPr>
        <w:color w:val="8a8a9e"/>
        <w:sz w:val="18"/>
      </w:rPr>
      <w:fldChar w:fldCharType="begin"/>
      <w:instrText xml:space="preserve"> PAGE </w:instrText>
      <w:fldChar w:fldCharType="separate"/>
      <w:t>1</w:t>
      <w:fldChar w:fldCharType="end"/>
    </w:r>
    <w:r>
      <w:rPr>
        <w:color w:val="8a8a9e"/>
        <w:sz w:val="18"/>
      </w:rPr>
      <w:t xml:space="preserve"> of </w:t>
    </w:r>
    <w:r>
      <w:rPr>
        <w:color w:val="8a8a9e"/>
        <w:sz w:val="18"/>
      </w:rPr>
      <w:fldChar w:fldCharType="begin"/>
      <w:instrText xml:space="preserve"> NUMPAGES </w:instrText>
      <w:fldChar w:fldCharType="separate"/>
      <w:t>1</w:t>
      <w:fldChar w:fldCharType="end"/>
    </w:r>
  </w:p>
</w:ftr>
</file>

<file path=word/header1.xml><?xml version="1.0" encoding="utf-8"?>
<w:hdr xmlns:w="http://schemas.openxmlformats.org/wordprocessingml/2006/main">
  <w:p>
    <w:pPr>
      <w:pBdr>
        <w:bottom w:val="single" w:color="d0d4dc" w:sz="4"/>
      </w:pBdr>
      <w:spacing w:before="0" w:after="0"/>
      <w:jc w:val="right"/>
    </w:pPr>
    <w:r>
      <w:rPr>
        <w:color w:val="8a8a9e"/>
        <w:sz w:val="18"/>
      </w:rPr>
      <w:t>Breast Cancer Diagnostic Prediction - Analytical Report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288" w:lineRule="auto"/>
      <w:jc w:val="both"/>
    </w:pPr>
    <w:rPr>
      <w:rFonts w:ascii="Calibri" w:hAnsi="Calibri" w:eastAsia="Microsoft YaHei"/>
      <w:color w:val="1a1a2e"/>
      <w:sz w:val="22"/>
    </w:rPr>
  </w:style>
  <w:style w:type="paragraph" w:styleId="Heading1">
    <w:name w:val="heading 1"/>
    <w:basedOn w:val="Normal"/>
    <w:pPr>
      <w:keepNext/>
      <w:keepLines/>
      <w:pageBreakBefore/>
      <w:spacing w:before="0" w:after="300" w:line="240" w:lineRule="auto"/>
      <w:outlineLvl w:val="0"/>
    </w:pPr>
    <w:rPr>
      <w:b/>
      <w:color w:val="1E3A5F"/>
      <w:sz w:val="36"/>
    </w:rPr>
  </w:style>
  <w:style w:type="paragraph" w:styleId="Heading2">
    <w:name w:val="heading 2"/>
    <w:basedOn w:val="Normal"/>
    <w:pPr>
      <w:keepNext/>
      <w:keepLines/>
      <w:spacing w:before="360" w:after="180"/>
      <w:outlineLvl w:val="1"/>
    </w:pPr>
    <w:rPr>
      <w:b/>
      <w:color w:val="1a1a2e"/>
      <w:sz w:val="28"/>
    </w:rPr>
  </w:style>
  <w:style w:type="paragraph" w:styleId="Heading3">
    <w:name w:val="heading 3"/>
    <w:basedOn w:val="Normal"/>
    <w:pPr>
      <w:keepNext/>
      <w:keepLines/>
      <w:spacing w:before="280" w:after="120"/>
      <w:outlineLvl w:val="2"/>
    </w:pPr>
    <w:rPr>
      <w:b/>
      <w:color w:val="4a4a5e"/>
      <w:sz w:val="24"/>
    </w:rPr>
  </w:style>
  <w:style w:type="paragraph" w:styleId="Caption">
    <w:name w:val="Caption"/>
    <w:basedOn w:val="Normal"/>
    <w:pPr>
      <w:keepLines/>
      <w:spacing w:before="60" w:after="360"/>
      <w:jc w:val="center"/>
    </w:pPr>
    <w:rPr>
      <w:i/>
      <w:color w:val="4a4a5e"/>
      <w:sz w:val="20"/>
    </w:rPr>
  </w:style>
</w:styles>
</file>

<file path=word/_rels/document.xml.rels>&#65279;<?xml version="1.0" encoding="utf-8"?><Relationships xmlns="http://schemas.openxmlformats.org/package/2006/relationships"><Relationship Type="http://schemas.openxmlformats.org/officeDocument/2006/relationships/styles" Target="/word/styles.xml" Id="Rf9596df2051b4553" /><Relationship Type="http://schemas.openxmlformats.org/officeDocument/2006/relationships/numbering" Target="/word/numbering.xml" Id="Rd3bf008dc87d478d" /><Relationship Type="http://schemas.openxmlformats.org/officeDocument/2006/relationships/header" Target="/word/header1.xml" Id="R8f91ce2d69184cb6" /><Relationship Type="http://schemas.openxmlformats.org/officeDocument/2006/relationships/footer" Target="/word/footer1.xml" Id="R17eabc2a1b554b92" /><Relationship Type="http://schemas.openxmlformats.org/officeDocument/2006/relationships/settings" Target="/word/settings.xml" Id="Rc0c4e768c0b74145" /></Relationships>
</file>