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DE6E" w14:textId="014872B3" w:rsidR="00451AA5" w:rsidRDefault="00176A4F">
      <w:r>
        <w:rPr>
          <w:noProof/>
        </w:rPr>
        <w:drawing>
          <wp:inline distT="0" distB="0" distL="0" distR="0" wp14:anchorId="5364EEEE" wp14:editId="18042D8A">
            <wp:extent cx="5943600" cy="1308100"/>
            <wp:effectExtent l="0" t="0" r="0" b="6350"/>
            <wp:docPr id="210649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96459" name=""/>
                    <pic:cNvPicPr/>
                  </pic:nvPicPr>
                  <pic:blipFill>
                    <a:blip r:embed="rId6"/>
                    <a:stretch>
                      <a:fillRect/>
                    </a:stretch>
                  </pic:blipFill>
                  <pic:spPr>
                    <a:xfrm>
                      <a:off x="0" y="0"/>
                      <a:ext cx="5943600" cy="1308100"/>
                    </a:xfrm>
                    <a:prstGeom prst="rect">
                      <a:avLst/>
                    </a:prstGeom>
                  </pic:spPr>
                </pic:pic>
              </a:graphicData>
            </a:graphic>
          </wp:inline>
        </w:drawing>
      </w:r>
    </w:p>
    <w:p w14:paraId="25D81CEB" w14:textId="77777777" w:rsidR="00D7625A" w:rsidRDefault="00D7625A" w:rsidP="00D7625A"/>
    <w:p w14:paraId="6EDA35CA" w14:textId="77777777" w:rsidR="00D7625A" w:rsidRDefault="00D7625A" w:rsidP="00D7625A">
      <w:r>
        <w:t>Building an environment in Amazon Web Services (AWS) proves to be an economically savvy alternative compared to traditional infrastructure, chiefly because of AWS's innovative pay-as-you-go pricing approach. This approach obliterates the need for committing to long-term contracts and incurring termination fees, rendering it an efficient choice for businesses. By embracing this pay-as-you-go model, organizations exclusively pay for the services they actively employ, thereby circumventing downtime charges and optimizing their workspace utilization, ultimately contributing to enhanced profits.</w:t>
      </w:r>
    </w:p>
    <w:p w14:paraId="126E872D" w14:textId="77777777" w:rsidR="00D7625A" w:rsidRDefault="00D7625A" w:rsidP="00D7625A">
      <w:r>
        <w:t>In sharp contrast to conventional infrastructures, AWS effectively removes the requirement to procure additional servers and server space. This traditional approach often results in depreciating assets over time, leading to unneeded expenditures for businesses as they expand. AWS, on the other hand, allows businesses to scale their infrastructure with ease, only paying for the resources they consume. As a result, AWS proves to be a more cost-effective choice, especially for organizations in growth mode.</w:t>
      </w:r>
    </w:p>
    <w:p w14:paraId="1EF42225" w14:textId="77777777" w:rsidR="00D7625A" w:rsidRDefault="00D7625A" w:rsidP="00D7625A">
      <w:r>
        <w:t>Furthermore, constructing an environment within Amazon Cloud Web Services positively influences product quality. This stems from the fact that it facilitates quicker decision-making by outsourcing crucial IT responsibilities, such as maintenance, labor, security, and backups. By delegating these operational tasks to AWS, businesses can reallocate their internal resources towards vital areas like the development of new products and quality assurance, which in turn bolsters their competitive edge.</w:t>
      </w:r>
    </w:p>
    <w:p w14:paraId="13876A9A" w14:textId="77777777" w:rsidR="00D7625A" w:rsidRDefault="00D7625A" w:rsidP="00D7625A">
      <w:r>
        <w:lastRenderedPageBreak/>
        <w:t xml:space="preserve">When discussing the financial implications of adopting AWS over traditional infrastructures, the concept of Total Cost of Ownership (TCO) comes into play. TCO encompasses both asset and operational costs. In the case of traditional infrastructures, TCO calculations must </w:t>
      </w:r>
      <w:proofErr w:type="gramStart"/>
      <w:r>
        <w:t>take into account</w:t>
      </w:r>
      <w:proofErr w:type="gramEnd"/>
      <w:r>
        <w:t xml:space="preserve"> ongoing maintenance expenses, potential equipment downtime, and the ever-present costs associated with updating outdated software and equipment. By opting for AWS, these concerns are significantly alleviated, as AWS assumes responsibility for the infrastructure's robustness and modernity, leaving organizations free to focus on their core competencies.</w:t>
      </w:r>
    </w:p>
    <w:p w14:paraId="29DEB58E" w14:textId="77777777" w:rsidR="00D7625A" w:rsidRDefault="00D7625A" w:rsidP="00D7625A">
      <w:r>
        <w:t>In addition to cost savings, AWS also delivers a host of other advantages. One key benefit is the boost to real estate earnings, as organizations can downsize or eliminate their on-premises data centers. Moreover, AWS's infrastructure is designed to be energy-efficient, reducing overall energy consumption and costs, which would otherwise be a significant burden for on-premises operations. Another noteworthy cost reduction comes from eliminating labor and training expenses. With AWS, fewer IT staff are required, as many of the operational tasks are automated, and AWS's comprehensive training programs help organizations upskill their workforce for efficient cloud management. This streamlined workforce contributes to scalability and reliability, offering businesses peace of mind as they navigate their growth trajectory.</w:t>
      </w:r>
    </w:p>
    <w:p w14:paraId="32456BBE" w14:textId="5DD2222C" w:rsidR="00176A4F" w:rsidRDefault="00D7625A" w:rsidP="00D7625A">
      <w:r>
        <w:t xml:space="preserve">In summary, building an environment in Amazon Web Services offers numerous economic and operational advantages over traditional infrastructure. Its pay-as-you-go pricing model, resource scalability, and the outsourcing of critical IT functions empower organizations to optimize their financial performance and product quality. When calculating the Total Cost of Ownership, AWS emerges as a cost-effective alternative, sparing businesses from the burdens of maintenance, downtime, and constant software and hardware updates. Furthermore, AWS leverages its technological prowess to reduce real estate and energy costs, while also simplifying workforce management. All of these factors collectively </w:t>
      </w:r>
      <w:r>
        <w:lastRenderedPageBreak/>
        <w:t>establish AWS as a compelling choice for businesses aiming to maximize their operational efficiency and profitability.</w:t>
      </w:r>
    </w:p>
    <w:p w14:paraId="4C956BCB" w14:textId="2C433875" w:rsidR="00176A4F" w:rsidRPr="00176A4F" w:rsidRDefault="00176A4F" w:rsidP="00176A4F">
      <w:pPr>
        <w:rPr>
          <w:b/>
          <w:bCs/>
        </w:rPr>
      </w:pPr>
      <w:r w:rsidRPr="00176A4F">
        <w:rPr>
          <w:b/>
          <w:bCs/>
        </w:rPr>
        <w:t>Table 1</w:t>
      </w:r>
    </w:p>
    <w:p w14:paraId="07F3FC1D" w14:textId="791F6DAA" w:rsidR="00176A4F" w:rsidRDefault="00176A4F" w:rsidP="00176A4F">
      <w:r>
        <w:t>Amazon Web Services 1 year cost</w:t>
      </w:r>
    </w:p>
    <w:tbl>
      <w:tblPr>
        <w:tblStyle w:val="TableGrid"/>
        <w:tblW w:w="0" w:type="auto"/>
        <w:tblLook w:val="04A0" w:firstRow="1" w:lastRow="0" w:firstColumn="1" w:lastColumn="0" w:noHBand="0" w:noVBand="1"/>
      </w:tblPr>
      <w:tblGrid>
        <w:gridCol w:w="3116"/>
        <w:gridCol w:w="3117"/>
        <w:gridCol w:w="3117"/>
      </w:tblGrid>
      <w:tr w:rsidR="00176A4F" w14:paraId="0B82A097" w14:textId="77777777" w:rsidTr="00176A4F">
        <w:tc>
          <w:tcPr>
            <w:tcW w:w="3116" w:type="dxa"/>
          </w:tcPr>
          <w:p w14:paraId="2586C5D2" w14:textId="00410706" w:rsidR="00176A4F" w:rsidRDefault="00176A4F" w:rsidP="00176A4F">
            <w:r>
              <w:t>Server Type</w:t>
            </w:r>
          </w:p>
        </w:tc>
        <w:tc>
          <w:tcPr>
            <w:tcW w:w="3117" w:type="dxa"/>
          </w:tcPr>
          <w:p w14:paraId="3E5FD172" w14:textId="5902FC9D" w:rsidR="00176A4F" w:rsidRDefault="00176A4F" w:rsidP="00176A4F">
            <w:r>
              <w:t>Quantity</w:t>
            </w:r>
          </w:p>
        </w:tc>
        <w:tc>
          <w:tcPr>
            <w:tcW w:w="3117" w:type="dxa"/>
          </w:tcPr>
          <w:p w14:paraId="640AE7E7" w14:textId="77777777" w:rsidR="00176A4F" w:rsidRDefault="00176A4F" w:rsidP="00176A4F">
            <w:r>
              <w:t>Total Cost (12 Months)</w:t>
            </w:r>
          </w:p>
          <w:p w14:paraId="7CF2D92D" w14:textId="42CB798A" w:rsidR="00176A4F" w:rsidRDefault="00176A4F" w:rsidP="00176A4F"/>
        </w:tc>
      </w:tr>
      <w:tr w:rsidR="00176A4F" w14:paraId="040B3239" w14:textId="77777777" w:rsidTr="00176A4F">
        <w:tc>
          <w:tcPr>
            <w:tcW w:w="3116" w:type="dxa"/>
          </w:tcPr>
          <w:p w14:paraId="7E211E36" w14:textId="77777777" w:rsidR="00176A4F" w:rsidRDefault="00176A4F" w:rsidP="00176A4F">
            <w:r>
              <w:t>Server Farm 1</w:t>
            </w:r>
          </w:p>
          <w:p w14:paraId="2D578378" w14:textId="17833166" w:rsidR="00176A4F" w:rsidRDefault="00176A4F" w:rsidP="00176A4F"/>
        </w:tc>
        <w:tc>
          <w:tcPr>
            <w:tcW w:w="3117" w:type="dxa"/>
          </w:tcPr>
          <w:p w14:paraId="115B586E" w14:textId="09271AFE" w:rsidR="00176A4F" w:rsidRDefault="00176A4F" w:rsidP="00176A4F">
            <w:r>
              <w:t>8</w:t>
            </w:r>
          </w:p>
        </w:tc>
        <w:tc>
          <w:tcPr>
            <w:tcW w:w="3117" w:type="dxa"/>
          </w:tcPr>
          <w:p w14:paraId="785C3286" w14:textId="7BE53479" w:rsidR="00176A4F" w:rsidRDefault="00176A4F" w:rsidP="00176A4F">
            <w:r>
              <w:t>5250.00</w:t>
            </w:r>
          </w:p>
        </w:tc>
      </w:tr>
      <w:tr w:rsidR="00176A4F" w14:paraId="177A0641" w14:textId="77777777" w:rsidTr="00176A4F">
        <w:tc>
          <w:tcPr>
            <w:tcW w:w="3116" w:type="dxa"/>
          </w:tcPr>
          <w:p w14:paraId="79CD711A" w14:textId="77777777" w:rsidR="00176A4F" w:rsidRDefault="00176A4F" w:rsidP="00176A4F">
            <w:r>
              <w:t>Server Farm 2</w:t>
            </w:r>
          </w:p>
          <w:p w14:paraId="3C926BC8" w14:textId="36B24131" w:rsidR="00176A4F" w:rsidRDefault="00176A4F" w:rsidP="00176A4F"/>
        </w:tc>
        <w:tc>
          <w:tcPr>
            <w:tcW w:w="3117" w:type="dxa"/>
          </w:tcPr>
          <w:p w14:paraId="583D9E8A" w14:textId="7B3DC3BA" w:rsidR="00176A4F" w:rsidRDefault="00176A4F" w:rsidP="00176A4F">
            <w:r>
              <w:t>12</w:t>
            </w:r>
          </w:p>
        </w:tc>
        <w:tc>
          <w:tcPr>
            <w:tcW w:w="3117" w:type="dxa"/>
          </w:tcPr>
          <w:p w14:paraId="4EF7E787" w14:textId="03E78E8C" w:rsidR="00176A4F" w:rsidRDefault="00176A4F" w:rsidP="00176A4F">
            <w:r>
              <w:t>8681.40</w:t>
            </w:r>
          </w:p>
        </w:tc>
      </w:tr>
      <w:tr w:rsidR="00176A4F" w14:paraId="3189A692" w14:textId="77777777" w:rsidTr="00176A4F">
        <w:tc>
          <w:tcPr>
            <w:tcW w:w="3116" w:type="dxa"/>
          </w:tcPr>
          <w:p w14:paraId="10D6527C" w14:textId="77777777" w:rsidR="00176A4F" w:rsidRDefault="00176A4F" w:rsidP="00176A4F"/>
          <w:p w14:paraId="3F4EA7C8" w14:textId="77777777" w:rsidR="00176A4F" w:rsidRDefault="00176A4F" w:rsidP="00176A4F"/>
        </w:tc>
        <w:tc>
          <w:tcPr>
            <w:tcW w:w="3117" w:type="dxa"/>
          </w:tcPr>
          <w:p w14:paraId="47877806" w14:textId="77777777" w:rsidR="00176A4F" w:rsidRDefault="00176A4F" w:rsidP="00176A4F"/>
        </w:tc>
        <w:tc>
          <w:tcPr>
            <w:tcW w:w="3117" w:type="dxa"/>
          </w:tcPr>
          <w:p w14:paraId="33146C40" w14:textId="7CC44C3C" w:rsidR="00176A4F" w:rsidRDefault="00176A4F" w:rsidP="00176A4F">
            <w:r>
              <w:t>13,931.40</w:t>
            </w:r>
          </w:p>
        </w:tc>
      </w:tr>
    </w:tbl>
    <w:p w14:paraId="19D9462A" w14:textId="77777777" w:rsidR="00176A4F" w:rsidRDefault="00176A4F" w:rsidP="00176A4F"/>
    <w:p w14:paraId="00E7CCC4" w14:textId="664DC315" w:rsidR="00176A4F" w:rsidRPr="00176A4F" w:rsidRDefault="00176A4F" w:rsidP="00176A4F">
      <w:pPr>
        <w:rPr>
          <w:b/>
          <w:bCs/>
        </w:rPr>
      </w:pPr>
      <w:r w:rsidRPr="00176A4F">
        <w:rPr>
          <w:b/>
          <w:bCs/>
        </w:rPr>
        <w:t>Table 2</w:t>
      </w:r>
    </w:p>
    <w:p w14:paraId="0963048B" w14:textId="4CA0C321" w:rsidR="00176A4F" w:rsidRDefault="00176A4F" w:rsidP="00176A4F">
      <w:r>
        <w:t>Dell Enterprise 1 year cost</w:t>
      </w:r>
    </w:p>
    <w:tbl>
      <w:tblPr>
        <w:tblStyle w:val="TableGrid"/>
        <w:tblW w:w="0" w:type="auto"/>
        <w:tblLook w:val="04A0" w:firstRow="1" w:lastRow="0" w:firstColumn="1" w:lastColumn="0" w:noHBand="0" w:noVBand="1"/>
      </w:tblPr>
      <w:tblGrid>
        <w:gridCol w:w="3116"/>
        <w:gridCol w:w="3117"/>
        <w:gridCol w:w="3117"/>
      </w:tblGrid>
      <w:tr w:rsidR="00176A4F" w14:paraId="0EF98084" w14:textId="77777777" w:rsidTr="00D36CAB">
        <w:tc>
          <w:tcPr>
            <w:tcW w:w="3116" w:type="dxa"/>
          </w:tcPr>
          <w:p w14:paraId="6467DB11" w14:textId="77777777" w:rsidR="00176A4F" w:rsidRDefault="00176A4F" w:rsidP="00D36CAB">
            <w:r>
              <w:t>Server Type</w:t>
            </w:r>
          </w:p>
        </w:tc>
        <w:tc>
          <w:tcPr>
            <w:tcW w:w="3117" w:type="dxa"/>
          </w:tcPr>
          <w:p w14:paraId="7F4BF96F" w14:textId="77777777" w:rsidR="00176A4F" w:rsidRDefault="00176A4F" w:rsidP="00D36CAB">
            <w:r>
              <w:t>Quantity</w:t>
            </w:r>
          </w:p>
        </w:tc>
        <w:tc>
          <w:tcPr>
            <w:tcW w:w="3117" w:type="dxa"/>
          </w:tcPr>
          <w:p w14:paraId="20AD047F" w14:textId="77777777" w:rsidR="00176A4F" w:rsidRDefault="00176A4F" w:rsidP="00D36CAB">
            <w:r>
              <w:t>Total Cost (12 Months)</w:t>
            </w:r>
          </w:p>
          <w:p w14:paraId="289248A4" w14:textId="77777777" w:rsidR="00176A4F" w:rsidRDefault="00176A4F" w:rsidP="00D36CAB"/>
        </w:tc>
      </w:tr>
      <w:tr w:rsidR="00176A4F" w14:paraId="566CF22A" w14:textId="77777777" w:rsidTr="00D36CAB">
        <w:tc>
          <w:tcPr>
            <w:tcW w:w="3116" w:type="dxa"/>
          </w:tcPr>
          <w:p w14:paraId="14C3FFA1" w14:textId="77777777" w:rsidR="00176A4F" w:rsidRDefault="00176A4F" w:rsidP="00D36CAB">
            <w:r>
              <w:t>Server Farm 1</w:t>
            </w:r>
          </w:p>
          <w:p w14:paraId="3E327564" w14:textId="77777777" w:rsidR="00176A4F" w:rsidRDefault="00176A4F" w:rsidP="00D36CAB"/>
        </w:tc>
        <w:tc>
          <w:tcPr>
            <w:tcW w:w="3117" w:type="dxa"/>
          </w:tcPr>
          <w:p w14:paraId="30CE561F" w14:textId="77777777" w:rsidR="00176A4F" w:rsidRDefault="00176A4F" w:rsidP="00D36CAB">
            <w:r>
              <w:t>8</w:t>
            </w:r>
          </w:p>
        </w:tc>
        <w:tc>
          <w:tcPr>
            <w:tcW w:w="3117" w:type="dxa"/>
          </w:tcPr>
          <w:p w14:paraId="76CAA01A" w14:textId="1C8C94C6" w:rsidR="00176A4F" w:rsidRDefault="00176A4F" w:rsidP="00D36CAB">
            <w:r>
              <w:t>14,726.04</w:t>
            </w:r>
          </w:p>
        </w:tc>
      </w:tr>
      <w:tr w:rsidR="00176A4F" w14:paraId="6C08FB60" w14:textId="77777777" w:rsidTr="00D36CAB">
        <w:tc>
          <w:tcPr>
            <w:tcW w:w="3116" w:type="dxa"/>
          </w:tcPr>
          <w:p w14:paraId="2C9324AD" w14:textId="77777777" w:rsidR="00176A4F" w:rsidRDefault="00176A4F" w:rsidP="00D36CAB">
            <w:r>
              <w:t>Server Farm 2</w:t>
            </w:r>
          </w:p>
          <w:p w14:paraId="23F2DE83" w14:textId="77777777" w:rsidR="00176A4F" w:rsidRDefault="00176A4F" w:rsidP="00D36CAB"/>
        </w:tc>
        <w:tc>
          <w:tcPr>
            <w:tcW w:w="3117" w:type="dxa"/>
          </w:tcPr>
          <w:p w14:paraId="374EFD04" w14:textId="77777777" w:rsidR="00176A4F" w:rsidRDefault="00176A4F" w:rsidP="00D36CAB">
            <w:r>
              <w:t>12</w:t>
            </w:r>
          </w:p>
        </w:tc>
        <w:tc>
          <w:tcPr>
            <w:tcW w:w="3117" w:type="dxa"/>
          </w:tcPr>
          <w:p w14:paraId="6C4D497C" w14:textId="1842A581" w:rsidR="00176A4F" w:rsidRDefault="00176A4F" w:rsidP="00D36CAB">
            <w:r>
              <w:t>19,138.73</w:t>
            </w:r>
          </w:p>
        </w:tc>
      </w:tr>
      <w:tr w:rsidR="00176A4F" w14:paraId="2DE9BC60" w14:textId="77777777" w:rsidTr="00D36CAB">
        <w:tc>
          <w:tcPr>
            <w:tcW w:w="3116" w:type="dxa"/>
          </w:tcPr>
          <w:p w14:paraId="2FA09048" w14:textId="77777777" w:rsidR="00176A4F" w:rsidRDefault="00176A4F" w:rsidP="00D36CAB"/>
          <w:p w14:paraId="3DCBDE1E" w14:textId="77777777" w:rsidR="00176A4F" w:rsidRDefault="00176A4F" w:rsidP="00D36CAB"/>
        </w:tc>
        <w:tc>
          <w:tcPr>
            <w:tcW w:w="3117" w:type="dxa"/>
          </w:tcPr>
          <w:p w14:paraId="5114F512" w14:textId="77777777" w:rsidR="00176A4F" w:rsidRDefault="00176A4F" w:rsidP="00D36CAB"/>
        </w:tc>
        <w:tc>
          <w:tcPr>
            <w:tcW w:w="3117" w:type="dxa"/>
          </w:tcPr>
          <w:p w14:paraId="2C0A9B04" w14:textId="3537173E" w:rsidR="00176A4F" w:rsidRDefault="00176A4F" w:rsidP="00D36CAB">
            <w:r>
              <w:t>33,864.77</w:t>
            </w:r>
          </w:p>
        </w:tc>
      </w:tr>
    </w:tbl>
    <w:p w14:paraId="46EBD92F" w14:textId="77777777" w:rsidR="00176A4F" w:rsidRDefault="00176A4F" w:rsidP="00176A4F"/>
    <w:p w14:paraId="64E7A8E2" w14:textId="77777777" w:rsidR="00D7625A" w:rsidRDefault="00D7625A" w:rsidP="00176A4F">
      <w:pPr>
        <w:rPr>
          <w:b/>
          <w:bCs/>
        </w:rPr>
      </w:pPr>
    </w:p>
    <w:p w14:paraId="07350493" w14:textId="77777777" w:rsidR="00D7625A" w:rsidRDefault="00D7625A" w:rsidP="00176A4F">
      <w:pPr>
        <w:rPr>
          <w:b/>
          <w:bCs/>
        </w:rPr>
      </w:pPr>
    </w:p>
    <w:p w14:paraId="6760DAE2" w14:textId="77777777" w:rsidR="00D7625A" w:rsidRDefault="00D7625A" w:rsidP="00176A4F">
      <w:pPr>
        <w:rPr>
          <w:b/>
          <w:bCs/>
        </w:rPr>
      </w:pPr>
    </w:p>
    <w:p w14:paraId="3DA0E518" w14:textId="77777777" w:rsidR="00D7625A" w:rsidRDefault="00D7625A" w:rsidP="00176A4F">
      <w:pPr>
        <w:rPr>
          <w:b/>
          <w:bCs/>
        </w:rPr>
      </w:pPr>
    </w:p>
    <w:p w14:paraId="6516BD07" w14:textId="77777777" w:rsidR="00D7625A" w:rsidRDefault="00D7625A" w:rsidP="00176A4F">
      <w:pPr>
        <w:rPr>
          <w:b/>
          <w:bCs/>
        </w:rPr>
      </w:pPr>
    </w:p>
    <w:p w14:paraId="02DCA3BF" w14:textId="60818D4D" w:rsidR="00176A4F" w:rsidRPr="00176A4F" w:rsidRDefault="00176A4F" w:rsidP="00176A4F">
      <w:pPr>
        <w:rPr>
          <w:b/>
          <w:bCs/>
        </w:rPr>
      </w:pPr>
      <w:r w:rsidRPr="00176A4F">
        <w:rPr>
          <w:b/>
          <w:bCs/>
        </w:rPr>
        <w:lastRenderedPageBreak/>
        <w:t xml:space="preserve">Table </w:t>
      </w:r>
      <w:r>
        <w:rPr>
          <w:b/>
          <w:bCs/>
        </w:rPr>
        <w:t>3</w:t>
      </w:r>
    </w:p>
    <w:p w14:paraId="65828776" w14:textId="536FB92E" w:rsidR="00176A4F" w:rsidRDefault="00176A4F" w:rsidP="00176A4F">
      <w:r>
        <w:t>Total cost AWS and Dell Infrastructure</w:t>
      </w:r>
    </w:p>
    <w:tbl>
      <w:tblPr>
        <w:tblStyle w:val="TableGrid"/>
        <w:tblW w:w="0" w:type="auto"/>
        <w:tblLook w:val="04A0" w:firstRow="1" w:lastRow="0" w:firstColumn="1" w:lastColumn="0" w:noHBand="0" w:noVBand="1"/>
      </w:tblPr>
      <w:tblGrid>
        <w:gridCol w:w="3116"/>
        <w:gridCol w:w="3117"/>
        <w:gridCol w:w="3117"/>
      </w:tblGrid>
      <w:tr w:rsidR="00176A4F" w14:paraId="6D65B3D8" w14:textId="77777777" w:rsidTr="00D36CAB">
        <w:tc>
          <w:tcPr>
            <w:tcW w:w="3116" w:type="dxa"/>
          </w:tcPr>
          <w:p w14:paraId="5B93B919" w14:textId="77777777" w:rsidR="00176A4F" w:rsidRDefault="00176A4F" w:rsidP="00D36CAB">
            <w:r>
              <w:t>Server Type</w:t>
            </w:r>
          </w:p>
        </w:tc>
        <w:tc>
          <w:tcPr>
            <w:tcW w:w="3117" w:type="dxa"/>
          </w:tcPr>
          <w:p w14:paraId="4D30CEE5" w14:textId="3017FEC8" w:rsidR="00176A4F" w:rsidRDefault="00176A4F" w:rsidP="00D36CAB">
            <w:r>
              <w:t>Option</w:t>
            </w:r>
          </w:p>
        </w:tc>
        <w:tc>
          <w:tcPr>
            <w:tcW w:w="3117" w:type="dxa"/>
          </w:tcPr>
          <w:p w14:paraId="647E06B9" w14:textId="77777777" w:rsidR="00176A4F" w:rsidRDefault="00176A4F" w:rsidP="00D36CAB">
            <w:r>
              <w:t>Total Cost (12 Months)</w:t>
            </w:r>
          </w:p>
          <w:p w14:paraId="51D4D7C0" w14:textId="77777777" w:rsidR="00176A4F" w:rsidRDefault="00176A4F" w:rsidP="00D36CAB"/>
        </w:tc>
      </w:tr>
      <w:tr w:rsidR="00176A4F" w14:paraId="7D857B1B" w14:textId="77777777" w:rsidTr="00D36CAB">
        <w:tc>
          <w:tcPr>
            <w:tcW w:w="3116" w:type="dxa"/>
          </w:tcPr>
          <w:p w14:paraId="71B1502A" w14:textId="77777777" w:rsidR="00176A4F" w:rsidRDefault="00176A4F" w:rsidP="00D36CAB">
            <w:r>
              <w:t>Server Farm 1</w:t>
            </w:r>
          </w:p>
          <w:p w14:paraId="3A5D4E46" w14:textId="77777777" w:rsidR="00176A4F" w:rsidRDefault="00176A4F" w:rsidP="00D36CAB"/>
        </w:tc>
        <w:tc>
          <w:tcPr>
            <w:tcW w:w="3117" w:type="dxa"/>
          </w:tcPr>
          <w:p w14:paraId="2890A661" w14:textId="089A6687" w:rsidR="00176A4F" w:rsidRDefault="00176A4F" w:rsidP="00D36CAB">
            <w:r>
              <w:t>AWS</w:t>
            </w:r>
          </w:p>
        </w:tc>
        <w:tc>
          <w:tcPr>
            <w:tcW w:w="3117" w:type="dxa"/>
          </w:tcPr>
          <w:p w14:paraId="504B8DA3" w14:textId="3CF121EA" w:rsidR="00176A4F" w:rsidRDefault="00176A4F" w:rsidP="00D36CAB">
            <w:r>
              <w:t>5250.00</w:t>
            </w:r>
          </w:p>
        </w:tc>
      </w:tr>
      <w:tr w:rsidR="00176A4F" w14:paraId="09248A38" w14:textId="77777777" w:rsidTr="00D36CAB">
        <w:tc>
          <w:tcPr>
            <w:tcW w:w="3116" w:type="dxa"/>
          </w:tcPr>
          <w:p w14:paraId="04D0B34C" w14:textId="3C82ED11" w:rsidR="00176A4F" w:rsidRDefault="00176A4F" w:rsidP="00D36CAB">
            <w:r>
              <w:t xml:space="preserve">Server Farm </w:t>
            </w:r>
            <w:r>
              <w:t>1</w:t>
            </w:r>
          </w:p>
          <w:p w14:paraId="557B2115" w14:textId="77777777" w:rsidR="00176A4F" w:rsidRDefault="00176A4F" w:rsidP="00D36CAB"/>
        </w:tc>
        <w:tc>
          <w:tcPr>
            <w:tcW w:w="3117" w:type="dxa"/>
          </w:tcPr>
          <w:p w14:paraId="6FB0FE7D" w14:textId="4EDDDE95" w:rsidR="00176A4F" w:rsidRDefault="00176A4F" w:rsidP="00D36CAB">
            <w:r>
              <w:t>Dell</w:t>
            </w:r>
          </w:p>
        </w:tc>
        <w:tc>
          <w:tcPr>
            <w:tcW w:w="3117" w:type="dxa"/>
          </w:tcPr>
          <w:p w14:paraId="741FF5C5" w14:textId="4B55A005" w:rsidR="00176A4F" w:rsidRDefault="00176A4F" w:rsidP="00D36CAB">
            <w:r>
              <w:t>14,726.04</w:t>
            </w:r>
          </w:p>
        </w:tc>
      </w:tr>
      <w:tr w:rsidR="00176A4F" w14:paraId="4F0C4273" w14:textId="77777777" w:rsidTr="00D36CAB">
        <w:tc>
          <w:tcPr>
            <w:tcW w:w="3116" w:type="dxa"/>
          </w:tcPr>
          <w:p w14:paraId="59D73F5D" w14:textId="69CF25A7" w:rsidR="00176A4F" w:rsidRDefault="00176A4F" w:rsidP="00D36CAB">
            <w:r>
              <w:t>Server Farm 2</w:t>
            </w:r>
          </w:p>
          <w:p w14:paraId="31A6B564" w14:textId="77777777" w:rsidR="00176A4F" w:rsidRDefault="00176A4F" w:rsidP="00D36CAB"/>
        </w:tc>
        <w:tc>
          <w:tcPr>
            <w:tcW w:w="3117" w:type="dxa"/>
          </w:tcPr>
          <w:p w14:paraId="638998AA" w14:textId="0A397053" w:rsidR="00176A4F" w:rsidRDefault="00176A4F" w:rsidP="00D36CAB">
            <w:r>
              <w:t>AWS</w:t>
            </w:r>
          </w:p>
        </w:tc>
        <w:tc>
          <w:tcPr>
            <w:tcW w:w="3117" w:type="dxa"/>
          </w:tcPr>
          <w:p w14:paraId="30B29BB5" w14:textId="0D698E79" w:rsidR="00176A4F" w:rsidRDefault="00176A4F" w:rsidP="00D36CAB">
            <w:r>
              <w:t>8681.40</w:t>
            </w:r>
          </w:p>
        </w:tc>
      </w:tr>
      <w:tr w:rsidR="00176A4F" w14:paraId="0410D58D" w14:textId="77777777" w:rsidTr="00D36CAB">
        <w:tc>
          <w:tcPr>
            <w:tcW w:w="3116" w:type="dxa"/>
          </w:tcPr>
          <w:p w14:paraId="39F997E3" w14:textId="77777777" w:rsidR="00176A4F" w:rsidRDefault="00176A4F" w:rsidP="00D36CAB">
            <w:r>
              <w:t>Server Farm 2</w:t>
            </w:r>
          </w:p>
          <w:p w14:paraId="15C72C23" w14:textId="0605B04A" w:rsidR="00176A4F" w:rsidRDefault="00176A4F" w:rsidP="00D36CAB"/>
        </w:tc>
        <w:tc>
          <w:tcPr>
            <w:tcW w:w="3117" w:type="dxa"/>
          </w:tcPr>
          <w:p w14:paraId="14F504AC" w14:textId="0584CF22" w:rsidR="00176A4F" w:rsidRDefault="00176A4F" w:rsidP="00D36CAB">
            <w:r>
              <w:t>Dell</w:t>
            </w:r>
          </w:p>
        </w:tc>
        <w:tc>
          <w:tcPr>
            <w:tcW w:w="3117" w:type="dxa"/>
          </w:tcPr>
          <w:p w14:paraId="16C0F8AD" w14:textId="1E5A3E1F" w:rsidR="00176A4F" w:rsidRDefault="00176A4F" w:rsidP="00D36CAB">
            <w:r>
              <w:t>19,138.73</w:t>
            </w:r>
          </w:p>
        </w:tc>
      </w:tr>
    </w:tbl>
    <w:p w14:paraId="099ACB93" w14:textId="77777777" w:rsidR="00D7625A" w:rsidRDefault="00D7625A" w:rsidP="00176A4F">
      <w:pPr>
        <w:rPr>
          <w:b/>
          <w:bCs/>
        </w:rPr>
      </w:pPr>
    </w:p>
    <w:p w14:paraId="27CD1CF5" w14:textId="4678211A" w:rsidR="00176A4F" w:rsidRPr="00176A4F" w:rsidRDefault="00176A4F" w:rsidP="00176A4F">
      <w:pPr>
        <w:rPr>
          <w:b/>
          <w:bCs/>
        </w:rPr>
      </w:pPr>
      <w:r w:rsidRPr="00176A4F">
        <w:rPr>
          <w:b/>
          <w:bCs/>
        </w:rPr>
        <w:t>References:</w:t>
      </w:r>
    </w:p>
    <w:p w14:paraId="4ECC60D8" w14:textId="126D4839" w:rsidR="00176A4F" w:rsidRPr="00176A4F" w:rsidRDefault="00176A4F" w:rsidP="00176A4F">
      <w:pPr>
        <w:pStyle w:val="NormalWeb"/>
        <w:spacing w:before="0" w:beforeAutospacing="0" w:after="0" w:afterAutospacing="0" w:line="480" w:lineRule="auto"/>
        <w:ind w:left="720" w:hanging="720"/>
        <w:rPr>
          <w:rFonts w:asciiTheme="minorHAnsi" w:hAnsiTheme="minorHAnsi" w:cstheme="minorHAnsi"/>
          <w:sz w:val="22"/>
          <w:szCs w:val="22"/>
        </w:rPr>
      </w:pPr>
      <w:r w:rsidRPr="00176A4F">
        <w:rPr>
          <w:rFonts w:asciiTheme="minorHAnsi" w:hAnsiTheme="minorHAnsi" w:cstheme="minorHAnsi"/>
          <w:sz w:val="22"/>
          <w:szCs w:val="22"/>
        </w:rPr>
        <w:t xml:space="preserve">Burkhalter, M. (2021, May 4). The cost savings of cloud computing. Retrieved from www.perle.com website: </w:t>
      </w:r>
      <w:hyperlink r:id="rId7" w:history="1">
        <w:r w:rsidRPr="00CF5B99">
          <w:rPr>
            <w:rStyle w:val="Hyperlink"/>
            <w:rFonts w:asciiTheme="minorHAnsi" w:hAnsiTheme="minorHAnsi" w:cstheme="minorHAnsi"/>
            <w:sz w:val="22"/>
            <w:szCs w:val="22"/>
          </w:rPr>
          <w:t>https://www.perle.com/articles/the-cost-savings-of-cloud-computing-40191237.shtml</w:t>
        </w:r>
      </w:hyperlink>
      <w:r>
        <w:rPr>
          <w:rFonts w:asciiTheme="minorHAnsi" w:hAnsiTheme="minorHAnsi" w:cstheme="minorHAnsi"/>
          <w:sz w:val="22"/>
          <w:szCs w:val="22"/>
        </w:rPr>
        <w:t xml:space="preserve"> </w:t>
      </w:r>
    </w:p>
    <w:p w14:paraId="11AC0EB8" w14:textId="20E84913" w:rsidR="00176A4F" w:rsidRPr="00176A4F" w:rsidRDefault="00176A4F" w:rsidP="00176A4F">
      <w:pPr>
        <w:pStyle w:val="NormalWeb"/>
        <w:spacing w:before="0" w:beforeAutospacing="0" w:after="0" w:afterAutospacing="0" w:line="480" w:lineRule="auto"/>
        <w:ind w:left="720" w:hanging="720"/>
        <w:rPr>
          <w:rFonts w:asciiTheme="minorHAnsi" w:hAnsiTheme="minorHAnsi" w:cstheme="minorHAnsi"/>
          <w:sz w:val="22"/>
          <w:szCs w:val="22"/>
        </w:rPr>
      </w:pPr>
      <w:r w:rsidRPr="00176A4F">
        <w:rPr>
          <w:rFonts w:asciiTheme="minorHAnsi" w:hAnsiTheme="minorHAnsi" w:cstheme="minorHAnsi"/>
          <w:sz w:val="22"/>
          <w:szCs w:val="22"/>
        </w:rPr>
        <w:t xml:space="preserve">Hamus, C. (n.d.). Counting the Cost of Manufacturing in the Cloud. Retrieved October 22, 2023, from www.vertech.com website: </w:t>
      </w:r>
      <w:hyperlink r:id="rId8" w:history="1">
        <w:r w:rsidRPr="00CF5B99">
          <w:rPr>
            <w:rStyle w:val="Hyperlink"/>
            <w:rFonts w:asciiTheme="minorHAnsi" w:hAnsiTheme="minorHAnsi" w:cstheme="minorHAnsi"/>
            <w:sz w:val="22"/>
            <w:szCs w:val="22"/>
          </w:rPr>
          <w:t>https://www.vertech.com/blog/cost-of-manufacturing-in-the-cloud</w:t>
        </w:r>
      </w:hyperlink>
      <w:r>
        <w:rPr>
          <w:rFonts w:asciiTheme="minorHAnsi" w:hAnsiTheme="minorHAnsi" w:cstheme="minorHAnsi"/>
          <w:sz w:val="22"/>
          <w:szCs w:val="22"/>
        </w:rPr>
        <w:t xml:space="preserve"> </w:t>
      </w:r>
    </w:p>
    <w:p w14:paraId="10BD70EE" w14:textId="02683967" w:rsidR="00176A4F" w:rsidRPr="00176A4F" w:rsidRDefault="00176A4F" w:rsidP="00176A4F">
      <w:pPr>
        <w:pStyle w:val="NormalWeb"/>
        <w:spacing w:before="0" w:beforeAutospacing="0" w:after="0" w:afterAutospacing="0" w:line="480" w:lineRule="auto"/>
        <w:ind w:left="720" w:hanging="720"/>
        <w:rPr>
          <w:rFonts w:asciiTheme="minorHAnsi" w:hAnsiTheme="minorHAnsi" w:cstheme="minorHAnsi"/>
          <w:sz w:val="22"/>
          <w:szCs w:val="22"/>
        </w:rPr>
      </w:pPr>
      <w:proofErr w:type="spellStart"/>
      <w:r w:rsidRPr="00176A4F">
        <w:rPr>
          <w:rFonts w:asciiTheme="minorHAnsi" w:hAnsiTheme="minorHAnsi" w:cstheme="minorHAnsi"/>
          <w:sz w:val="22"/>
          <w:szCs w:val="22"/>
        </w:rPr>
        <w:t>LeadingEdge</w:t>
      </w:r>
      <w:proofErr w:type="spellEnd"/>
      <w:r w:rsidRPr="00176A4F">
        <w:rPr>
          <w:rFonts w:asciiTheme="minorHAnsi" w:hAnsiTheme="minorHAnsi" w:cstheme="minorHAnsi"/>
          <w:sz w:val="22"/>
          <w:szCs w:val="22"/>
        </w:rPr>
        <w:t xml:space="preserve">. (2019). </w:t>
      </w:r>
      <w:proofErr w:type="spellStart"/>
      <w:r w:rsidRPr="00176A4F">
        <w:rPr>
          <w:rFonts w:asciiTheme="minorHAnsi" w:hAnsiTheme="minorHAnsi" w:cstheme="minorHAnsi"/>
          <w:sz w:val="22"/>
          <w:szCs w:val="22"/>
        </w:rPr>
        <w:t>LeadingEdge</w:t>
      </w:r>
      <w:proofErr w:type="spellEnd"/>
      <w:r w:rsidRPr="00176A4F">
        <w:rPr>
          <w:rFonts w:asciiTheme="minorHAnsi" w:hAnsiTheme="minorHAnsi" w:cstheme="minorHAnsi"/>
          <w:sz w:val="22"/>
          <w:szCs w:val="22"/>
        </w:rPr>
        <w:t xml:space="preserve"> IT Services &amp; Solutions. Retrieved from </w:t>
      </w:r>
      <w:proofErr w:type="spellStart"/>
      <w:r w:rsidRPr="00176A4F">
        <w:rPr>
          <w:rFonts w:asciiTheme="minorHAnsi" w:hAnsiTheme="minorHAnsi" w:cstheme="minorHAnsi"/>
          <w:sz w:val="22"/>
          <w:szCs w:val="22"/>
        </w:rPr>
        <w:t>LeadingEdge</w:t>
      </w:r>
      <w:proofErr w:type="spellEnd"/>
      <w:r w:rsidRPr="00176A4F">
        <w:rPr>
          <w:rFonts w:asciiTheme="minorHAnsi" w:hAnsiTheme="minorHAnsi" w:cstheme="minorHAnsi"/>
          <w:sz w:val="22"/>
          <w:szCs w:val="22"/>
        </w:rPr>
        <w:t xml:space="preserve"> IT Services &amp; Solutions website: </w:t>
      </w:r>
      <w:hyperlink r:id="rId9" w:history="1">
        <w:r w:rsidRPr="00CF5B99">
          <w:rPr>
            <w:rStyle w:val="Hyperlink"/>
            <w:rFonts w:asciiTheme="minorHAnsi" w:hAnsiTheme="minorHAnsi" w:cstheme="minorHAnsi"/>
            <w:sz w:val="22"/>
            <w:szCs w:val="22"/>
          </w:rPr>
          <w:t>https://www.leadingedgetech.co.uk/it-services/it-consultancy-services/cloud-computing/how-is-cloud-computing-different-from-traditional-it-infrastructure/</w:t>
        </w:r>
      </w:hyperlink>
      <w:r>
        <w:rPr>
          <w:rFonts w:asciiTheme="minorHAnsi" w:hAnsiTheme="minorHAnsi" w:cstheme="minorHAnsi"/>
          <w:sz w:val="22"/>
          <w:szCs w:val="22"/>
        </w:rPr>
        <w:t xml:space="preserve"> </w:t>
      </w:r>
    </w:p>
    <w:p w14:paraId="4EA203E5" w14:textId="567DCFF9" w:rsidR="00176A4F" w:rsidRPr="00176A4F" w:rsidRDefault="00176A4F" w:rsidP="00176A4F">
      <w:pPr>
        <w:pStyle w:val="NormalWeb"/>
        <w:spacing w:before="0" w:beforeAutospacing="0" w:after="0" w:afterAutospacing="0" w:line="480" w:lineRule="auto"/>
        <w:ind w:left="720" w:hanging="720"/>
        <w:rPr>
          <w:rFonts w:asciiTheme="minorHAnsi" w:hAnsiTheme="minorHAnsi" w:cstheme="minorHAnsi"/>
          <w:sz w:val="22"/>
          <w:szCs w:val="22"/>
        </w:rPr>
      </w:pPr>
      <w:r w:rsidRPr="00176A4F">
        <w:rPr>
          <w:rFonts w:asciiTheme="minorHAnsi" w:hAnsiTheme="minorHAnsi" w:cstheme="minorHAnsi"/>
          <w:sz w:val="22"/>
          <w:szCs w:val="22"/>
        </w:rPr>
        <w:t xml:space="preserve">Twin, A. (2021, October 30). Total Cost of Ownership (TCO): Asset Costs Over the Long Term. Retrieved from Investopedia website: </w:t>
      </w:r>
      <w:hyperlink r:id="rId10" w:history="1">
        <w:r w:rsidRPr="00CF5B99">
          <w:rPr>
            <w:rStyle w:val="Hyperlink"/>
            <w:rFonts w:asciiTheme="minorHAnsi" w:hAnsiTheme="minorHAnsi" w:cstheme="minorHAnsi"/>
            <w:sz w:val="22"/>
            <w:szCs w:val="22"/>
          </w:rPr>
          <w:t>https://www.investopedia.com/terms/t/totalcostofownership.asp</w:t>
        </w:r>
      </w:hyperlink>
      <w:r>
        <w:rPr>
          <w:rFonts w:asciiTheme="minorHAnsi" w:hAnsiTheme="minorHAnsi" w:cstheme="minorHAnsi"/>
          <w:sz w:val="22"/>
          <w:szCs w:val="22"/>
        </w:rPr>
        <w:t xml:space="preserve"> </w:t>
      </w:r>
    </w:p>
    <w:p w14:paraId="2F5CBCE1" w14:textId="77777777" w:rsidR="00176A4F" w:rsidRPr="00176A4F" w:rsidRDefault="00176A4F" w:rsidP="00176A4F">
      <w:pPr>
        <w:rPr>
          <w:rFonts w:cstheme="minorHAnsi"/>
        </w:rPr>
      </w:pPr>
    </w:p>
    <w:sectPr w:rsidR="00176A4F" w:rsidRPr="00176A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66DBB" w14:textId="77777777" w:rsidR="00985F5B" w:rsidRDefault="00985F5B" w:rsidP="00176A4F">
      <w:pPr>
        <w:spacing w:after="0" w:line="240" w:lineRule="auto"/>
      </w:pPr>
      <w:r>
        <w:separator/>
      </w:r>
    </w:p>
  </w:endnote>
  <w:endnote w:type="continuationSeparator" w:id="0">
    <w:p w14:paraId="7E762A4A" w14:textId="77777777" w:rsidR="00985F5B" w:rsidRDefault="00985F5B" w:rsidP="0017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AF67" w14:textId="77777777" w:rsidR="00985F5B" w:rsidRDefault="00985F5B" w:rsidP="00176A4F">
      <w:pPr>
        <w:spacing w:after="0" w:line="240" w:lineRule="auto"/>
      </w:pPr>
      <w:r>
        <w:separator/>
      </w:r>
    </w:p>
  </w:footnote>
  <w:footnote w:type="continuationSeparator" w:id="0">
    <w:p w14:paraId="5B65DABD" w14:textId="77777777" w:rsidR="00985F5B" w:rsidRDefault="00985F5B" w:rsidP="00176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8AB3" w14:textId="694969D0" w:rsidR="00176A4F" w:rsidRDefault="00176A4F">
    <w:pPr>
      <w:pStyle w:val="Header"/>
    </w:pPr>
    <w:r>
      <w:tab/>
    </w:r>
    <w:r>
      <w:tab/>
      <w:t>Yengkong Sayaovong</w:t>
    </w:r>
  </w:p>
  <w:p w14:paraId="388A515F" w14:textId="4EFF5181" w:rsidR="00176A4F" w:rsidRDefault="00176A4F">
    <w:pPr>
      <w:pStyle w:val="Header"/>
    </w:pPr>
    <w:r>
      <w:tab/>
    </w:r>
    <w:r>
      <w:tab/>
      <w:t>Lab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4F"/>
    <w:rsid w:val="00176A4F"/>
    <w:rsid w:val="00451AA5"/>
    <w:rsid w:val="00985F5B"/>
    <w:rsid w:val="00D7625A"/>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E17E"/>
  <w15:chartTrackingRefBased/>
  <w15:docId w15:val="{36307A91-8781-4726-B5DF-38B6FB19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4F"/>
  </w:style>
  <w:style w:type="paragraph" w:styleId="Footer">
    <w:name w:val="footer"/>
    <w:basedOn w:val="Normal"/>
    <w:link w:val="FooterChar"/>
    <w:uiPriority w:val="99"/>
    <w:unhideWhenUsed/>
    <w:rsid w:val="00176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4F"/>
  </w:style>
  <w:style w:type="table" w:styleId="TableGrid">
    <w:name w:val="Table Grid"/>
    <w:basedOn w:val="TableNormal"/>
    <w:uiPriority w:val="39"/>
    <w:rsid w:val="0017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6A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76A4F"/>
    <w:rPr>
      <w:color w:val="0563C1" w:themeColor="hyperlink"/>
      <w:u w:val="single"/>
    </w:rPr>
  </w:style>
  <w:style w:type="character" w:styleId="UnresolvedMention">
    <w:name w:val="Unresolved Mention"/>
    <w:basedOn w:val="DefaultParagraphFont"/>
    <w:uiPriority w:val="99"/>
    <w:semiHidden/>
    <w:unhideWhenUsed/>
    <w:rsid w:val="0017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27038">
      <w:bodyDiv w:val="1"/>
      <w:marLeft w:val="0"/>
      <w:marRight w:val="0"/>
      <w:marTop w:val="0"/>
      <w:marBottom w:val="0"/>
      <w:divBdr>
        <w:top w:val="none" w:sz="0" w:space="0" w:color="auto"/>
        <w:left w:val="none" w:sz="0" w:space="0" w:color="auto"/>
        <w:bottom w:val="none" w:sz="0" w:space="0" w:color="auto"/>
        <w:right w:val="none" w:sz="0" w:space="0" w:color="auto"/>
      </w:divBdr>
    </w:div>
    <w:div w:id="1132022406">
      <w:bodyDiv w:val="1"/>
      <w:marLeft w:val="0"/>
      <w:marRight w:val="0"/>
      <w:marTop w:val="0"/>
      <w:marBottom w:val="0"/>
      <w:divBdr>
        <w:top w:val="none" w:sz="0" w:space="0" w:color="auto"/>
        <w:left w:val="none" w:sz="0" w:space="0" w:color="auto"/>
        <w:bottom w:val="none" w:sz="0" w:space="0" w:color="auto"/>
        <w:right w:val="none" w:sz="0" w:space="0" w:color="auto"/>
      </w:divBdr>
      <w:divsChild>
        <w:div w:id="1391810013">
          <w:marLeft w:val="0"/>
          <w:marRight w:val="0"/>
          <w:marTop w:val="0"/>
          <w:marBottom w:val="0"/>
          <w:divBdr>
            <w:top w:val="single" w:sz="2" w:space="0" w:color="auto"/>
            <w:left w:val="single" w:sz="2" w:space="0" w:color="auto"/>
            <w:bottom w:val="single" w:sz="2" w:space="0" w:color="auto"/>
            <w:right w:val="single" w:sz="2" w:space="0" w:color="auto"/>
          </w:divBdr>
        </w:div>
        <w:div w:id="514029920">
          <w:marLeft w:val="0"/>
          <w:marRight w:val="0"/>
          <w:marTop w:val="0"/>
          <w:marBottom w:val="0"/>
          <w:divBdr>
            <w:top w:val="single" w:sz="2" w:space="0" w:color="auto"/>
            <w:left w:val="single" w:sz="2" w:space="0" w:color="auto"/>
            <w:bottom w:val="single" w:sz="2" w:space="0" w:color="auto"/>
            <w:right w:val="single" w:sz="2" w:space="0" w:color="auto"/>
          </w:divBdr>
        </w:div>
        <w:div w:id="290474621">
          <w:marLeft w:val="0"/>
          <w:marRight w:val="0"/>
          <w:marTop w:val="0"/>
          <w:marBottom w:val="0"/>
          <w:divBdr>
            <w:top w:val="single" w:sz="2" w:space="0" w:color="auto"/>
            <w:left w:val="single" w:sz="2" w:space="0" w:color="auto"/>
            <w:bottom w:val="single" w:sz="2" w:space="0" w:color="auto"/>
            <w:right w:val="single" w:sz="2" w:space="0" w:color="auto"/>
          </w:divBdr>
        </w:div>
        <w:div w:id="692265096">
          <w:marLeft w:val="0"/>
          <w:marRight w:val="0"/>
          <w:marTop w:val="0"/>
          <w:marBottom w:val="0"/>
          <w:divBdr>
            <w:top w:val="single" w:sz="2" w:space="0" w:color="auto"/>
            <w:left w:val="single" w:sz="2" w:space="0" w:color="auto"/>
            <w:bottom w:val="single" w:sz="2" w:space="0" w:color="auto"/>
            <w:right w:val="single" w:sz="2" w:space="0" w:color="auto"/>
          </w:divBdr>
        </w:div>
        <w:div w:id="52393582">
          <w:marLeft w:val="0"/>
          <w:marRight w:val="0"/>
          <w:marTop w:val="0"/>
          <w:marBottom w:val="0"/>
          <w:divBdr>
            <w:top w:val="single" w:sz="2" w:space="0" w:color="auto"/>
            <w:left w:val="single" w:sz="2" w:space="0" w:color="auto"/>
            <w:bottom w:val="single" w:sz="2" w:space="0" w:color="auto"/>
            <w:right w:val="single" w:sz="2" w:space="0" w:color="auto"/>
          </w:divBdr>
        </w:div>
        <w:div w:id="229736372">
          <w:marLeft w:val="0"/>
          <w:marRight w:val="0"/>
          <w:marTop w:val="0"/>
          <w:marBottom w:val="0"/>
          <w:divBdr>
            <w:top w:val="single" w:sz="2" w:space="0" w:color="auto"/>
            <w:left w:val="single" w:sz="2" w:space="0" w:color="auto"/>
            <w:bottom w:val="single" w:sz="2" w:space="0" w:color="auto"/>
            <w:right w:val="single" w:sz="2" w:space="0" w:color="auto"/>
          </w:divBdr>
        </w:div>
        <w:div w:id="1289967009">
          <w:marLeft w:val="0"/>
          <w:marRight w:val="0"/>
          <w:marTop w:val="0"/>
          <w:marBottom w:val="0"/>
          <w:divBdr>
            <w:top w:val="single" w:sz="2" w:space="0" w:color="auto"/>
            <w:left w:val="single" w:sz="2" w:space="0" w:color="auto"/>
            <w:bottom w:val="single" w:sz="2" w:space="0" w:color="auto"/>
            <w:right w:val="single" w:sz="2" w:space="0" w:color="auto"/>
          </w:divBdr>
        </w:div>
        <w:div w:id="703528990">
          <w:marLeft w:val="0"/>
          <w:marRight w:val="0"/>
          <w:marTop w:val="0"/>
          <w:marBottom w:val="0"/>
          <w:divBdr>
            <w:top w:val="single" w:sz="2" w:space="0" w:color="auto"/>
            <w:left w:val="single" w:sz="2" w:space="0" w:color="auto"/>
            <w:bottom w:val="single" w:sz="2" w:space="0" w:color="auto"/>
            <w:right w:val="single" w:sz="2" w:space="0" w:color="auto"/>
          </w:divBdr>
        </w:div>
        <w:div w:id="2051563881">
          <w:marLeft w:val="0"/>
          <w:marRight w:val="0"/>
          <w:marTop w:val="0"/>
          <w:marBottom w:val="0"/>
          <w:divBdr>
            <w:top w:val="single" w:sz="2" w:space="0" w:color="auto"/>
            <w:left w:val="single" w:sz="2" w:space="0" w:color="auto"/>
            <w:bottom w:val="single" w:sz="2" w:space="0" w:color="auto"/>
            <w:right w:val="single" w:sz="2" w:space="0" w:color="auto"/>
          </w:divBdr>
        </w:div>
        <w:div w:id="488864334">
          <w:marLeft w:val="0"/>
          <w:marRight w:val="0"/>
          <w:marTop w:val="0"/>
          <w:marBottom w:val="0"/>
          <w:divBdr>
            <w:top w:val="single" w:sz="2" w:space="0" w:color="auto"/>
            <w:left w:val="single" w:sz="2" w:space="0" w:color="auto"/>
            <w:bottom w:val="single" w:sz="2" w:space="0" w:color="auto"/>
            <w:right w:val="single" w:sz="2" w:space="0" w:color="auto"/>
          </w:divBdr>
        </w:div>
        <w:div w:id="654258495">
          <w:marLeft w:val="0"/>
          <w:marRight w:val="0"/>
          <w:marTop w:val="0"/>
          <w:marBottom w:val="0"/>
          <w:divBdr>
            <w:top w:val="single" w:sz="2" w:space="0" w:color="auto"/>
            <w:left w:val="single" w:sz="2" w:space="0" w:color="auto"/>
            <w:bottom w:val="single" w:sz="2" w:space="0" w:color="auto"/>
            <w:right w:val="single" w:sz="2" w:space="0" w:color="auto"/>
          </w:divBdr>
        </w:div>
        <w:div w:id="1572345225">
          <w:marLeft w:val="0"/>
          <w:marRight w:val="0"/>
          <w:marTop w:val="0"/>
          <w:marBottom w:val="0"/>
          <w:divBdr>
            <w:top w:val="single" w:sz="2" w:space="0" w:color="auto"/>
            <w:left w:val="single" w:sz="2" w:space="0" w:color="auto"/>
            <w:bottom w:val="single" w:sz="2" w:space="0" w:color="auto"/>
            <w:right w:val="single" w:sz="2" w:space="0" w:color="auto"/>
          </w:divBdr>
        </w:div>
      </w:divsChild>
    </w:div>
    <w:div w:id="1566260330">
      <w:bodyDiv w:val="1"/>
      <w:marLeft w:val="0"/>
      <w:marRight w:val="0"/>
      <w:marTop w:val="0"/>
      <w:marBottom w:val="0"/>
      <w:divBdr>
        <w:top w:val="none" w:sz="0" w:space="0" w:color="auto"/>
        <w:left w:val="none" w:sz="0" w:space="0" w:color="auto"/>
        <w:bottom w:val="none" w:sz="0" w:space="0" w:color="auto"/>
        <w:right w:val="none" w:sz="0" w:space="0" w:color="auto"/>
      </w:divBdr>
    </w:div>
    <w:div w:id="1575427890">
      <w:bodyDiv w:val="1"/>
      <w:marLeft w:val="0"/>
      <w:marRight w:val="0"/>
      <w:marTop w:val="0"/>
      <w:marBottom w:val="0"/>
      <w:divBdr>
        <w:top w:val="none" w:sz="0" w:space="0" w:color="auto"/>
        <w:left w:val="none" w:sz="0" w:space="0" w:color="auto"/>
        <w:bottom w:val="none" w:sz="0" w:space="0" w:color="auto"/>
        <w:right w:val="none" w:sz="0" w:space="0" w:color="auto"/>
      </w:divBdr>
      <w:divsChild>
        <w:div w:id="1623656911">
          <w:marLeft w:val="0"/>
          <w:marRight w:val="0"/>
          <w:marTop w:val="0"/>
          <w:marBottom w:val="0"/>
          <w:divBdr>
            <w:top w:val="none" w:sz="0" w:space="0" w:color="auto"/>
            <w:left w:val="none" w:sz="0" w:space="0" w:color="auto"/>
            <w:bottom w:val="none" w:sz="0" w:space="0" w:color="auto"/>
            <w:right w:val="none" w:sz="0" w:space="0" w:color="auto"/>
          </w:divBdr>
        </w:div>
      </w:divsChild>
    </w:div>
    <w:div w:id="1612588969">
      <w:bodyDiv w:val="1"/>
      <w:marLeft w:val="0"/>
      <w:marRight w:val="0"/>
      <w:marTop w:val="0"/>
      <w:marBottom w:val="0"/>
      <w:divBdr>
        <w:top w:val="none" w:sz="0" w:space="0" w:color="auto"/>
        <w:left w:val="none" w:sz="0" w:space="0" w:color="auto"/>
        <w:bottom w:val="none" w:sz="0" w:space="0" w:color="auto"/>
        <w:right w:val="none" w:sz="0" w:space="0" w:color="auto"/>
      </w:divBdr>
      <w:divsChild>
        <w:div w:id="169157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tech.com/blog/cost-of-manufacturing-in-the-clou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erle.com/articles/the-cost-savings-of-cloud-computing-40191237.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investopedia.com/terms/t/totalcostofownership.asp" TargetMode="External"/><Relationship Id="rId4" Type="http://schemas.openxmlformats.org/officeDocument/2006/relationships/footnotes" Target="footnotes.xml"/><Relationship Id="rId9" Type="http://schemas.openxmlformats.org/officeDocument/2006/relationships/hyperlink" Target="https://www.leadingedgetech.co.uk/it-services/it-consultancy-services/cloud-computing/how-is-cloud-computing-different-from-traditional-it-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2023-10-22T21:25:00Z</dcterms:created>
  <dcterms:modified xsi:type="dcterms:W3CDTF">2023-10-22T21:37:00Z</dcterms:modified>
</cp:coreProperties>
</file>