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Rapport</w:t>
      </w:r>
      <w:r>
        <w:t xml:space="preserve"> </w:t>
      </w:r>
      <w:r>
        <w:t xml:space="preserve">—</w:t>
      </w:r>
      <w:r>
        <w:t xml:space="preserve"> </w:t>
      </w:r>
      <w:r>
        <w:t xml:space="preserve">Documentation</w:t>
      </w:r>
      <w:r>
        <w:t xml:space="preserve"> </w:t>
      </w:r>
      <w:r>
        <w:t xml:space="preserve">et</w:t>
      </w:r>
      <w:r>
        <w:t xml:space="preserve"> </w:t>
      </w:r>
      <w:r>
        <w:t xml:space="preserve">préparation</w:t>
      </w:r>
      <w:r>
        <w:t xml:space="preserve"> </w:t>
      </w:r>
      <w:r>
        <w:t xml:space="preserve">du</w:t>
      </w:r>
      <w:r>
        <w:t xml:space="preserve"> </w:t>
      </w:r>
      <w:r>
        <w:t xml:space="preserve">déploiement</w:t>
      </w:r>
    </w:p>
    <w:p>
      <w:pPr>
        <w:pStyle w:val="Subtitle"/>
      </w:pPr>
      <w:r>
        <w:t xml:space="preserve">Bloc</w:t>
      </w:r>
      <w:r>
        <w:t xml:space="preserve"> </w:t>
      </w:r>
      <w:r>
        <w:t xml:space="preserve">3</w:t>
      </w:r>
      <w:r>
        <w:t xml:space="preserve"> </w:t>
      </w:r>
      <w:r>
        <w:t xml:space="preserve">/</w:t>
      </w:r>
      <w:r>
        <w:t xml:space="preserve"> </w:t>
      </w:r>
      <w:r>
        <w:t xml:space="preserve">Compétence</w:t>
      </w:r>
      <w:r>
        <w:t xml:space="preserve"> </w:t>
      </w:r>
      <w:r>
        <w:t xml:space="preserve">CP2</w:t>
      </w:r>
      <w:r>
        <w:t xml:space="preserve"> </w:t>
      </w:r>
      <w:r>
        <w:t xml:space="preserve">—</w:t>
      </w:r>
      <w:r>
        <w:t xml:space="preserve"> </w:t>
      </w:r>
      <w:r>
        <w:t xml:space="preserve">Semaine</w:t>
      </w:r>
      <w:r>
        <w:t xml:space="preserve"> </w:t>
      </w:r>
      <w:r>
        <w:t xml:space="preserve">du</w:t>
      </w:r>
      <w:r>
        <w:t xml:space="preserve"> </w:t>
      </w:r>
      <w:r>
        <w:t xml:space="preserve">18</w:t>
      </w:r>
      <w:r>
        <w:t xml:space="preserve"> </w:t>
      </w:r>
      <w:r>
        <w:t xml:space="preserve">au</w:t>
      </w:r>
      <w:r>
        <w:t xml:space="preserve"> </w:t>
      </w:r>
      <w:r>
        <w:t xml:space="preserve">21</w:t>
      </w:r>
      <w:r>
        <w:t xml:space="preserve"> </w:t>
      </w:r>
      <w:r>
        <w:t xml:space="preserve">mai</w:t>
      </w:r>
      <w:r>
        <w:t xml:space="preserve"> </w:t>
      </w:r>
      <w:r>
        <w:t xml:space="preserve">2026</w:t>
      </w:r>
    </w:p>
    <w:p>
      <w:pPr>
        <w:pStyle w:val="Author"/>
      </w:pPr>
      <w:r>
        <w:t xml:space="preserve">Yassine</w:t>
      </w:r>
      <w:r>
        <w:t xml:space="preserve"> </w:t>
      </w:r>
      <w:r>
        <w:t xml:space="preserve">TAIFI</w:t>
      </w:r>
      <w:r>
        <w:t xml:space="preserve"> </w:t>
      </w:r>
      <w:r>
        <w:t xml:space="preserve">BERNOUSSI</w:t>
      </w:r>
      <w:r>
        <w:t xml:space="preserve"> </w:t>
      </w:r>
      <w:r>
        <w:t xml:space="preserve">—</w:t>
      </w:r>
      <w:r>
        <w:t xml:space="preserve"> </w:t>
      </w:r>
      <w:r>
        <w:t xml:space="preserve">Administrateur</w:t>
      </w:r>
      <w:r>
        <w:t xml:space="preserve"> </w:t>
      </w:r>
      <w:r>
        <w:t xml:space="preserve">Systèmes</w:t>
      </w:r>
      <w:r>
        <w:t xml:space="preserve"> </w:t>
      </w:r>
      <w:r>
        <w:t xml:space="preserve">DevOps</w:t>
      </w:r>
    </w:p>
    <w:p>
      <w:pPr>
        <w:pStyle w:val="Date"/>
      </w:pPr>
      <w:r>
        <w:t xml:space="preserve">Jeudi</w:t>
      </w:r>
      <w:r>
        <w:t xml:space="preserve"> </w:t>
      </w:r>
      <w:r>
        <w:t xml:space="preserve">21</w:t>
      </w:r>
      <w:r>
        <w:t xml:space="preserve"> </w:t>
      </w:r>
      <w:r>
        <w:t xml:space="preserve">mai</w:t>
      </w:r>
      <w:r>
        <w:t xml:space="preserve"> </w:t>
      </w:r>
      <w:r>
        <w:t xml:space="preserve">2026</w:t>
      </w:r>
    </w:p>
    <w:p>
      <w:pPr>
        <w:pStyle w:val="Heading1"/>
      </w:pPr>
      <w:bookmarkStart w:id="20" w:name="objet-du-rapport"/>
      <w:r>
        <w:t xml:space="preserve">1. Objet du rapport</w:t>
      </w:r>
      <w:bookmarkEnd w:id="20"/>
    </w:p>
    <w:p>
      <w:pPr>
        <w:pStyle w:val="FirstParagraph"/>
      </w:pPr>
      <w:r>
        <w:t xml:space="preserve">Ce rapport documente la préparation au déploiement de la plateforme</w:t>
      </w:r>
      <w:r>
        <w:t xml:space="preserve"> </w:t>
      </w:r>
      <w:r>
        <w:rPr>
          <w:b/>
        </w:rPr>
        <w:t xml:space="preserve">DevOps Monitoring Platform</w:t>
      </w:r>
      <w:r>
        <w:t xml:space="preserve"> </w:t>
      </w:r>
      <w:r>
        <w:t xml:space="preserve">sur trois environnements cibles :</w:t>
      </w:r>
      <w:r>
        <w:t xml:space="preserve"> </w:t>
      </w:r>
      <w:r>
        <w:rPr>
          <w:b/>
        </w:rPr>
        <w:t xml:space="preserve">développement local</w:t>
      </w:r>
      <w:r>
        <w:t xml:space="preserve"> </w:t>
      </w:r>
      <w:r>
        <w:t xml:space="preserve">(Windows + Docker Desktop),</w:t>
      </w:r>
      <w:r>
        <w:t xml:space="preserve"> </w:t>
      </w:r>
      <w:r>
        <w:rPr>
          <w:b/>
        </w:rPr>
        <w:t xml:space="preserve">staging</w:t>
      </w:r>
      <w:r>
        <w:t xml:space="preserve"> </w:t>
      </w:r>
      <w:r>
        <w:t xml:space="preserve">(instance EC2 isolée) et</w:t>
      </w:r>
      <w:r>
        <w:t xml:space="preserve"> </w:t>
      </w:r>
      <w:r>
        <w:rPr>
          <w:b/>
        </w:rPr>
        <w:t xml:space="preserve">production</w:t>
      </w:r>
      <w:r>
        <w:t xml:space="preserve"> </w:t>
      </w:r>
      <w:r>
        <w:t xml:space="preserve">(EC2 + monitoring + alerting Discord). Il couvre la compétence</w:t>
      </w:r>
      <w:r>
        <w:t xml:space="preserve"> </w:t>
      </w:r>
      <w:r>
        <w:rPr>
          <w:b/>
        </w:rPr>
        <w:t xml:space="preserve">B3-CP2</w:t>
      </w:r>
      <w:r>
        <w:t xml:space="preserve"> </w:t>
      </w:r>
      <w:r>
        <w:t xml:space="preserve">du titre professionnel</w:t>
      </w:r>
      <w:r>
        <w:t xml:space="preserve"> </w:t>
      </w:r>
      <w:r>
        <w:rPr>
          <w:i/>
        </w:rPr>
        <w:t xml:space="preserve">Administrateur Systèmes DevOps</w:t>
      </w:r>
      <w:r>
        <w:t xml:space="preserve">.</w:t>
      </w:r>
    </w:p>
    <w:p>
      <w:pPr>
        <w:pStyle w:val="BodyText"/>
      </w:pPr>
      <w:r>
        <w:rPr>
          <w:b/>
        </w:rPr>
        <w:t xml:space="preserve">Livrables :</w:t>
      </w:r>
      <w:r>
        <w:t xml:space="preserve"> </w:t>
      </w:r>
      <w:r>
        <w:t xml:space="preserve">documentation de déploiement complète, procédures d’installation par environnement, matrice de configuration, runbook opérationnel, plan de rollback.</w:t>
      </w:r>
    </w:p>
    <w:p>
      <w:pPr>
        <w:pStyle w:val="Heading1"/>
      </w:pPr>
      <w:bookmarkStart w:id="21" w:name="X80137619ee44164b521ba4abe48b8a74de66b7b"/>
      <w:r>
        <w:t xml:space="preserve">2. Architecture de déploiement multi-environnements</w:t>
      </w:r>
      <w:bookmarkEnd w:id="21"/>
    </w:p>
    <w:p>
      <w:pPr>
        <w:pStyle w:val="SourceCode"/>
      </w:pPr>
      <w:r>
        <w:rPr>
          <w:rStyle w:val="VerbatimChar"/>
        </w:rPr>
        <w:t xml:space="preserve">+------------------+    +-----------------+    +-------------------+</w:t>
      </w:r>
      <w:r>
        <w:br/>
      </w:r>
      <w:r>
        <w:rPr>
          <w:rStyle w:val="VerbatimChar"/>
        </w:rPr>
        <w:t xml:space="preserve">|       DEV        |    |     STAGING     |    |    PRODUCTION     |</w:t>
      </w:r>
      <w:r>
        <w:br/>
      </w:r>
      <w:r>
        <w:rPr>
          <w:rStyle w:val="VerbatimChar"/>
        </w:rPr>
        <w:t xml:space="preserve">|  Docker Desktop  |    |  EC2 t3.micro   |    |  EC2 t3.small     |</w:t>
      </w:r>
      <w:r>
        <w:br/>
      </w:r>
      <w:r>
        <w:rPr>
          <w:rStyle w:val="VerbatimChar"/>
        </w:rPr>
        <w:t xml:space="preserve">|  Windows / macOS |    |  AWS eu-west-3  |    |  AWS eu-west-3    |</w:t>
      </w:r>
      <w:r>
        <w:br/>
      </w:r>
      <w:r>
        <w:rPr>
          <w:rStyle w:val="VerbatimChar"/>
        </w:rPr>
        <w:t xml:space="preserve">+--------+---------+    +--------+--------+    +---------+---------+</w:t>
      </w:r>
      <w:r>
        <w:br/>
      </w:r>
      <w:r>
        <w:rPr>
          <w:rStyle w:val="VerbatimChar"/>
        </w:rPr>
        <w:t xml:space="preserve">         |                       |                       |</w:t>
      </w:r>
      <w:r>
        <w:br/>
      </w:r>
      <w:r>
        <w:rPr>
          <w:rStyle w:val="VerbatimChar"/>
        </w:rPr>
        <w:t xml:space="preserve">         | docker compose up     | terraform apply       | terraform apply</w:t>
      </w:r>
      <w:r>
        <w:br/>
      </w:r>
      <w:r>
        <w:rPr>
          <w:rStyle w:val="VerbatimChar"/>
        </w:rPr>
        <w:t xml:space="preserve">         | (10 services)         | (12 services)         | (12 services + ALB)</w:t>
      </w:r>
      <w:r>
        <w:br/>
      </w:r>
      <w:r>
        <w:rPr>
          <w:rStyle w:val="VerbatimChar"/>
        </w:rPr>
        <w:t xml:space="preserve">         | sans alerting réel    | webhook Discord test  | webhook Discord prod</w:t>
      </w:r>
      <w:r>
        <w:br/>
      </w:r>
      <w:r>
        <w:rPr>
          <w:rStyle w:val="VerbatimChar"/>
        </w:rPr>
        <w:t xml:space="preserve">         | tmpfs Postgres        | EBS éphémère          | EBS persistant chiffré</w:t>
      </w:r>
      <w:r>
        <w:br/>
      </w:r>
      <w:r>
        <w:rPr>
          <w:rStyle w:val="VerbatimChar"/>
        </w:rPr>
        <w:t xml:space="preserve">+--------+---------+    +--------+--------+    +---------+---------+</w:t>
      </w:r>
      <w:r>
        <w:br/>
      </w:r>
      <w:r>
        <w:rPr>
          <w:rStyle w:val="VerbatimChar"/>
        </w:rPr>
        <w:t xml:space="preserve">| Personnel        |    | Équipe DevOps   |    | Tous (avec ACL)   |</w:t>
      </w:r>
      <w:r>
        <w:br/>
      </w:r>
      <w:r>
        <w:rPr>
          <w:rStyle w:val="VerbatimChar"/>
        </w:rPr>
        <w:t xml:space="preserve">+------------------+    +-----------------+    +-------------------+</w:t>
      </w:r>
    </w:p>
    <w:p>
      <w:pPr>
        <w:pStyle w:val="FirstParagraph"/>
      </w:pPr>
      <w:r>
        <w:t xml:space="preserve">Chaque environnement est configuré via le</w:t>
      </w:r>
      <w:r>
        <w:t xml:space="preserve"> </w:t>
      </w:r>
      <w:r>
        <w:rPr>
          <w:b/>
        </w:rPr>
        <w:t xml:space="preserve">même code source</w:t>
      </w:r>
      <w:r>
        <w:t xml:space="preserve"> </w:t>
      </w:r>
      <w:r>
        <w:t xml:space="preserve">(Git branche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), mais avec un</w:t>
      </w:r>
      <w:r>
        <w:t xml:space="preserve"> </w:t>
      </w:r>
      <w:r>
        <w:rPr>
          <w:b/>
        </w:rPr>
        <w:t xml:space="preserve">fichier</w:t>
      </w:r>
      <w:r>
        <w:rPr>
          <w:b/>
        </w:rPr>
        <w:t xml:space="preserve"> </w:t>
      </w:r>
      <w:r>
        <w:rPr>
          <w:rStyle w:val="VerbatimChar"/>
          <w:b/>
        </w:rPr>
        <w:t xml:space="preserve">.env</w:t>
      </w:r>
      <w:r>
        <w:rPr>
          <w:b/>
        </w:rPr>
        <w:t xml:space="preserve"> </w:t>
      </w:r>
      <w:r>
        <w:rPr>
          <w:b/>
        </w:rPr>
        <w:t xml:space="preserve">distinct</w:t>
      </w:r>
      <w:r>
        <w:t xml:space="preserve"> </w:t>
      </w:r>
      <w:r>
        <w:t xml:space="preserve">et des variables Terraform spécifiques. Cette approche</w:t>
      </w:r>
      <w:r>
        <w:t xml:space="preserve"> </w:t>
      </w:r>
      <w:r>
        <w:rPr>
          <w:i/>
        </w:rPr>
        <w:t xml:space="preserve">« code identique, configuration différenciée »</w:t>
      </w:r>
      <w:r>
        <w:t xml:space="preserve"> </w:t>
      </w:r>
      <w:r>
        <w:t xml:space="preserve">garantit la parité dev/prod.</w:t>
      </w:r>
    </w:p>
    <w:p>
      <w:pPr>
        <w:pStyle w:val="Heading1"/>
      </w:pPr>
      <w:bookmarkStart w:id="22" w:name="Xd6c186fac63cd1c2553b9d258cb767de12f334e"/>
      <w:r>
        <w:t xml:space="preserve">3. Matrice de configuration par environnement</w:t>
      </w:r>
      <w:bookmarkEnd w:id="22"/>
    </w:p>
    <w:tbl>
      <w:tblPr>
        <w:tblStyle w:val="Table"/>
        <w:tblW w:type="pct" w:w="5000.0"/>
        <w:tblLook w:firstRow="1"/>
      </w:tblPr>
      <w:tblGrid>
        <w:gridCol w:w="2200"/>
        <w:gridCol w:w="1100"/>
        <w:gridCol w:w="198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</w:t>
            </w:r>
            <w:r>
              <w:t xml:space="preserve"> </w:t>
            </w:r>
            <w:r>
              <w:t xml:space="preserve">(par défaut)</w:t>
            </w:r>
          </w:p>
        </w:tc>
        <w:tc>
          <w:p>
            <w:pPr>
              <w:pStyle w:val="Compact"/>
              <w:jc w:val="left"/>
            </w:pPr>
            <w:r>
              <w:t xml:space="preserve">secret généré</w:t>
            </w:r>
          </w:p>
        </w:tc>
        <w:tc>
          <w:p>
            <w:pPr>
              <w:pStyle w:val="Compact"/>
              <w:jc w:val="left"/>
            </w:pPr>
            <w:r>
              <w:t xml:space="preserve">secret généré (Vault)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p>
            <w:pPr>
              <w:pStyle w:val="Compact"/>
              <w:jc w:val="left"/>
            </w:pPr>
            <w:r>
              <w:t xml:space="preserve">placeholder</w:t>
            </w:r>
          </w:p>
        </w:tc>
        <w:tc>
          <w:p>
            <w:pPr>
              <w:pStyle w:val="Compact"/>
              <w:jc w:val="left"/>
            </w:pPr>
            <w:r>
              <w:t xml:space="preserve">secret 32+ char</w:t>
            </w:r>
          </w:p>
        </w:tc>
        <w:tc>
          <w:p>
            <w:pPr>
              <w:pStyle w:val="Compact"/>
              <w:jc w:val="left"/>
            </w:pPr>
            <w:r>
              <w:t xml:space="preserve">secret 64+ char rotation 90 j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GRAFANA_PASSWORD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secret généré</w:t>
            </w:r>
          </w:p>
        </w:tc>
        <w:tc>
          <w:p>
            <w:pPr>
              <w:pStyle w:val="Compact"/>
              <w:jc w:val="left"/>
            </w:pPr>
            <w:r>
              <w:t xml:space="preserve">secret généré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DISCORD_WEBHOOK_URL</w:t>
            </w:r>
          </w:p>
        </w:tc>
        <w:tc>
          <w:p>
            <w:pPr>
              <w:pStyle w:val="Compact"/>
              <w:jc w:val="left"/>
            </w:pPr>
            <w:r>
              <w:t xml:space="preserve">webhook.site (test)</w:t>
            </w:r>
          </w:p>
        </w:tc>
        <w:tc>
          <w:p>
            <w:pPr>
              <w:pStyle w:val="Compact"/>
              <w:jc w:val="left"/>
            </w:pPr>
            <w:r>
              <w:t xml:space="preserve">channel</w:t>
            </w:r>
            <w:r>
              <w:t xml:space="preserve"> </w:t>
            </w:r>
            <w:r>
              <w:rPr>
                <w:rStyle w:val="VerbatimChar"/>
              </w:rPr>
              <w:t xml:space="preserve">#alerts-staging</w:t>
            </w:r>
          </w:p>
        </w:tc>
        <w:tc>
          <w:p>
            <w:pPr>
              <w:pStyle w:val="Compact"/>
              <w:jc w:val="left"/>
            </w:pPr>
            <w:r>
              <w:t xml:space="preserve">channel</w:t>
            </w:r>
            <w:r>
              <w:t xml:space="preserve"> </w:t>
            </w:r>
            <w:r>
              <w:rPr>
                <w:rStyle w:val="VerbatimChar"/>
              </w:rPr>
              <w:t xml:space="preserve">#alerts-prod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SMTP_PASSWORD</w:t>
            </w:r>
          </w:p>
        </w:tc>
        <w:tc>
          <w:p>
            <w:pPr>
              <w:pStyle w:val="Compact"/>
              <w:jc w:val="left"/>
            </w:pPr>
            <w:r>
              <w:t xml:space="preserve">vide</w:t>
            </w:r>
          </w:p>
        </w:tc>
        <w:tc>
          <w:p>
            <w:pPr>
              <w:pStyle w:val="Compact"/>
              <w:jc w:val="left"/>
            </w:pPr>
            <w:r>
              <w:t xml:space="preserve">Gmail App Password</w:t>
            </w:r>
          </w:p>
        </w:tc>
        <w:tc>
          <w:p>
            <w:pPr>
              <w:pStyle w:val="Compact"/>
              <w:jc w:val="left"/>
            </w:pPr>
            <w:r>
              <w:t xml:space="preserve">SMTP entreprise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JAEGER_ENDPOINT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http://jaeger:4317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LOGSTASH_HOST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logstash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Compose profile</w:t>
            </w:r>
          </w:p>
        </w:tc>
        <w:tc>
          <w:p>
            <w:pPr>
              <w:pStyle w:val="Compact"/>
              <w:jc w:val="left"/>
            </w:pPr>
            <w:r>
              <w:t xml:space="preserve">aucun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linux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linux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Rétention Prometheus</w:t>
            </w:r>
          </w:p>
        </w:tc>
        <w:tc>
          <w:p>
            <w:pPr>
              <w:pStyle w:val="Compact"/>
              <w:jc w:val="left"/>
            </w:pPr>
            <w:r>
              <w:t xml:space="preserve">15 j</w:t>
            </w:r>
          </w:p>
        </w:tc>
        <w:tc>
          <w:p>
            <w:pPr>
              <w:pStyle w:val="Compact"/>
              <w:jc w:val="left"/>
            </w:pPr>
            <w:r>
              <w:t xml:space="preserve">15 j</w:t>
            </w:r>
          </w:p>
        </w:tc>
        <w:tc>
          <w:p>
            <w:pPr>
              <w:pStyle w:val="Compact"/>
              <w:jc w:val="left"/>
            </w:pPr>
            <w:r>
              <w:t xml:space="preserve">30 j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EBS chiffré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encrypted = 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encrypted = true</w:t>
            </w:r>
            <w:r>
              <w:t xml:space="preserve"> </w:t>
            </w:r>
            <w:r>
              <w:t xml:space="preserve">+ KMS dédié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SSH CIDR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bureau (</w:t>
            </w:r>
            <w:r>
              <w:rPr>
                <w:rStyle w:val="VerbatimChar"/>
              </w:rPr>
              <w:t xml:space="preserve">X.X.X.X/32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bastion (</w:t>
            </w:r>
            <w:r>
              <w:rPr>
                <w:rStyle w:val="VerbatimChar"/>
              </w:rPr>
              <w:t xml:space="preserve">Y.Y.Y.Y/32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Backups DB</w:t>
            </w:r>
          </w:p>
        </w:tc>
        <w:tc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p>
            <w:pPr>
              <w:pStyle w:val="Compact"/>
              <w:jc w:val="left"/>
            </w:pPr>
            <w:r>
              <w:t xml:space="preserve">RDS snapshot quotidien (cible future)</w:t>
            </w:r>
          </w:p>
        </w:tc>
      </w:tr>
    </w:tbl>
    <w:p>
      <w:pPr>
        <w:pStyle w:val="Heading1"/>
      </w:pPr>
      <w:bookmarkStart w:id="23" w:name="Xfbf9952141d8296f823d44cac1837409744a19e"/>
      <w:r>
        <w:t xml:space="preserve">4. Procédure d’installation — environnement DEV</w:t>
      </w:r>
      <w:bookmarkEnd w:id="23"/>
    </w:p>
    <w:p>
      <w:pPr>
        <w:pStyle w:val="FirstParagraph"/>
      </w:pPr>
      <w:r>
        <w:rPr>
          <w:b/>
        </w:rPr>
        <w:t xml:space="preserve">Pré-requis :</w:t>
      </w:r>
      <w:r>
        <w:t xml:space="preserve"> </w:t>
      </w:r>
      <w:r>
        <w:t xml:space="preserve">Windows 10/11 + Docker Desktop 24+ ou macOS + Docker Desktop, Git 2.x, 8 Go RAM, 10 Go disque libre.</w:t>
      </w:r>
    </w:p>
    <w:p>
      <w:pPr>
        <w:pStyle w:val="SourceCode"/>
      </w:pPr>
      <w:r>
        <w:rPr>
          <w:rStyle w:val="CommentTok"/>
        </w:rPr>
        <w:t xml:space="preserve"># 1. Cloner le repository</w:t>
      </w:r>
      <w:r>
        <w:br/>
      </w:r>
      <w:r>
        <w:rPr>
          <w:rStyle w:val="NormalTok"/>
        </w:rPr>
        <w:t xml:space="preserve">git clone https://github.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/YTA048/Devops-monitoring.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Devops-monitoring</w:t>
      </w:r>
      <w:r>
        <w:br/>
      </w:r>
      <w:r>
        <w:br/>
      </w:r>
      <w:r>
        <w:rPr>
          <w:rStyle w:val="CommentTok"/>
        </w:rPr>
        <w:t xml:space="preserve"># 2. Copier le template d'environnement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.</w:t>
      </w:r>
      <w:r>
        <w:rPr>
          <w:rStyle w:val="FunctionTok"/>
        </w:rPr>
        <w:t xml:space="preserve">env</w:t>
      </w:r>
      <w:r>
        <w:br/>
      </w:r>
      <w:r>
        <w:br/>
      </w:r>
      <w:r>
        <w:rPr>
          <w:rStyle w:val="CommentTok"/>
        </w:rPr>
        <w:t xml:space="preserve"># 3. Editer .env et renseigner au minimum :</w:t>
      </w:r>
      <w:r>
        <w:br/>
      </w:r>
      <w:r>
        <w:rPr>
          <w:rStyle w:val="CommentTok"/>
        </w:rPr>
        <w:t xml:space="preserve">#    - DISCORD_WEBHOOK_URL (ou laisser webhook.site)</w:t>
      </w:r>
      <w:r>
        <w:br/>
      </w:r>
      <w:r>
        <w:rPr>
          <w:rStyle w:val="CommentTok"/>
        </w:rPr>
        <w:t xml:space="preserve">#    - JWT_SECRET (chaine 32 caracteres minimum)</w:t>
      </w:r>
      <w:r>
        <w:br/>
      </w:r>
      <w:r>
        <w:rPr>
          <w:rStyle w:val="CommentTok"/>
        </w:rPr>
        <w:t xml:space="preserve">#    - POSTGRES_PASSWORD</w:t>
      </w:r>
      <w:r>
        <w:br/>
      </w:r>
      <w:r>
        <w:rPr>
          <w:rStyle w:val="CommentTok"/>
        </w:rPr>
        <w:t xml:space="preserve">#    - GRAFANA_PASSWORD</w:t>
      </w:r>
      <w:r>
        <w:br/>
      </w:r>
      <w:r>
        <w:br/>
      </w:r>
      <w:r>
        <w:rPr>
          <w:rStyle w:val="CommentTok"/>
        </w:rPr>
        <w:t xml:space="preserve"># 4. Lancer la stack (10 services, sans node-exporter ni cAdvisor)</w:t>
      </w:r>
      <w:r>
        <w:br/>
      </w:r>
      <w:r>
        <w:rPr>
          <w:rStyle w:val="NormalTok"/>
        </w:rPr>
        <w:t xml:space="preserve">docker compose up -d</w:t>
      </w:r>
      <w:r>
        <w:br/>
      </w:r>
      <w:r>
        <w:br/>
      </w:r>
      <w:r>
        <w:rPr>
          <w:rStyle w:val="CommentTok"/>
        </w:rPr>
        <w:t xml:space="preserve"># 5. Verifier l'etat des conteneurs</w:t>
      </w:r>
      <w:r>
        <w:br/>
      </w:r>
      <w:r>
        <w:rPr>
          <w:rStyle w:val="NormalTok"/>
        </w:rPr>
        <w:t xml:space="preserve">docker compose </w:t>
      </w:r>
      <w:r>
        <w:rPr>
          <w:rStyle w:val="FunctionTok"/>
        </w:rPr>
        <w:t xml:space="preserve">ps</w:t>
      </w:r>
      <w:r>
        <w:br/>
      </w:r>
      <w:r>
        <w:br/>
      </w:r>
      <w:r>
        <w:rPr>
          <w:rStyle w:val="CommentTok"/>
        </w:rPr>
        <w:t xml:space="preserve"># 6. Generer un peu de trafic pour faire vivre les metriques</w:t>
      </w:r>
      <w:r>
        <w:br/>
      </w:r>
      <w:r>
        <w:rPr>
          <w:rStyle w:val="NormalTok"/>
        </w:rPr>
        <w:t xml:space="preserve">1..</w:t>
      </w:r>
      <w:r>
        <w:rPr>
          <w:rStyle w:val="FunctionTok"/>
        </w:rPr>
        <w:t xml:space="preserve">30</w:t>
      </w:r>
      <w:r>
        <w:rPr>
          <w:rStyle w:val="NormalTok"/>
        </w:rPr>
        <w:t xml:space="preserve"> |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http://localhost:8000/monitor | </w:t>
      </w:r>
      <w:r>
        <w:rPr>
          <w:rStyle w:val="FunctionTok"/>
        </w:rPr>
        <w:t xml:space="preserve">Out-Null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b/>
        </w:rPr>
        <w:t xml:space="preserve">URLs accessibles localement 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Identifiants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React</w:t>
            </w:r>
          </w:p>
        </w:tc>
        <w:tc>
          <w:p>
            <w:pPr>
              <w:pStyle w:val="Compact"/>
              <w:jc w:val="left"/>
            </w:pPr>
            <w:r>
              <w:t xml:space="preserve">http://localhost:3000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admin123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Swagger</w:t>
            </w:r>
          </w:p>
        </w:tc>
        <w:tc>
          <w:p>
            <w:pPr>
              <w:pStyle w:val="Compact"/>
              <w:jc w:val="left"/>
            </w:pPr>
            <w:r>
              <w:t xml:space="preserve">http://localhost:8000/docs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p>
            <w:pPr>
              <w:pStyle w:val="Compact"/>
              <w:jc w:val="left"/>
            </w:pPr>
            <w:r>
              <w:t xml:space="preserve">http://localhost:9090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Grafana</w:t>
            </w:r>
          </w:p>
        </w:tc>
        <w:tc>
          <w:p>
            <w:pPr>
              <w:pStyle w:val="Compact"/>
              <w:jc w:val="left"/>
            </w:pPr>
            <w:r>
              <w:t xml:space="preserve">http://localhost:3001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 valeur de</w:t>
            </w:r>
            <w:r>
              <w:t xml:space="preserve"> </w:t>
            </w:r>
            <w:r>
              <w:rPr>
                <w:rStyle w:val="VerbatimChar"/>
              </w:rPr>
              <w:t xml:space="preserve">GRAFANA_PASSWORD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AlertManager</w:t>
            </w:r>
          </w:p>
        </w:tc>
        <w:tc>
          <w:p>
            <w:pPr>
              <w:pStyle w:val="Compact"/>
              <w:jc w:val="left"/>
            </w:pPr>
            <w:r>
              <w:t xml:space="preserve">http://localhost:9093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Jaeger UI</w:t>
            </w:r>
          </w:p>
        </w:tc>
        <w:tc>
          <w:p>
            <w:pPr>
              <w:pStyle w:val="Compact"/>
              <w:jc w:val="left"/>
            </w:pPr>
            <w:r>
              <w:t xml:space="preserve">http://localhost:16686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Kibana</w:t>
            </w:r>
          </w:p>
        </w:tc>
        <w:tc>
          <w:p>
            <w:pPr>
              <w:pStyle w:val="Compact"/>
              <w:jc w:val="left"/>
            </w:pPr>
            <w:r>
              <w:t xml:space="preserve">http://localhost:5601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Pour les tests :</w:t>
      </w:r>
      <w:r>
        <w:t xml:space="preserve"> </w:t>
      </w:r>
      <w:r>
        <w:t xml:space="preserve">un environnement de test isolé est lancé via</w:t>
      </w:r>
      <w:r>
        <w:t xml:space="preserve"> </w:t>
      </w:r>
      <w:r>
        <w:rPr>
          <w:rStyle w:val="VerbatimChar"/>
        </w:rPr>
        <w:t xml:space="preserve">docker compose -f docker-compose.test.yml up -d</w:t>
      </w:r>
      <w:r>
        <w:t xml:space="preserve"> </w:t>
      </w:r>
      <w:r>
        <w:t xml:space="preserve">(Postgres en</w:t>
      </w:r>
      <w:r>
        <w:t xml:space="preserve"> </w:t>
      </w:r>
      <w:r>
        <w:rPr>
          <w:rStyle w:val="VerbatimChar"/>
        </w:rPr>
        <w:t xml:space="preserve">tmpfs</w:t>
      </w:r>
      <w:r>
        <w:t xml:space="preserve">).</w:t>
      </w:r>
    </w:p>
    <w:p>
      <w:pPr>
        <w:pStyle w:val="Heading1"/>
      </w:pPr>
      <w:bookmarkStart w:id="24" w:name="X07d62f39d98dba298b76226c85cb2bd40d11691"/>
      <w:r>
        <w:t xml:space="preserve">5. Procédure d’installation — environnement STAGING</w:t>
      </w:r>
      <w:bookmarkEnd w:id="24"/>
    </w:p>
    <w:p>
      <w:pPr>
        <w:pStyle w:val="FirstParagraph"/>
      </w:pPr>
      <w:r>
        <w:rPr>
          <w:b/>
        </w:rPr>
        <w:t xml:space="preserve">Pré-requis :</w:t>
      </w:r>
      <w:r>
        <w:t xml:space="preserve"> </w:t>
      </w:r>
      <w:r>
        <w:t xml:space="preserve">compte AWS avec credentials configurés (</w:t>
      </w:r>
      <w:r>
        <w:rPr>
          <w:rStyle w:val="VerbatimChar"/>
        </w:rPr>
        <w:t xml:space="preserve">aws configure</w:t>
      </w:r>
      <w:r>
        <w:t xml:space="preserve">), Terraform 1.6+, clé SSH AWS dans la région cible.</w:t>
      </w:r>
    </w:p>
    <w:p>
      <w:pPr>
        <w:pStyle w:val="SourceCode"/>
      </w:pPr>
      <w:r>
        <w:rPr>
          <w:rStyle w:val="CommentTok"/>
        </w:rPr>
        <w:t xml:space="preserve"># 1. Cloner le repository sur le poste de déploiement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https://github.com/YTA048/Devops-monitoring.git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Devops-monitoring/terraform</w:t>
      </w:r>
      <w:r>
        <w:br/>
      </w:r>
      <w:r>
        <w:br/>
      </w:r>
      <w:r>
        <w:rPr>
          <w:rStyle w:val="CommentTok"/>
        </w:rPr>
        <w:t xml:space="preserve"># 2. Configurer les variables Terraform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terraform.tfvars.example terraform.tfvars</w:t>
      </w:r>
      <w:r>
        <w:br/>
      </w:r>
      <w:r>
        <w:rPr>
          <w:rStyle w:val="CommentTok"/>
        </w:rPr>
        <w:t xml:space="preserve"># Editer : aws_region, project_name="devops-monitoring-staging",</w:t>
      </w:r>
      <w:r>
        <w:br/>
      </w:r>
      <w:r>
        <w:rPr>
          <w:rStyle w:val="CommentTok"/>
        </w:rPr>
        <w:t xml:space="preserve">#         ssh_cidr="X.X.X.X/32", key_name="ma-cle-aws"</w:t>
      </w:r>
      <w:r>
        <w:br/>
      </w:r>
      <w:r>
        <w:br/>
      </w:r>
      <w:r>
        <w:rPr>
          <w:rStyle w:val="CommentTok"/>
        </w:rPr>
        <w:t xml:space="preserve"># 3. Provisionner l'infrastructure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-out=staging.plan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staging.plan</w:t>
      </w:r>
      <w:r>
        <w:br/>
      </w:r>
      <w:r>
        <w:br/>
      </w:r>
      <w:r>
        <w:rPr>
          <w:rStyle w:val="CommentTok"/>
        </w:rPr>
        <w:t xml:space="preserve"># 4. Recuperer les URLs publiques (outputs)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</w:t>
      </w:r>
      <w:r>
        <w:br/>
      </w:r>
      <w:r>
        <w:rPr>
          <w:rStyle w:val="CommentTok"/>
        </w:rPr>
        <w:t xml:space="preserve"># &gt; ec2_public_ip = "13.X.X.X"</w:t>
      </w:r>
      <w:r>
        <w:br/>
      </w:r>
      <w:r>
        <w:rPr>
          <w:rStyle w:val="CommentTok"/>
        </w:rPr>
        <w:t xml:space="preserve"># &gt; grafana_url   = "http://ec2-13-X-X-X.eu-west-3.compute.amazonaws.com:3001"</w:t>
      </w:r>
      <w:r>
        <w:br/>
      </w:r>
      <w:r>
        <w:rPr>
          <w:rStyle w:val="CommentTok"/>
        </w:rPr>
        <w:t xml:space="preserve"># &gt; jaeger_url    = "http://ec2-13-X-X-X.../...:16686"</w:t>
      </w:r>
      <w:r>
        <w:br/>
      </w:r>
      <w:r>
        <w:br/>
      </w:r>
      <w:r>
        <w:rPr>
          <w:rStyle w:val="CommentTok"/>
        </w:rPr>
        <w:t xml:space="preserve"># 5. Le user-data clone le repo et lance la stack automatiquement</w:t>
      </w:r>
      <w:r>
        <w:br/>
      </w:r>
      <w:r>
        <w:rPr>
          <w:rStyle w:val="CommentTok"/>
        </w:rPr>
        <w:t xml:space="preserve">#    Attendre 5-7 minutes que le bootstrap soit terminé</w:t>
      </w:r>
      <w:r>
        <w:br/>
      </w:r>
      <w:r>
        <w:br/>
      </w:r>
      <w:r>
        <w:rPr>
          <w:rStyle w:val="CommentTok"/>
        </w:rPr>
        <w:t xml:space="preserve"># 6. Verifier le bon fonctionnement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-i ~/.ssh/ma-cle-aws.pem ec2-user@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# 12 services UP avec --profile linux</w:t>
      </w:r>
      <w:r>
        <w:br/>
      </w:r>
      <w:r>
        <w:rPr>
          <w:rStyle w:val="BuiltInTok"/>
        </w:rPr>
        <w:t xml:space="preserve">exit</w:t>
      </w:r>
    </w:p>
    <w:p>
      <w:pPr>
        <w:pStyle w:val="FirstParagraph"/>
      </w:pPr>
      <w:r>
        <w:rPr>
          <w:b/>
        </w:rPr>
        <w:t xml:space="preserve">Validation staging :</w:t>
      </w:r>
      <w:r>
        <w:t xml:space="preserve"> </w:t>
      </w:r>
      <w:r>
        <w:t xml:space="preserve">ouvrir</w:t>
      </w:r>
      <w:r>
        <w:t xml:space="preserve"> </w:t>
      </w:r>
      <w:r>
        <w:rPr>
          <w:rStyle w:val="VerbatimChar"/>
        </w:rPr>
        <w:t xml:space="preserve">grafana_url</w:t>
      </w:r>
      <w:r>
        <w:t xml:space="preserve">, vérifier le dashboard</w:t>
      </w:r>
      <w:r>
        <w:t xml:space="preserve"> </w:t>
      </w:r>
      <w:r>
        <w:rPr>
          <w:i/>
        </w:rPr>
        <w:t xml:space="preserve">Business Metrics</w:t>
      </w:r>
      <w:r>
        <w:t xml:space="preserve">. Déclencher manuellement une alerte (arrêt d’un service) et vérifier la réception sur le channel Discord</w:t>
      </w:r>
      <w:r>
        <w:t xml:space="preserve"> </w:t>
      </w:r>
      <w:r>
        <w:rPr>
          <w:rStyle w:val="VerbatimChar"/>
        </w:rPr>
        <w:t xml:space="preserve">#alerts-staging</w:t>
      </w:r>
      <w:r>
        <w:t xml:space="preserve">.</w:t>
      </w:r>
    </w:p>
    <w:p>
      <w:pPr>
        <w:pStyle w:val="Heading1"/>
      </w:pPr>
      <w:bookmarkStart w:id="25" w:name="X8c5c0830518ab83ad0ab6a4284c2219966e8cb3"/>
      <w:r>
        <w:t xml:space="preserve">6. Procédure d’installation — environnement PRODUCTION</w:t>
      </w:r>
      <w:bookmarkEnd w:id="25"/>
    </w:p>
    <w:p>
      <w:pPr>
        <w:pStyle w:val="FirstParagraph"/>
      </w:pPr>
      <w:r>
        <w:t xml:space="preserve">La procédure suit les mêmes étapes que staging, avec ces différences 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Instance EC2 dimensionnée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t3.small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t3.medium</w:t>
      </w:r>
      <w:r>
        <w:t xml:space="preserve"> </w:t>
      </w:r>
      <w:r>
        <w:t xml:space="preserve">(plus de RAM pour Elasticsearch)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EBS chiffré avec clé KMS dédiée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kms_key_id</w:t>
      </w:r>
      <w:r>
        <w:t xml:space="preserve"> </w:t>
      </w:r>
      <w:r>
        <w:t xml:space="preserve">à renseigner dans</w:t>
      </w:r>
      <w:r>
        <w:t xml:space="preserve"> </w:t>
      </w:r>
      <w:r>
        <w:rPr>
          <w:rStyle w:val="VerbatimChar"/>
        </w:rPr>
        <w:t xml:space="preserve">aws_instance.root_block_device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Security Group restreint</w:t>
      </w:r>
      <w:r>
        <w:t xml:space="preserve"> </w:t>
      </w:r>
      <w:r>
        <w:t xml:space="preserve">: SSH uniquement depuis le bastion entreprise, ports 80/443 exposés via Application Load Balancer + ACM (à provisionner ultérieurement)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Secrets gérés via AWS Systems Manager Parameter Store</w:t>
      </w:r>
      <w:r>
        <w:t xml:space="preserve"> </w:t>
      </w:r>
      <w:r>
        <w:t xml:space="preserve">(cible) plutôt que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; en transition,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est chiffré localement avec</w:t>
      </w:r>
      <w:r>
        <w:t xml:space="preserve"> </w:t>
      </w:r>
      <w:r>
        <w:rPr>
          <w:rStyle w:val="VerbatimChar"/>
        </w:rPr>
        <w:t xml:space="preserve">git-crypt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sops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Backups Postgres planifiés</w:t>
      </w:r>
      <w:r>
        <w:t xml:space="preserve"> </w:t>
      </w:r>
      <w:r>
        <w:t xml:space="preserve">(cible RDS) avec rétention 7 jours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Monitoring du monitoring</w:t>
      </w:r>
      <w:r>
        <w:t xml:space="preserve"> </w:t>
      </w:r>
      <w:r>
        <w:t xml:space="preserve">: un Prometheus externe (CloudWatch Synthetics) probe les endpoints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toutes les 60 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Procédure de rollback</w:t>
      </w:r>
      <w:r>
        <w:t xml:space="preserve"> </w:t>
      </w:r>
      <w:r>
        <w:t xml:space="preserve">documentée (voir section 9)</w:t>
      </w:r>
    </w:p>
    <w:p>
      <w:pPr>
        <w:pStyle w:val="SourceCode"/>
      </w:pPr>
      <w:r>
        <w:rPr>
          <w:rStyle w:val="CommentTok"/>
        </w:rPr>
        <w:t xml:space="preserve"># Specifique production :</w:t>
      </w:r>
      <w:r>
        <w:br/>
      </w:r>
      <w:r>
        <w:rPr>
          <w:rStyle w:val="CommentTok"/>
        </w:rPr>
        <w:t xml:space="preserve"># 1. Charger les secrets depuis AWS SSM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TF_VAR_jwt_secret=$(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ssm get-parameter --name /devops/jwt_secret --with-decryption --query Parameter.Value --output text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TF_VAR_postgres_password=$(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ssm get-parameter --name /devops/postgres_password --with-decryption --query Parameter.Value --output text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Apply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-var-file=production.tfvars</w:t>
      </w:r>
    </w:p>
    <w:p>
      <w:pPr>
        <w:pStyle w:val="Heading1"/>
      </w:pPr>
      <w:bookmarkStart w:id="26" w:name="X55a5d544061881125d0830672277e193251e549"/>
      <w:r>
        <w:t xml:space="preserve">7. Variables d’environnement — référence complète</w:t>
      </w:r>
      <w:bookmarkEnd w:id="26"/>
    </w:p>
    <w:p>
      <w:pPr>
        <w:pStyle w:val="FirstParagraph"/>
      </w:pPr>
      <w:r>
        <w:t xml:space="preserve">Le fichier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documente toutes les variables d’environnement. Extrait :</w:t>
      </w:r>
    </w:p>
    <w:p>
      <w:pPr>
        <w:pStyle w:val="SourceCode"/>
      </w:pPr>
      <w:r>
        <w:rPr>
          <w:rStyle w:val="CommentTok"/>
        </w:rPr>
        <w:t xml:space="preserve"># ===== Application =====</w:t>
      </w:r>
      <w:r>
        <w:br/>
      </w:r>
      <w:r>
        <w:rPr>
          <w:rStyle w:val="VariableTok"/>
        </w:rPr>
        <w:t xml:space="preserve">JWT_SECRET=</w:t>
      </w:r>
      <w:r>
        <w:rPr>
          <w:rStyle w:val="OperatorTok"/>
        </w:rPr>
        <w:t xml:space="preserve">&lt;</w:t>
      </w:r>
      <w:r>
        <w:rPr>
          <w:rStyle w:val="ExtensionTok"/>
        </w:rPr>
        <w:t xml:space="preserve">chaine_aleatoire_32_chars_minimum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===== PostgreSQL =====</w:t>
      </w:r>
      <w:r>
        <w:br/>
      </w:r>
      <w:r>
        <w:rPr>
          <w:rStyle w:val="VariableTok"/>
        </w:rPr>
        <w:t xml:space="preserve">POSTGRES_USER=</w:t>
      </w:r>
      <w:r>
        <w:rPr>
          <w:rStyle w:val="NormalTok"/>
        </w:rPr>
        <w:t xml:space="preserve">monitoring</w:t>
      </w:r>
      <w:r>
        <w:br/>
      </w:r>
      <w:r>
        <w:rPr>
          <w:rStyle w:val="VariableTok"/>
        </w:rPr>
        <w:t xml:space="preserve">POSTGRES_PASSWORD=</w:t>
      </w:r>
      <w:r>
        <w:rPr>
          <w:rStyle w:val="OperatorTok"/>
        </w:rPr>
        <w:t xml:space="preserve">&lt;</w:t>
      </w:r>
      <w:r>
        <w:rPr>
          <w:rStyle w:val="ExtensionTok"/>
        </w:rPr>
        <w:t xml:space="preserve">password_fort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POSTGRES_DB=</w:t>
      </w:r>
      <w:r>
        <w:rPr>
          <w:rStyle w:val="NormalTok"/>
        </w:rPr>
        <w:t xml:space="preserve">monitoring</w:t>
      </w:r>
      <w:r>
        <w:br/>
      </w:r>
      <w:r>
        <w:br/>
      </w:r>
      <w:r>
        <w:rPr>
          <w:rStyle w:val="CommentTok"/>
        </w:rPr>
        <w:t xml:space="preserve"># ===== Grafana =====</w:t>
      </w:r>
      <w:r>
        <w:br/>
      </w:r>
      <w:r>
        <w:rPr>
          <w:rStyle w:val="VariableTok"/>
        </w:rPr>
        <w:t xml:space="preserve">GRAFANA_USER=</w:t>
      </w:r>
      <w:r>
        <w:rPr>
          <w:rStyle w:val="NormalTok"/>
        </w:rPr>
        <w:t xml:space="preserve">admin</w:t>
      </w:r>
      <w:r>
        <w:br/>
      </w:r>
      <w:r>
        <w:rPr>
          <w:rStyle w:val="VariableTok"/>
        </w:rPr>
        <w:t xml:space="preserve">GRAFANA_PASSWORD=</w:t>
      </w:r>
      <w:r>
        <w:rPr>
          <w:rStyle w:val="OperatorTok"/>
        </w:rPr>
        <w:t xml:space="preserve">&lt;</w:t>
      </w:r>
      <w:r>
        <w:rPr>
          <w:rStyle w:val="ExtensionTok"/>
        </w:rPr>
        <w:t xml:space="preserve">password_fort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===== AlertManager — Discord =====</w:t>
      </w:r>
      <w:r>
        <w:br/>
      </w:r>
      <w:r>
        <w:rPr>
          <w:rStyle w:val="VariableTok"/>
        </w:rPr>
        <w:t xml:space="preserve">DISCORD_WEBHOOK_URL=</w:t>
      </w:r>
      <w:r>
        <w:rPr>
          <w:rStyle w:val="NormalTok"/>
        </w:rPr>
        <w:t xml:space="preserve">https://discord.com/api/webhooks/</w:t>
      </w:r>
      <w:r>
        <w:rPr>
          <w:rStyle w:val="OperatorTok"/>
        </w:rPr>
        <w:t xml:space="preserve">&lt;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===== AlertManager — Email (optionnel) =====</w:t>
      </w:r>
      <w:r>
        <w:br/>
      </w:r>
      <w:r>
        <w:rPr>
          <w:rStyle w:val="VariableTok"/>
        </w:rPr>
        <w:t xml:space="preserve">SMTP_HOST=</w:t>
      </w:r>
      <w:r>
        <w:rPr>
          <w:rStyle w:val="NormalTok"/>
        </w:rPr>
        <w:t xml:space="preserve">smtp.gmail.com</w:t>
      </w:r>
      <w:r>
        <w:br/>
      </w:r>
      <w:r>
        <w:rPr>
          <w:rStyle w:val="VariableTok"/>
        </w:rPr>
        <w:t xml:space="preserve">SMTP_PORT=</w:t>
      </w:r>
      <w:r>
        <w:rPr>
          <w:rStyle w:val="NormalTok"/>
        </w:rPr>
        <w:t xml:space="preserve">587</w:t>
      </w:r>
      <w:r>
        <w:br/>
      </w:r>
      <w:r>
        <w:rPr>
          <w:rStyle w:val="VariableTok"/>
        </w:rPr>
        <w:t xml:space="preserve">SMTP_FROM=</w:t>
      </w:r>
      <w:r>
        <w:rPr>
          <w:rStyle w:val="NormalTok"/>
        </w:rPr>
        <w:t xml:space="preserve">alerts</w:t>
      </w:r>
      <w:r>
        <w:rPr>
          <w:rStyle w:val="ExtensionTok"/>
        </w:rPr>
        <w:t xml:space="preserve">@example.com</w:t>
      </w:r>
      <w:r>
        <w:br/>
      </w:r>
      <w:r>
        <w:rPr>
          <w:rStyle w:val="VariableTok"/>
        </w:rPr>
        <w:t xml:space="preserve">SMTP_USER=</w:t>
      </w:r>
      <w:r>
        <w:rPr>
          <w:rStyle w:val="NormalTok"/>
        </w:rPr>
        <w:t xml:space="preserve">alerts</w:t>
      </w:r>
      <w:r>
        <w:rPr>
          <w:rStyle w:val="ExtensionTok"/>
        </w:rPr>
        <w:t xml:space="preserve">@example.com</w:t>
      </w:r>
      <w:r>
        <w:br/>
      </w:r>
      <w:r>
        <w:rPr>
          <w:rStyle w:val="VariableTok"/>
        </w:rPr>
        <w:t xml:space="preserve">SMTP_PASSWORD=</w:t>
      </w:r>
      <w:r>
        <w:rPr>
          <w:rStyle w:val="OperatorTok"/>
        </w:rPr>
        <w:t xml:space="preserve">&lt;</w:t>
      </w:r>
      <w:r>
        <w:rPr>
          <w:rStyle w:val="ExtensionTok"/>
        </w:rPr>
        <w:t xml:space="preserve">gmail_app_password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ALERT_EMAIL_TO=</w:t>
      </w:r>
      <w:r>
        <w:rPr>
          <w:rStyle w:val="NormalTok"/>
        </w:rPr>
        <w:t xml:space="preserve">destinataire</w:t>
      </w:r>
      <w:r>
        <w:rPr>
          <w:rStyle w:val="ExtensionTok"/>
        </w:rPr>
        <w:t xml:space="preserve">@example.com</w:t>
      </w:r>
    </w:p>
    <w:p>
      <w:pPr>
        <w:pStyle w:val="FirstParagraph"/>
      </w:pPr>
      <w:r>
        <w:rPr>
          <w:b/>
        </w:rPr>
        <w:t xml:space="preserve">Règle absolue :</w:t>
      </w:r>
      <w:r>
        <w:t xml:space="preserve"> </w:t>
      </w:r>
      <w:r>
        <w:t xml:space="preserve">aucun fichier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(sans extension) n’est versionné dans Git. Seul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(placeholders) est dans le repo.</w:t>
      </w:r>
    </w:p>
    <w:p>
      <w:pPr>
        <w:pStyle w:val="Heading1"/>
      </w:pPr>
      <w:bookmarkStart w:id="27" w:name="runbook-opérationnel"/>
      <w:r>
        <w:t xml:space="preserve">8. Runbook opérationnel</w:t>
      </w:r>
      <w:bookmarkEnd w:id="27"/>
    </w:p>
    <w:p>
      <w:pPr>
        <w:pStyle w:val="Heading2"/>
      </w:pPr>
      <w:bookmarkStart w:id="28" w:name="démarrage-de-la-stack"/>
      <w:r>
        <w:t xml:space="preserve">8.1 Démarrage de la stack</w:t>
      </w:r>
      <w:bookmarkEnd w:id="28"/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-d                          # dev / staging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--profile linux up -d          # prod (Linux)</w:t>
      </w:r>
    </w:p>
    <w:p>
      <w:pPr>
        <w:pStyle w:val="Heading2"/>
      </w:pPr>
      <w:bookmarkStart w:id="29" w:name="arrêt-de-la-stack-préserve-les-volumes"/>
      <w:r>
        <w:t xml:space="preserve">8.2 Arrêt de la stack (préserve les volumes)</w:t>
      </w:r>
      <w:bookmarkEnd w:id="29"/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p>
      <w:pPr>
        <w:pStyle w:val="Heading2"/>
      </w:pPr>
      <w:bookmarkStart w:id="30" w:name="X24b34bc7d14321821593022dfc23043e22c0c0f"/>
      <w:r>
        <w:t xml:space="preserve">8.3 Arrêt + suppression des volumes (perte de données)</w:t>
      </w:r>
      <w:bookmarkEnd w:id="30"/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-v</w:t>
      </w:r>
    </w:p>
    <w:p>
      <w:pPr>
        <w:pStyle w:val="Heading2"/>
      </w:pPr>
      <w:bookmarkStart w:id="31" w:name="logs-en-temps-réel-dun-service"/>
      <w:r>
        <w:t xml:space="preserve">8.4 Logs en temps réel d’un service</w:t>
      </w:r>
      <w:bookmarkEnd w:id="31"/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-f backend          # uniquement le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-f --tail=100       # tous les services, 100 lignes</w:t>
      </w:r>
    </w:p>
    <w:p>
      <w:pPr>
        <w:pStyle w:val="Heading2"/>
      </w:pPr>
      <w:bookmarkStart w:id="32" w:name="mise-à-jour-applicative-déploiement"/>
      <w:r>
        <w:t xml:space="preserve">8.5 Mise à jour applicative (déploiement)</w:t>
      </w:r>
      <w:bookmarkEnd w:id="32"/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backend --no-cache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-d backend</w:t>
      </w:r>
    </w:p>
    <w:p>
      <w:pPr>
        <w:pStyle w:val="Heading2"/>
      </w:pPr>
      <w:bookmarkStart w:id="33" w:name="sauvegarde-manuelle-postgres"/>
      <w:r>
        <w:t xml:space="preserve">8.6 Sauvegarde manuelle Postgres</w:t>
      </w:r>
      <w:bookmarkEnd w:id="33"/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db pg_dump -U monitoring monitoring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p>
      <w:pPr>
        <w:pStyle w:val="Heading2"/>
      </w:pPr>
      <w:bookmarkStart w:id="34" w:name="restauration-postgres"/>
      <w:r>
        <w:t xml:space="preserve">8.7 Restauration Postgres</w:t>
      </w:r>
      <w:bookmarkEnd w:id="34"/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backup-2026-05-18.sql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-T db psql -U monitoring monitoring</w:t>
      </w:r>
    </w:p>
    <w:p>
      <w:pPr>
        <w:pStyle w:val="Heading2"/>
      </w:pPr>
      <w:bookmarkStart w:id="35" w:name="vérification-de-la-santé-globale"/>
      <w:r>
        <w:t xml:space="preserve">8.8 Vérification de la santé globale</w:t>
      </w:r>
      <w:bookmarkEnd w:id="35"/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                 # tous services running/healthy ?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http://localhost:8000/health      # backend repond ?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http://localhost:9090/-/healthy   # Prometheus repond ?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http://localhost:9200/_cluster/health  # Elasticsearch repond ?</w:t>
      </w:r>
    </w:p>
    <w:p>
      <w:pPr>
        <w:pStyle w:val="Heading1"/>
      </w:pPr>
      <w:bookmarkStart w:id="36" w:name="plan-de-rollback"/>
      <w:r>
        <w:t xml:space="preserve">9. Plan de rollback</w:t>
      </w:r>
      <w:bookmarkEnd w:id="36"/>
    </w:p>
    <w:p>
      <w:pPr>
        <w:pStyle w:val="FirstParagraph"/>
      </w:pPr>
      <w:r>
        <w:t xml:space="preserve">En cas de déploiement défaillant, la procédure de rollback est la suivante :</w:t>
      </w:r>
    </w:p>
    <w:p>
      <w:pPr>
        <w:numPr>
          <w:ilvl w:val="0"/>
          <w:numId w:val="1002"/>
        </w:numPr>
      </w:pPr>
      <w:r>
        <w:rPr>
          <w:b/>
        </w:rPr>
        <w:t xml:space="preserve">Identifier la version précédente fonctionnelle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log --oneline -5</w:t>
      </w:r>
    </w:p>
    <w:p>
      <w:pPr>
        <w:numPr>
          <w:ilvl w:val="0"/>
          <w:numId w:val="1002"/>
        </w:numPr>
      </w:pPr>
      <w:r>
        <w:rPr>
          <w:b/>
        </w:rPr>
        <w:t xml:space="preserve">Revenir au commit précédent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checkout &lt;SHA&gt;</w:t>
      </w:r>
    </w:p>
    <w:p>
      <w:pPr>
        <w:numPr>
          <w:ilvl w:val="0"/>
          <w:numId w:val="1002"/>
        </w:numPr>
      </w:pPr>
      <w:r>
        <w:rPr>
          <w:b/>
        </w:rPr>
        <w:t xml:space="preserve">Rebuild et redémarrer le service concerné</w:t>
      </w:r>
      <w:r>
        <w:t xml:space="preserve"> 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backend --no-cache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-d backend</w:t>
      </w:r>
    </w:p>
    <w:p>
      <w:pPr>
        <w:numPr>
          <w:ilvl w:val="0"/>
          <w:numId w:val="1002"/>
        </w:numPr>
      </w:pPr>
      <w:r>
        <w:rPr>
          <w:b/>
        </w:rPr>
        <w:t xml:space="preserve">Vérifier le retour à la normale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curl /health</w:t>
      </w:r>
      <w:r>
        <w:t xml:space="preserve"> </w:t>
      </w:r>
      <w:r>
        <w:t xml:space="preserve">+ dashboard Grafana</w:t>
      </w:r>
    </w:p>
    <w:p>
      <w:pPr>
        <w:numPr>
          <w:ilvl w:val="0"/>
          <w:numId w:val="1002"/>
        </w:numPr>
      </w:pPr>
      <w:r>
        <w:rPr>
          <w:b/>
        </w:rPr>
        <w:t xml:space="preserve">Restaurer Postgres si nécessaire</w:t>
      </w:r>
      <w:r>
        <w:t xml:space="preserve"> </w:t>
      </w:r>
      <w:r>
        <w:t xml:space="preserve">(cf. §8.7)</w:t>
      </w:r>
    </w:p>
    <w:p>
      <w:pPr>
        <w:numPr>
          <w:ilvl w:val="0"/>
          <w:numId w:val="1002"/>
        </w:numPr>
      </w:pPr>
      <w:r>
        <w:rPr>
          <w:b/>
        </w:rPr>
        <w:t xml:space="preserve">Documenter le rollback</w:t>
      </w:r>
      <w:r>
        <w:t xml:space="preserve"> </w:t>
      </w:r>
      <w:r>
        <w:t xml:space="preserve">dans un post-mortem (</w:t>
      </w:r>
      <w:r>
        <w:rPr>
          <w:rStyle w:val="VerbatimChar"/>
        </w:rPr>
        <w:t xml:space="preserve">docs/post-mortems/YYYY-MM-DD.md</w:t>
      </w:r>
      <w:r>
        <w:t xml:space="preserve">)</w:t>
      </w:r>
    </w:p>
    <w:p>
      <w:pPr>
        <w:pStyle w:val="FirstParagraph"/>
      </w:pPr>
      <w:r>
        <w:rPr>
          <w:b/>
        </w:rPr>
        <w:t xml:space="preserve">Temps cible de rollback :</w:t>
      </w:r>
      <w:r>
        <w:t xml:space="preserve"> </w:t>
      </w:r>
      <w:r>
        <w:t xml:space="preserve">moins de 10 minutes pour un service backend, moins de 30 minutes pour un rollback complet de la stack.</w:t>
      </w:r>
    </w:p>
    <w:p>
      <w:pPr>
        <w:pStyle w:val="Heading1"/>
      </w:pPr>
      <w:bookmarkStart w:id="37" w:name="documentation-produite-cette-semaine"/>
      <w:r>
        <w:t xml:space="preserve">10. Documentation produite cette semaine</w:t>
      </w:r>
      <w:bookmarkEnd w:id="37"/>
    </w:p>
    <w:tbl>
      <w:tblPr>
        <w:tblStyle w:val="Table"/>
        <w:tblW w:type="pct" w:w="5000.0"/>
        <w:tblLook w:firstRow="1"/>
      </w:tblPr>
      <w:tblGrid>
        <w:gridCol w:w="2140"/>
        <w:gridCol w:w="2996"/>
        <w:gridCol w:w="278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Localisation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Cahier des charges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docs/CDC.md</w:t>
            </w:r>
          </w:p>
        </w:tc>
        <w:tc>
          <w:p>
            <w:pPr>
              <w:pStyle w:val="Compact"/>
              <w:jc w:val="left"/>
            </w:pPr>
            <w:r>
              <w:t xml:space="preserve">Présentation du projet, problématique, 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docs/architecture.md</w:t>
            </w:r>
          </w:p>
        </w:tc>
        <w:tc>
          <w:p>
            <w:pPr>
              <w:pStyle w:val="Compact"/>
              <w:jc w:val="left"/>
            </w:pPr>
            <w:r>
              <w:t xml:space="preserve">Diagrammes et choix technologiques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Metrics (BC03-CP2)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docs/business-metrics.md</w:t>
            </w:r>
          </w:p>
        </w:tc>
        <w:tc>
          <w:p>
            <w:pPr>
              <w:pStyle w:val="Compact"/>
              <w:jc w:val="left"/>
            </w:pPr>
            <w:r>
              <w:t xml:space="preserve">KPIs métier, capacity planning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Runbook tests E2E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docs/RUNBOOK.md</w:t>
            </w:r>
          </w:p>
        </w:tc>
        <w:tc>
          <w:p>
            <w:pPr>
              <w:pStyle w:val="Compact"/>
              <w:jc w:val="left"/>
            </w:pPr>
            <w:r>
              <w:t xml:space="preserve">Procédures de validation post-déploiement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Guide Terraform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terraform/README.md</w:t>
            </w:r>
          </w:p>
        </w:tc>
        <w:tc>
          <w:p>
            <w:pPr>
              <w:pStyle w:val="Compact"/>
              <w:jc w:val="left"/>
            </w:pPr>
            <w:r>
              <w:t xml:space="preserve">Déploiement AWS détaillé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README projet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p>
            <w:pPr>
              <w:pStyle w:val="Compact"/>
              <w:jc w:val="left"/>
            </w:pPr>
            <w:r>
              <w:t xml:space="preserve">Démarrage rapide, URLs, structure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</w:p>
        </w:tc>
        <w:tc>
          <w:p>
            <w:pPr>
              <w:pStyle w:val="Compact"/>
              <w:jc w:val="left"/>
            </w:pPr>
            <w:r>
              <w:t xml:space="preserve">racine</w:t>
            </w:r>
          </w:p>
        </w:tc>
        <w:tc>
          <w:p>
            <w:pPr>
              <w:pStyle w:val="Compact"/>
              <w:jc w:val="left"/>
            </w:pPr>
            <w:r>
              <w:t xml:space="preserve">Toutes les variables d’environnement documentées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Dossier Projet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docs/dossier-projet/Dossier-Projet-Yassine-TAIFI.pdf</w:t>
            </w:r>
          </w:p>
        </w:tc>
        <w:tc>
          <w:p>
            <w:pPr>
              <w:pStyle w:val="Compact"/>
              <w:jc w:val="left"/>
            </w:pPr>
            <w:r>
              <w:t xml:space="preserve">Document technique complet (27 pages)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Dossier Professionnel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docs/dossier-professionnel/Dossier-Professionnel-Yassine-TAIFI.pdf</w:t>
            </w:r>
          </w:p>
        </w:tc>
        <w:tc>
          <w:p>
            <w:pPr>
              <w:pStyle w:val="Compact"/>
              <w:jc w:val="left"/>
            </w:pPr>
            <w:r>
              <w:t xml:space="preserve">DP RNCP officiel (20 pages)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Rapport Tests (B3-CP1)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docs/rapports/Rapport-B3-CP1-Tests.pdf</w:t>
            </w:r>
          </w:p>
        </w:tc>
        <w:tc>
          <w:p>
            <w:pPr>
              <w:pStyle w:val="Compact"/>
              <w:jc w:val="left"/>
            </w:pPr>
            <w:r>
              <w:t xml:space="preserve">Plans de tests et résultats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Rapport Déploiement (B3-CP2)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docs/rapports/Rapport-B3-CP2-Deploiement.pdf</w:t>
            </w:r>
          </w:p>
        </w:tc>
        <w:tc>
          <w:p>
            <w:pPr>
              <w:pStyle w:val="Compact"/>
              <w:jc w:val="left"/>
            </w:pPr>
            <w:r>
              <w:t xml:space="preserve">Ce rapport</w:t>
            </w:r>
          </w:p>
        </w:tc>
      </w:tr>
    </w:tbl>
    <w:p>
      <w:pPr>
        <w:pStyle w:val="Heading1"/>
      </w:pPr>
      <w:bookmarkStart w:id="38" w:name="X326c80977980a749e5753abe175d9f2211b626d"/>
      <w:r>
        <w:t xml:space="preserve">11. Préparation des environnements cibles — checklist</w:t>
      </w:r>
      <w:bookmarkEnd w:id="38"/>
    </w:p>
    <w:p>
      <w:pPr>
        <w:pStyle w:val="Heading2"/>
      </w:pPr>
      <w:bookmarkStart w:id="39" w:name="dev-local"/>
      <w:r>
        <w:t xml:space="preserve">DEV (local)</w:t>
      </w:r>
      <w:bookmarkEnd w:id="39"/>
    </w:p>
    <w:p>
      <w:pPr>
        <w:numPr>
          <w:ilvl w:val="0"/>
          <w:numId w:val="1003"/>
        </w:numPr>
        <w:pStyle w:val="Compact"/>
      </w:pPr>
      <w:r>
        <w:t xml:space="preserve">☒ Docker Desktop installé sur Windows / macOS</w:t>
      </w:r>
    </w:p>
    <w:p>
      <w:pPr>
        <w:numPr>
          <w:ilvl w:val="0"/>
          <w:numId w:val="1003"/>
        </w:numPr>
        <w:pStyle w:val="Compact"/>
      </w:pPr>
      <w:r>
        <w:t xml:space="preserve">☒ Repository cloné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créé à partir de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réussit (10 services up)</w:t>
      </w:r>
    </w:p>
    <w:p>
      <w:pPr>
        <w:numPr>
          <w:ilvl w:val="0"/>
          <w:numId w:val="1003"/>
        </w:numPr>
        <w:pStyle w:val="Compact"/>
      </w:pPr>
      <w:r>
        <w:t xml:space="preserve">☒ URL frontend accessible (http://localhost:3000)</w:t>
      </w:r>
    </w:p>
    <w:p>
      <w:pPr>
        <w:numPr>
          <w:ilvl w:val="0"/>
          <w:numId w:val="1003"/>
        </w:numPr>
        <w:pStyle w:val="Compact"/>
      </w:pPr>
      <w:r>
        <w:t xml:space="preserve">☒ Dashboard Grafana accessible (http://localhost:3001)</w:t>
      </w:r>
    </w:p>
    <w:p>
      <w:pPr>
        <w:pStyle w:val="Heading2"/>
      </w:pPr>
      <w:bookmarkStart w:id="40" w:name="staging"/>
      <w:r>
        <w:t xml:space="preserve">STAGING</w:t>
      </w:r>
      <w:bookmarkEnd w:id="40"/>
    </w:p>
    <w:p>
      <w:pPr>
        <w:numPr>
          <w:ilvl w:val="0"/>
          <w:numId w:val="1004"/>
        </w:numPr>
        <w:pStyle w:val="Compact"/>
      </w:pPr>
      <w:r>
        <w:t xml:space="preserve">☐ Compte AWS configuré</w:t>
      </w:r>
    </w:p>
    <w:p>
      <w:pPr>
        <w:numPr>
          <w:ilvl w:val="0"/>
          <w:numId w:val="1004"/>
        </w:numPr>
        <w:pStyle w:val="Compact"/>
      </w:pPr>
      <w:r>
        <w:t xml:space="preserve">☐ Key pair SSH créée dans la région cible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terraform.tfvars</w:t>
      </w:r>
      <w:r>
        <w:t xml:space="preserve"> </w:t>
      </w:r>
      <w:r>
        <w:t xml:space="preserve">renseigné avec</w:t>
      </w:r>
      <w:r>
        <w:t xml:space="preserve"> </w:t>
      </w:r>
      <w:r>
        <w:rPr>
          <w:rStyle w:val="VerbatimChar"/>
        </w:rPr>
        <w:t xml:space="preserve">ssh_cidr</w:t>
      </w:r>
      <w:r>
        <w:t xml:space="preserve"> </w:t>
      </w:r>
      <w:r>
        <w:t xml:space="preserve">du poste de déploiement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réussi</w:t>
      </w:r>
    </w:p>
    <w:p>
      <w:pPr>
        <w:numPr>
          <w:ilvl w:val="0"/>
          <w:numId w:val="1004"/>
        </w:numPr>
        <w:pStyle w:val="Compact"/>
      </w:pPr>
      <w:r>
        <w:t xml:space="preserve">☐ EC2 accessible par SSH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 </w:t>
      </w:r>
      <w:r>
        <w:t xml:space="preserve">retourne 12 services</w:t>
      </w:r>
    </w:p>
    <w:p>
      <w:pPr>
        <w:numPr>
          <w:ilvl w:val="0"/>
          <w:numId w:val="1004"/>
        </w:numPr>
        <w:pStyle w:val="Compact"/>
      </w:pPr>
      <w:r>
        <w:t xml:space="preserve">☐ Webhook Discord staging configuré et testé</w:t>
      </w:r>
    </w:p>
    <w:p>
      <w:pPr>
        <w:pStyle w:val="Heading2"/>
      </w:pPr>
      <w:bookmarkStart w:id="41" w:name="production-cible"/>
      <w:r>
        <w:t xml:space="preserve">PRODUCTION (cible)</w:t>
      </w:r>
      <w:bookmarkEnd w:id="41"/>
    </w:p>
    <w:p>
      <w:pPr>
        <w:numPr>
          <w:ilvl w:val="0"/>
          <w:numId w:val="1005"/>
        </w:numPr>
        <w:pStyle w:val="Compact"/>
      </w:pPr>
      <w:r>
        <w:t xml:space="preserve">☐ AWS organization + compte de production isolé</w:t>
      </w:r>
    </w:p>
    <w:p>
      <w:pPr>
        <w:numPr>
          <w:ilvl w:val="0"/>
          <w:numId w:val="1005"/>
        </w:numPr>
        <w:pStyle w:val="Compact"/>
      </w:pPr>
      <w:r>
        <w:t xml:space="preserve">☐ Secrets stockés dans AWS SSM Parameter Store</w:t>
      </w:r>
    </w:p>
    <w:p>
      <w:pPr>
        <w:numPr>
          <w:ilvl w:val="0"/>
          <w:numId w:val="1005"/>
        </w:numPr>
        <w:pStyle w:val="Compact"/>
      </w:pPr>
      <w:r>
        <w:t xml:space="preserve">☐ EC2 dimensionnée (t3.small minimum)</w:t>
      </w:r>
    </w:p>
    <w:p>
      <w:pPr>
        <w:numPr>
          <w:ilvl w:val="0"/>
          <w:numId w:val="1005"/>
        </w:numPr>
        <w:pStyle w:val="Compact"/>
      </w:pPr>
      <w:r>
        <w:t xml:space="preserve">☐ EBS chiffré avec KMS dédié</w:t>
      </w:r>
    </w:p>
    <w:p>
      <w:pPr>
        <w:numPr>
          <w:ilvl w:val="0"/>
          <w:numId w:val="1005"/>
        </w:numPr>
        <w:pStyle w:val="Compact"/>
      </w:pPr>
      <w:r>
        <w:t xml:space="preserve">☐ Security Group restreint (SSH bastion uniquement)</w:t>
      </w:r>
    </w:p>
    <w:p>
      <w:pPr>
        <w:numPr>
          <w:ilvl w:val="0"/>
          <w:numId w:val="1005"/>
        </w:numPr>
        <w:pStyle w:val="Compact"/>
      </w:pPr>
      <w:r>
        <w:t xml:space="preserve">☐ Application Load Balancer + ACM (HTTPS)</w:t>
      </w:r>
    </w:p>
    <w:p>
      <w:pPr>
        <w:numPr>
          <w:ilvl w:val="0"/>
          <w:numId w:val="1005"/>
        </w:numPr>
        <w:pStyle w:val="Compact"/>
      </w:pPr>
      <w:r>
        <w:t xml:space="preserve">☐ CloudWatch Synthetics pour le monitoring du monitoring</w:t>
      </w:r>
    </w:p>
    <w:p>
      <w:pPr>
        <w:numPr>
          <w:ilvl w:val="0"/>
          <w:numId w:val="1005"/>
        </w:numPr>
        <w:pStyle w:val="Compact"/>
      </w:pPr>
      <w:r>
        <w:t xml:space="preserve">☐ Backups Postgres planifiés</w:t>
      </w:r>
    </w:p>
    <w:p>
      <w:pPr>
        <w:numPr>
          <w:ilvl w:val="0"/>
          <w:numId w:val="1005"/>
        </w:numPr>
        <w:pStyle w:val="Compact"/>
      </w:pPr>
      <w:r>
        <w:t xml:space="preserve">☐ Procédure de rollback testée</w:t>
      </w:r>
    </w:p>
    <w:p>
      <w:pPr>
        <w:numPr>
          <w:ilvl w:val="0"/>
          <w:numId w:val="1005"/>
        </w:numPr>
        <w:pStyle w:val="Compact"/>
      </w:pPr>
      <w:r>
        <w:t xml:space="preserve">☐ Webhook Discord production avec</w:t>
      </w:r>
      <w:r>
        <w:t xml:space="preserve"> </w:t>
      </w:r>
      <w:r>
        <w:t xml:space="preserve">@everyone</w:t>
      </w:r>
      <w:r>
        <w:t xml:space="preserve"> </w:t>
      </w:r>
      <w:r>
        <w:t xml:space="preserve">sur sévérité critical</w:t>
      </w:r>
    </w:p>
    <w:p>
      <w:pPr>
        <w:numPr>
          <w:ilvl w:val="0"/>
          <w:numId w:val="1005"/>
        </w:numPr>
        <w:pStyle w:val="Compact"/>
      </w:pPr>
      <w:r>
        <w:t xml:space="preserve">☐ Documentation d’astreinte rédigée</w:t>
      </w:r>
    </w:p>
    <w:p>
      <w:pPr>
        <w:pStyle w:val="Heading1"/>
      </w:pPr>
      <w:bookmarkStart w:id="42" w:name="conclusion"/>
      <w:r>
        <w:t xml:space="preserve">12. Conclusion</w:t>
      </w:r>
      <w:bookmarkEnd w:id="42"/>
    </w:p>
    <w:p>
      <w:pPr>
        <w:pStyle w:val="FirstParagraph"/>
      </w:pPr>
      <w:r>
        <w:t xml:space="preserve">À l’issue de cette semaine, le projet</w:t>
      </w:r>
      <w:r>
        <w:t xml:space="preserve"> </w:t>
      </w:r>
      <w:r>
        <w:rPr>
          <w:b/>
        </w:rPr>
        <w:t xml:space="preserve">DevOps Monitoring Platform</w:t>
      </w:r>
      <w:r>
        <w:t xml:space="preserve"> </w:t>
      </w:r>
      <w:r>
        <w:t xml:space="preserve">dispose de :</w:t>
      </w:r>
    </w:p>
    <w:p>
      <w:pPr>
        <w:numPr>
          <w:ilvl w:val="0"/>
          <w:numId w:val="1006"/>
        </w:numPr>
        <w:pStyle w:val="Compact"/>
      </w:pPr>
      <w:r>
        <w:t xml:space="preserve">une</w:t>
      </w:r>
      <w:r>
        <w:t xml:space="preserve"> </w:t>
      </w:r>
      <w:r>
        <w:rPr>
          <w:b/>
        </w:rPr>
        <w:t xml:space="preserve">architecture de déploiement multi-environnements</w:t>
      </w:r>
      <w:r>
        <w:t xml:space="preserve"> </w:t>
      </w:r>
      <w:r>
        <w:t xml:space="preserve">(dev / staging / production) cohérente</w:t>
      </w:r>
    </w:p>
    <w:p>
      <w:pPr>
        <w:numPr>
          <w:ilvl w:val="0"/>
          <w:numId w:val="1006"/>
        </w:numPr>
        <w:pStyle w:val="Compact"/>
      </w:pPr>
      <w:r>
        <w:t xml:space="preserve">une</w:t>
      </w:r>
      <w:r>
        <w:t xml:space="preserve"> </w:t>
      </w:r>
      <w:r>
        <w:rPr>
          <w:b/>
        </w:rPr>
        <w:t xml:space="preserve">matrice de configuration</w:t>
      </w:r>
      <w:r>
        <w:t xml:space="preserve"> </w:t>
      </w:r>
      <w:r>
        <w:t xml:space="preserve">documentant les différences par environnement</w:t>
      </w:r>
    </w:p>
    <w:p>
      <w:pPr>
        <w:numPr>
          <w:ilvl w:val="0"/>
          <w:numId w:val="1006"/>
        </w:numPr>
        <w:pStyle w:val="Compact"/>
      </w:pPr>
      <w:r>
        <w:t xml:space="preserve">des</w:t>
      </w:r>
      <w:r>
        <w:t xml:space="preserve"> </w:t>
      </w:r>
      <w:r>
        <w:rPr>
          <w:b/>
        </w:rPr>
        <w:t xml:space="preserve">procédures d’installation</w:t>
      </w:r>
      <w:r>
        <w:t xml:space="preserve"> </w:t>
      </w:r>
      <w:r>
        <w:t xml:space="preserve">détaillées pour chaque environnement</w:t>
      </w:r>
    </w:p>
    <w:p>
      <w:pPr>
        <w:numPr>
          <w:ilvl w:val="0"/>
          <w:numId w:val="1006"/>
        </w:numPr>
        <w:pStyle w:val="Compact"/>
      </w:pPr>
      <w:r>
        <w:t xml:space="preserve">un</w:t>
      </w:r>
      <w:r>
        <w:t xml:space="preserve"> </w:t>
      </w:r>
      <w:r>
        <w:rPr>
          <w:b/>
        </w:rPr>
        <w:t xml:space="preserve">runbook opérationnel</w:t>
      </w:r>
      <w:r>
        <w:t xml:space="preserve"> </w:t>
      </w:r>
      <w:r>
        <w:t xml:space="preserve">couvrant les opérations courantes (démarrage, arrêt, logs, backup, restore)</w:t>
      </w:r>
    </w:p>
    <w:p>
      <w:pPr>
        <w:numPr>
          <w:ilvl w:val="0"/>
          <w:numId w:val="1006"/>
        </w:numPr>
        <w:pStyle w:val="Compact"/>
      </w:pPr>
      <w:r>
        <w:t xml:space="preserve">un</w:t>
      </w:r>
      <w:r>
        <w:t xml:space="preserve"> </w:t>
      </w:r>
      <w:r>
        <w:rPr>
          <w:b/>
        </w:rPr>
        <w:t xml:space="preserve">plan de rollback</w:t>
      </w:r>
      <w:r>
        <w:t xml:space="preserve"> </w:t>
      </w:r>
      <w:r>
        <w:t xml:space="preserve">documenté</w:t>
      </w:r>
    </w:p>
    <w:p>
      <w:pPr>
        <w:numPr>
          <w:ilvl w:val="0"/>
          <w:numId w:val="1006"/>
        </w:numPr>
        <w:pStyle w:val="Compact"/>
      </w:pPr>
      <w:r>
        <w:t xml:space="preserve">une</w:t>
      </w:r>
      <w:r>
        <w:t xml:space="preserve"> </w:t>
      </w:r>
      <w:r>
        <w:rPr>
          <w:b/>
        </w:rPr>
        <w:t xml:space="preserve">checklist de préparation</w:t>
      </w:r>
      <w:r>
        <w:t xml:space="preserve"> </w:t>
      </w:r>
      <w:r>
        <w:t xml:space="preserve">par environnement</w:t>
      </w:r>
    </w:p>
    <w:p>
      <w:pPr>
        <w:pStyle w:val="FirstParagraph"/>
      </w:pPr>
      <w:r>
        <w:t xml:space="preserve">L’environnement</w:t>
      </w:r>
      <w:r>
        <w:t xml:space="preserve"> </w:t>
      </w:r>
      <w:r>
        <w:rPr>
          <w:b/>
        </w:rPr>
        <w:t xml:space="preserve">dev</w:t>
      </w:r>
      <w:r>
        <w:t xml:space="preserve"> </w:t>
      </w:r>
      <w:r>
        <w:t xml:space="preserve">est entièrement opérationnel sur poste Windows. L’environnement</w:t>
      </w:r>
      <w:r>
        <w:t xml:space="preserve"> </w:t>
      </w:r>
      <w:r>
        <w:rPr>
          <w:b/>
        </w:rPr>
        <w:t xml:space="preserve">staging</w:t>
      </w:r>
      <w:r>
        <w:t xml:space="preserve"> </w:t>
      </w:r>
      <w:r>
        <w:t xml:space="preserve">est prêt à être déployé (Terraform validé en CI). L’environnement</w:t>
      </w:r>
      <w:r>
        <w:t xml:space="preserve"> </w:t>
      </w:r>
      <w:r>
        <w:rPr>
          <w:b/>
        </w:rPr>
        <w:t xml:space="preserve">production</w:t>
      </w:r>
      <w:r>
        <w:t xml:space="preserve"> </w:t>
      </w:r>
      <w:r>
        <w:t xml:space="preserve">dispose d’un cahier des charges précis pour son passage en mode opérationnel ; les points marqués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dans la checklist constituent les prochains chantiers (secrets management, ALB + HTTPS, monitoring externe).</w:t>
      </w:r>
    </w:p>
    <w:p>
      <w:pPr>
        <w:pStyle w:val="BodyText"/>
      </w:pPr>
      <w:r>
        <w:rPr>
          <w:b/>
        </w:rPr>
        <w:t xml:space="preserve">Compétence B3-CP2 considérée comme couverte.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— Documentation et préparation du déploiement</dc:title>
  <dc:creator>Yassine TAIFI BERNOUSSI — Administrateur Systèmes DevOps</dc:creator>
  <cp:keywords/>
  <dcterms:created xsi:type="dcterms:W3CDTF">2026-05-18T09:56:21Z</dcterms:created>
  <dcterms:modified xsi:type="dcterms:W3CDTF">2026-05-18T09:56:21Z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Jeudi 21 mai 2026</vt:lpwstr>
  </property>
  <property fmtid="{D5CDD505-2E9C-101B-9397-08002B2CF9AE}" pid="3" name="subtitle">
    <vt:lpwstr>Bloc 3 / Compétence CP2 — Semaine du 18 au 21 mai 2026</vt:lpwstr>
  </property>
</Properties>
</file>