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0E3B" w14:textId="77777777" w:rsidR="007070A9" w:rsidRDefault="00000000">
      <w:pPr>
        <w:spacing w:after="40"/>
      </w:pPr>
      <w:r>
        <w:rPr>
          <w:b/>
          <w:bCs/>
          <w:color w:val="1F3864"/>
          <w:sz w:val="40"/>
          <w:szCs w:val="40"/>
        </w:rPr>
        <w:t>CYBERSECURITY IN THE DIGITAL BANKING ERA</w:t>
      </w:r>
    </w:p>
    <w:p w14:paraId="476AC121" w14:textId="77777777" w:rsidR="007070A9" w:rsidRDefault="00000000">
      <w:pPr>
        <w:spacing w:after="160"/>
      </w:pPr>
      <w:r>
        <w:rPr>
          <w:i/>
          <w:iCs/>
          <w:color w:val="2E75B6"/>
          <w:sz w:val="26"/>
          <w:szCs w:val="26"/>
        </w:rPr>
        <w:t>Risks in India, the Ransomware Threat, and the Case for Zero Trust</w:t>
      </w:r>
    </w:p>
    <w:p w14:paraId="657FE4B4" w14:textId="4349467D" w:rsidR="007070A9" w:rsidRDefault="00000000">
      <w:pPr>
        <w:spacing w:after="40"/>
      </w:pPr>
      <w:r>
        <w:rPr>
          <w:color w:val="5A5A5A"/>
          <w:sz w:val="20"/>
          <w:szCs w:val="20"/>
        </w:rPr>
        <w:t xml:space="preserve">Prepared by: </w:t>
      </w:r>
      <w:r w:rsidR="00A02CE2">
        <w:rPr>
          <w:color w:val="5A5A5A"/>
          <w:sz w:val="20"/>
          <w:szCs w:val="20"/>
        </w:rPr>
        <w:t xml:space="preserve">Muzzamil </w:t>
      </w:r>
      <w:r>
        <w:rPr>
          <w:color w:val="5A5A5A"/>
          <w:sz w:val="20"/>
          <w:szCs w:val="20"/>
        </w:rPr>
        <w:t>Cybersecurity Professional  |  Date: June 1</w:t>
      </w:r>
      <w:r w:rsidR="00A02CE2">
        <w:rPr>
          <w:color w:val="5A5A5A"/>
          <w:sz w:val="20"/>
          <w:szCs w:val="20"/>
        </w:rPr>
        <w:t>2</w:t>
      </w:r>
      <w:r>
        <w:rPr>
          <w:color w:val="5A5A5A"/>
          <w:sz w:val="20"/>
          <w:szCs w:val="20"/>
        </w:rPr>
        <w:t>, 202</w:t>
      </w:r>
      <w:r w:rsidR="00A02CE2">
        <w:rPr>
          <w:color w:val="5A5A5A"/>
          <w:sz w:val="20"/>
          <w:szCs w:val="20"/>
        </w:rPr>
        <w:t>5</w:t>
      </w:r>
    </w:p>
    <w:p w14:paraId="7675C5CC" w14:textId="77777777" w:rsidR="007070A9" w:rsidRDefault="007070A9">
      <w:pPr>
        <w:pBdr>
          <w:bottom w:val="single" w:sz="8" w:space="4" w:color="2E75B6"/>
        </w:pBdr>
        <w:spacing w:before="60" w:after="220"/>
      </w:pPr>
    </w:p>
    <w:p w14:paraId="1F321F58" w14:textId="77777777" w:rsidR="007070A9" w:rsidRDefault="00000000">
      <w:pPr>
        <w:pStyle w:val="Heading1"/>
      </w:pPr>
      <w:r>
        <w:t>Executive Summary</w:t>
      </w:r>
    </w:p>
    <w:p w14:paraId="60E92CBD" w14:textId="77777777" w:rsidR="007070A9" w:rsidRDefault="00000000">
      <w:pPr>
        <w:spacing w:after="160" w:line="276" w:lineRule="auto"/>
        <w:jc w:val="both"/>
      </w:pPr>
      <w:r>
        <w:t>India's digital banking ecosystem has expanded faster than almost any other major market, with UPI alone projected to process over 130 billion transactions in 2025 and account for roughly 80% of retail payments. This growth has been accompanied by a parallel rise in fraud, ransomware, and systemic cyber risk across the financial sector. This paper examines three interconnected dimensions of that risk: the specific threat landscape facing Indian digital banking, the global rise of ransomware as the dominant threat to financial institutions, and Zero Trust Architecture (ZTA) as the most credible long-term security model for banking infrastructure. The paper concludes with a set of practical recommendations for boards, CISOs, and regulators.</w:t>
      </w:r>
    </w:p>
    <w:p w14:paraId="6C662A38" w14:textId="77777777" w:rsidR="007070A9" w:rsidRDefault="00000000">
      <w:pPr>
        <w:pStyle w:val="Heading1"/>
      </w:pPr>
      <w:r>
        <w:t>1. Cybersecurity Risks in Digital Banking in India</w:t>
      </w:r>
    </w:p>
    <w:p w14:paraId="266EA533" w14:textId="77777777" w:rsidR="007070A9" w:rsidRDefault="00000000">
      <w:pPr>
        <w:spacing w:after="160" w:line="276" w:lineRule="auto"/>
        <w:jc w:val="both"/>
      </w:pPr>
      <w:r>
        <w:t>Digital payments in India have moved from a convenience to critical national infrastructure. UPI alone facilitates over 13.5 billion transactions per month, growing at roughly 35% year-on-year, while digital channels now account for the large majority of all banking transactions nationwide. This scale creates an attractive and increasingly lucrative target: digital financial frauds rose more than four-fold year-on-year in FY24 and now make up roughly 80% of all reported financial fraud in the country.</w:t>
      </w:r>
    </w:p>
    <w:p w14:paraId="7DC45CEE" w14:textId="77777777" w:rsidR="007070A9" w:rsidRDefault="00000000">
      <w:pPr>
        <w:spacing w:after="160" w:line="276" w:lineRule="auto"/>
        <w:jc w:val="both"/>
      </w:pPr>
      <w:r>
        <w:t>The risk is compounded by three structural factors. First, authentication remains uneven — many transactions still rely on SMS one-time passwords, which are vulnerable to SIM-swap and interception attacks. Second, India's financial ecosystem is built on a dense web of banks, payment apps, fintechs, and third-party APIs, each representing a potential entry point. Third, fraud reporting is slow: studies show that the large majority of cases reported to the Reserve Bank of India (RBI) in a given period actually originated in earlier fiscal years, which delays systemic awareness and remediation. The table below summarizes the principal risk categories observed in the Indian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7070A9" w14:paraId="62B5F78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tcPr>
          <w:p w14:paraId="712E1AA2" w14:textId="77777777" w:rsidR="007070A9" w:rsidRDefault="00000000">
            <w:r>
              <w:rPr>
                <w:b/>
                <w:bCs/>
                <w:color w:val="FFFFFF"/>
                <w:sz w:val="20"/>
                <w:szCs w:val="20"/>
              </w:rPr>
              <w:t>Risk Category</w:t>
            </w:r>
          </w:p>
        </w:tc>
        <w:tc>
          <w:tcPr>
            <w:tcW w:w="40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tcPr>
          <w:p w14:paraId="10C0A294" w14:textId="77777777" w:rsidR="007070A9" w:rsidRDefault="00000000">
            <w:r>
              <w:rPr>
                <w:b/>
                <w:bCs/>
                <w:color w:val="FFFFFF"/>
                <w:sz w:val="20"/>
                <w:szCs w:val="20"/>
              </w:rPr>
              <w:t>Description</w:t>
            </w:r>
          </w:p>
        </w:tc>
        <w:tc>
          <w:tcPr>
            <w:tcW w:w="29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tcPr>
          <w:p w14:paraId="4929C6A1" w14:textId="77777777" w:rsidR="007070A9" w:rsidRDefault="00000000">
            <w:r>
              <w:rPr>
                <w:b/>
                <w:bCs/>
                <w:color w:val="FFFFFF"/>
                <w:sz w:val="20"/>
                <w:szCs w:val="20"/>
              </w:rPr>
              <w:t>Illustrative Data Point</w:t>
            </w:r>
          </w:p>
        </w:tc>
      </w:tr>
      <w:tr w:rsidR="007070A9" w14:paraId="3D5B8F2F"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79E635EE" w14:textId="77777777" w:rsidR="007070A9" w:rsidRDefault="00000000">
            <w:pPr>
              <w:spacing w:line="264" w:lineRule="auto"/>
            </w:pPr>
            <w:r>
              <w:rPr>
                <w:sz w:val="20"/>
                <w:szCs w:val="20"/>
              </w:rPr>
              <w:t>Identity &amp; Authentication Fraud</w:t>
            </w:r>
          </w:p>
        </w:tc>
        <w:tc>
          <w:tcPr>
            <w:tcW w:w="40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0FAFF2A3" w14:textId="77777777" w:rsidR="007070A9" w:rsidRDefault="00000000">
            <w:pPr>
              <w:spacing w:line="264" w:lineRule="auto"/>
            </w:pPr>
            <w:r>
              <w:rPr>
                <w:sz w:val="20"/>
                <w:szCs w:val="20"/>
              </w:rPr>
              <w:t>Account takeover, SIM-swap, OTP interception, and credential phishing exploiting weak or single-factor authentication.</w:t>
            </w:r>
          </w:p>
        </w:tc>
        <w:tc>
          <w:tcPr>
            <w:tcW w:w="296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6BFBFE66" w14:textId="77777777" w:rsidR="007070A9" w:rsidRDefault="00000000">
            <w:pPr>
              <w:spacing w:line="264" w:lineRule="auto"/>
            </w:pPr>
            <w:r>
              <w:rPr>
                <w:sz w:val="20"/>
                <w:szCs w:val="20"/>
              </w:rPr>
              <w:t>UPI-related fraud losses of roughly Rs 485 crore across 632,000 incidents in FY 2024-25 alone.</w:t>
            </w:r>
          </w:p>
        </w:tc>
      </w:tr>
      <w:tr w:rsidR="007070A9" w14:paraId="47F55A5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7C90C8ED" w14:textId="77777777" w:rsidR="007070A9" w:rsidRDefault="00000000">
            <w:pPr>
              <w:spacing w:line="264" w:lineRule="auto"/>
            </w:pPr>
            <w:r>
              <w:rPr>
                <w:sz w:val="20"/>
                <w:szCs w:val="20"/>
              </w:rPr>
              <w:t>Social Engineering &amp; 'Digital Arrest' Scams</w:t>
            </w:r>
          </w:p>
        </w:tc>
        <w:tc>
          <w:tcPr>
            <w:tcW w:w="400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5979178B" w14:textId="77777777" w:rsidR="007070A9" w:rsidRDefault="00000000">
            <w:pPr>
              <w:spacing w:line="264" w:lineRule="auto"/>
            </w:pPr>
            <w:r>
              <w:rPr>
                <w:sz w:val="20"/>
                <w:szCs w:val="20"/>
              </w:rPr>
              <w:t>Impersonation of law-enforcement or bank officials to coerce victims into transferring funds or sharing credentials.</w:t>
            </w:r>
          </w:p>
        </w:tc>
        <w:tc>
          <w:tcPr>
            <w:tcW w:w="296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15891B9F" w14:textId="77777777" w:rsidR="007070A9" w:rsidRDefault="00000000">
            <w:pPr>
              <w:spacing w:line="264" w:lineRule="auto"/>
            </w:pPr>
            <w:r>
              <w:rPr>
                <w:sz w:val="20"/>
                <w:szCs w:val="20"/>
              </w:rPr>
              <w:t>Estimated Rs 2,000 crore in losses attributed to digital-arrest-style scams in 2025.</w:t>
            </w:r>
          </w:p>
        </w:tc>
      </w:tr>
      <w:tr w:rsidR="007070A9" w14:paraId="200086C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2A984CB9" w14:textId="77777777" w:rsidR="007070A9" w:rsidRDefault="00000000">
            <w:pPr>
              <w:spacing w:line="264" w:lineRule="auto"/>
            </w:pPr>
            <w:r>
              <w:rPr>
                <w:sz w:val="20"/>
                <w:szCs w:val="20"/>
              </w:rPr>
              <w:t>API &amp; Third-Party / Vendor Risk</w:t>
            </w:r>
          </w:p>
        </w:tc>
        <w:tc>
          <w:tcPr>
            <w:tcW w:w="40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2FC40BC2" w14:textId="77777777" w:rsidR="007070A9" w:rsidRDefault="00000000">
            <w:pPr>
              <w:spacing w:line="264" w:lineRule="auto"/>
            </w:pPr>
            <w:r>
              <w:rPr>
                <w:sz w:val="20"/>
                <w:szCs w:val="20"/>
              </w:rPr>
              <w:t xml:space="preserve">Insecure APIs, fintech integrations, and managed-service providers that expand the </w:t>
            </w:r>
            <w:r>
              <w:rPr>
                <w:sz w:val="20"/>
                <w:szCs w:val="20"/>
              </w:rPr>
              <w:lastRenderedPageBreak/>
              <w:t>attack surface beyond the bank's own perimeter.</w:t>
            </w:r>
          </w:p>
        </w:tc>
        <w:tc>
          <w:tcPr>
            <w:tcW w:w="296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0F03CDF2" w14:textId="77777777" w:rsidR="007070A9" w:rsidRDefault="00000000">
            <w:pPr>
              <w:spacing w:line="264" w:lineRule="auto"/>
            </w:pPr>
            <w:r>
              <w:rPr>
                <w:sz w:val="20"/>
                <w:szCs w:val="20"/>
              </w:rPr>
              <w:lastRenderedPageBreak/>
              <w:t xml:space="preserve">Industry data shows a sharp rise in critical vulnerabilities among </w:t>
            </w:r>
            <w:r>
              <w:rPr>
                <w:sz w:val="20"/>
                <w:szCs w:val="20"/>
              </w:rPr>
              <w:lastRenderedPageBreak/>
              <w:t>vendors serving the finance sector.</w:t>
            </w:r>
          </w:p>
        </w:tc>
      </w:tr>
      <w:tr w:rsidR="007070A9" w14:paraId="4A43D7A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4F3FF755" w14:textId="77777777" w:rsidR="007070A9" w:rsidRDefault="00000000">
            <w:pPr>
              <w:spacing w:line="264" w:lineRule="auto"/>
            </w:pPr>
            <w:r>
              <w:rPr>
                <w:sz w:val="20"/>
                <w:szCs w:val="20"/>
              </w:rPr>
              <w:lastRenderedPageBreak/>
              <w:t>Legacy Infrastructure &amp; Insider Risk</w:t>
            </w:r>
          </w:p>
        </w:tc>
        <w:tc>
          <w:tcPr>
            <w:tcW w:w="400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64004CB2" w14:textId="77777777" w:rsidR="007070A9" w:rsidRDefault="00000000">
            <w:pPr>
              <w:spacing w:line="264" w:lineRule="auto"/>
            </w:pPr>
            <w:r>
              <w:rPr>
                <w:sz w:val="20"/>
                <w:szCs w:val="20"/>
              </w:rPr>
              <w:t>Ageing core-banking systems and broad standing access for employees and contractors increase lateral-movement risk.</w:t>
            </w:r>
          </w:p>
        </w:tc>
        <w:tc>
          <w:tcPr>
            <w:tcW w:w="296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7A8B3A2D" w14:textId="77777777" w:rsidR="007070A9" w:rsidRDefault="00000000">
            <w:pPr>
              <w:spacing w:line="264" w:lineRule="auto"/>
            </w:pPr>
            <w:r>
              <w:rPr>
                <w:sz w:val="20"/>
                <w:szCs w:val="20"/>
              </w:rPr>
              <w:t>Average time to fully recover from a significant banking-sector breach is estimated at roughly 18 months.</w:t>
            </w:r>
          </w:p>
        </w:tc>
      </w:tr>
      <w:tr w:rsidR="007070A9" w14:paraId="1702D95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27B596C3" w14:textId="77777777" w:rsidR="007070A9" w:rsidRDefault="00000000">
            <w:pPr>
              <w:spacing w:line="264" w:lineRule="auto"/>
            </w:pPr>
            <w:r>
              <w:rPr>
                <w:sz w:val="20"/>
                <w:szCs w:val="20"/>
              </w:rPr>
              <w:t>Underreporting &amp; Delayed Disclosure</w:t>
            </w:r>
          </w:p>
        </w:tc>
        <w:tc>
          <w:tcPr>
            <w:tcW w:w="40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7C656FEF" w14:textId="77777777" w:rsidR="007070A9" w:rsidRDefault="00000000">
            <w:pPr>
              <w:spacing w:line="264" w:lineRule="auto"/>
            </w:pPr>
            <w:r>
              <w:rPr>
                <w:sz w:val="20"/>
                <w:szCs w:val="20"/>
              </w:rPr>
              <w:t>Slow detection and reporting cycles obscure the true scale of losses and delay systemic remediation.</w:t>
            </w:r>
          </w:p>
        </w:tc>
        <w:tc>
          <w:tcPr>
            <w:tcW w:w="296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5A840D66" w14:textId="77777777" w:rsidR="007070A9" w:rsidRDefault="00000000">
            <w:pPr>
              <w:spacing w:line="264" w:lineRule="auto"/>
            </w:pPr>
            <w:r>
              <w:rPr>
                <w:sz w:val="20"/>
                <w:szCs w:val="20"/>
              </w:rPr>
              <w:t>Nearly 90% of fraud cases reported to the RBI in H1 FY 2024-25 originated in prior fiscal years.</w:t>
            </w:r>
          </w:p>
        </w:tc>
      </w:tr>
    </w:tbl>
    <w:p w14:paraId="6358F642" w14:textId="77777777" w:rsidR="007070A9" w:rsidRDefault="007070A9">
      <w:pPr>
        <w:spacing w:before="200" w:after="160"/>
      </w:pPr>
    </w:p>
    <w:p w14:paraId="66EC3464" w14:textId="77777777" w:rsidR="007070A9" w:rsidRDefault="00000000">
      <w:pPr>
        <w:pStyle w:val="Heading2"/>
      </w:pPr>
      <w:r>
        <w:t>Regulatory Response</w:t>
      </w:r>
    </w:p>
    <w:p w14:paraId="0EA2C82F" w14:textId="77777777" w:rsidR="007070A9" w:rsidRDefault="00000000">
      <w:pPr>
        <w:spacing w:after="160" w:line="276" w:lineRule="auto"/>
        <w:jc w:val="both"/>
      </w:pPr>
      <w:r>
        <w:t>The RBI has progressively tightened its cybersecurity expectations, most notably through its long-standing Cyber Security Framework for banks and, more recently, the Authentication Mechanisms for Digital Payment Transactions Directions issued in September 2025. These directions formalize a mandatory two-factor authentication baseline for digital payments, compliance with which is required by April 1, 2026, and introduce a risk-based model that applies lighter checks to low-risk transactions while escalating authentication for high-value or anomalous ones. Complementary initiatives, such as the Financial Fraud Risk Indicator built jointly with the National Payments Corporation of India, are intended to flag suspicious transactions in real time across the banking and telecom ecosystem.</w:t>
      </w:r>
    </w:p>
    <w:p w14:paraId="15E65D1D" w14:textId="77777777" w:rsidR="007070A9" w:rsidRDefault="00000000">
      <w:pPr>
        <w:pStyle w:val="Heading1"/>
      </w:pPr>
      <w:r>
        <w:t>2. Ransomware Threats to Financial Institutions</w:t>
      </w:r>
    </w:p>
    <w:p w14:paraId="418ED131" w14:textId="77777777" w:rsidR="007070A9" w:rsidRDefault="00000000">
      <w:pPr>
        <w:spacing w:after="160" w:line="276" w:lineRule="auto"/>
        <w:jc w:val="both"/>
      </w:pPr>
      <w:r>
        <w:t>Ransomware has become the most consequential cyber threat facing financial institutions worldwide. Industry surveys indicate that roughly two-thirds of financial organizations experienced a ransomware attack in 2024, up from about 64% in 2023 and 34% in 2021. After a brief decline in 2024 — driven largely by law-enforcement action against major groups such as LockBit and ALPHV/BlackCat — direct attacks on the financial sector rebounded sharply in 2025, rising by roughly 30% year-on-year, with early 2026 data suggesting the trend is accelerating further.</w:t>
      </w:r>
    </w:p>
    <w:p w14:paraId="1EFC0C5C" w14:textId="77777777" w:rsidR="007070A9" w:rsidRDefault="00000000">
      <w:pPr>
        <w:spacing w:after="160" w:line="276" w:lineRule="auto"/>
        <w:jc w:val="both"/>
      </w:pPr>
      <w:r>
        <w:t>Three developments define the current threat environment. First, double- and triple-extortion tactics are now standard: a large majority of 2025 ransomware incidents involved data exfiltration in addition to encryption, giving attackers leverage even when victims maintain solid backups. Second, exploited software vulnerabilities and weak baseline protections remain the leading root causes of successful attacks, alongside misconfigured cloud environments. Third, and most significant for banking specifically, attackers increasingly compromise a single managed-service provider or vendor to reach dozens of downstream financial institutions at once — a pattern illustrated by a 2025 campaign in which a ransomware group used standing privileged credentials at one managed-service provider to move laterally into more than thirty financial institutions and extract over a terabyte of data without breaching each one individually.</w:t>
      </w:r>
    </w:p>
    <w:p w14:paraId="4672EACE" w14:textId="77777777" w:rsidR="007070A9" w:rsidRDefault="00000000">
      <w:pPr>
        <w:spacing w:after="160" w:line="276" w:lineRule="auto"/>
        <w:jc w:val="both"/>
      </w:pPr>
      <w:r>
        <w:t xml:space="preserve">The financial consequences are severe and durable. Median ransom demands against financial-services firms have reached multi-million-dollar levels, recovery costs average well over a million dollars per incident once </w:t>
      </w:r>
      <w:r>
        <w:lastRenderedPageBreak/>
        <w:t>forensic investigation, system rebuilding, and regulatory exposure are included, and full operational recovery from a major breach can take well over a year. Beyond direct cost, ransomware against a bank carries systemic risk: payment outages, compromised customer data, and reputational damage can erode public trust in the broader financial system, not just the victim institution.</w:t>
      </w:r>
    </w:p>
    <w:p w14:paraId="41A6C251" w14:textId="77777777" w:rsidR="007070A9" w:rsidRDefault="00000000">
      <w:pPr>
        <w:pStyle w:val="Heading1"/>
      </w:pPr>
      <w:r>
        <w:t>3. Zero Trust Security for Banking Infrastructure</w:t>
      </w:r>
    </w:p>
    <w:p w14:paraId="35798354" w14:textId="77777777" w:rsidR="007070A9" w:rsidRDefault="00000000">
      <w:pPr>
        <w:spacing w:after="160" w:line="276" w:lineRule="auto"/>
        <w:jc w:val="both"/>
      </w:pPr>
      <w:r>
        <w:t>Traditional perimeter-based security assumes that anything inside the corporate network can be trusted. That assumption no longer holds for banks operating cloud-native platforms, open-banking APIs, mobile-first channels, and extensive third-party integrations. Zero Trust Architecture (ZTA) replaces implicit trust with continuous verification — 'never trust, always verify' — regardless of whether a request originates inside or outside the traditional network boundary.</w:t>
      </w:r>
    </w:p>
    <w:p w14:paraId="11B0088F" w14:textId="77777777" w:rsidR="007070A9" w:rsidRDefault="00000000">
      <w:pPr>
        <w:spacing w:after="160" w:line="276" w:lineRule="auto"/>
        <w:jc w:val="both"/>
      </w:pPr>
      <w:r>
        <w:t>For banking specifically, Zero Trust directly addresses both threats described above. It limits the damage an authentication failure can cause (Section 1) by requiring continuous, risk-based verification rather than a single login event, and it limits the lateral movement that turns a single compromised vendor or endpoint into a sector-wide ransomware incident (Section 2) through micro-segmentation and least-privilege access. The core pillars of a Zero Trust program for banking infrastructure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070A9" w14:paraId="3D227B9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tcPr>
          <w:p w14:paraId="2944FDAA" w14:textId="77777777" w:rsidR="007070A9" w:rsidRDefault="00000000">
            <w:r>
              <w:rPr>
                <w:b/>
                <w:bCs/>
                <w:color w:val="FFFFFF"/>
                <w:sz w:val="20"/>
                <w:szCs w:val="20"/>
              </w:rPr>
              <w:t>Zero Trust Pillar</w:t>
            </w:r>
          </w:p>
        </w:tc>
        <w:tc>
          <w:tcPr>
            <w:tcW w:w="61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tcPr>
          <w:p w14:paraId="56C42093" w14:textId="77777777" w:rsidR="007070A9" w:rsidRDefault="00000000">
            <w:r>
              <w:rPr>
                <w:b/>
                <w:bCs/>
                <w:color w:val="FFFFFF"/>
                <w:sz w:val="20"/>
                <w:szCs w:val="20"/>
              </w:rPr>
              <w:t>Function in a Banking Context</w:t>
            </w:r>
          </w:p>
        </w:tc>
      </w:tr>
      <w:tr w:rsidR="007070A9" w14:paraId="7390B2C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6EED62E4" w14:textId="77777777" w:rsidR="007070A9" w:rsidRDefault="00000000">
            <w:pPr>
              <w:spacing w:line="264" w:lineRule="auto"/>
            </w:pPr>
            <w:r>
              <w:rPr>
                <w:sz w:val="20"/>
                <w:szCs w:val="20"/>
              </w:rPr>
              <w:t>Identity &amp; Access Management (IAM)</w:t>
            </w:r>
          </w:p>
        </w:tc>
        <w:tc>
          <w:tcPr>
            <w:tcW w:w="616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23F7C6C1" w14:textId="77777777" w:rsidR="007070A9" w:rsidRDefault="00000000">
            <w:pPr>
              <w:spacing w:line="264" w:lineRule="auto"/>
            </w:pPr>
            <w:r>
              <w:rPr>
                <w:sz w:val="20"/>
                <w:szCs w:val="20"/>
              </w:rPr>
              <w:t>Strong, continuous verification of every user, device, and service before granting access — never assumed from network location.</w:t>
            </w:r>
          </w:p>
        </w:tc>
      </w:tr>
      <w:tr w:rsidR="007070A9" w14:paraId="31F41BD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11266B63" w14:textId="77777777" w:rsidR="007070A9" w:rsidRDefault="00000000">
            <w:pPr>
              <w:spacing w:line="264" w:lineRule="auto"/>
            </w:pPr>
            <w:r>
              <w:rPr>
                <w:sz w:val="20"/>
                <w:szCs w:val="20"/>
              </w:rPr>
              <w:t>Least-Privilege Access</w:t>
            </w:r>
          </w:p>
        </w:tc>
        <w:tc>
          <w:tcPr>
            <w:tcW w:w="616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09F25D5B" w14:textId="77777777" w:rsidR="007070A9" w:rsidRDefault="00000000">
            <w:pPr>
              <w:spacing w:line="264" w:lineRule="auto"/>
            </w:pPr>
            <w:r>
              <w:rPr>
                <w:sz w:val="20"/>
                <w:szCs w:val="20"/>
              </w:rPr>
              <w:t>Users and applications receive only the minimum permissions needed for a specific task, reducing blast radius if credentials are compromised.</w:t>
            </w:r>
          </w:p>
        </w:tc>
      </w:tr>
      <w:tr w:rsidR="007070A9" w14:paraId="50E4875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7CDDC2C6" w14:textId="77777777" w:rsidR="007070A9" w:rsidRDefault="00000000">
            <w:pPr>
              <w:spacing w:line="264" w:lineRule="auto"/>
            </w:pPr>
            <w:r>
              <w:rPr>
                <w:sz w:val="20"/>
                <w:szCs w:val="20"/>
              </w:rPr>
              <w:t>Micro-Segmentation</w:t>
            </w:r>
          </w:p>
        </w:tc>
        <w:tc>
          <w:tcPr>
            <w:tcW w:w="616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62862FCC" w14:textId="77777777" w:rsidR="007070A9" w:rsidRDefault="00000000">
            <w:pPr>
              <w:spacing w:line="264" w:lineRule="auto"/>
            </w:pPr>
            <w:r>
              <w:rPr>
                <w:sz w:val="20"/>
                <w:szCs w:val="20"/>
              </w:rPr>
              <w:t>Core-banking, payment-switch, and data layers are isolated into small zones so a breach in one segment cannot move laterally to others.</w:t>
            </w:r>
          </w:p>
        </w:tc>
      </w:tr>
      <w:tr w:rsidR="007070A9" w14:paraId="657DA50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6A28F376" w14:textId="77777777" w:rsidR="007070A9" w:rsidRDefault="00000000">
            <w:pPr>
              <w:spacing w:line="264" w:lineRule="auto"/>
            </w:pPr>
            <w:r>
              <w:rPr>
                <w:sz w:val="20"/>
                <w:szCs w:val="20"/>
              </w:rPr>
              <w:t>Multi-Factor &amp; Adaptive Authentication</w:t>
            </w:r>
          </w:p>
        </w:tc>
        <w:tc>
          <w:tcPr>
            <w:tcW w:w="616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4010F46C" w14:textId="77777777" w:rsidR="007070A9" w:rsidRDefault="00000000">
            <w:pPr>
              <w:spacing w:line="264" w:lineRule="auto"/>
            </w:pPr>
            <w:r>
              <w:rPr>
                <w:sz w:val="20"/>
                <w:szCs w:val="20"/>
              </w:rPr>
              <w:t>Risk-based MFA, passkeys, and behavioral biometrics replace static passwords and SMS-only OTPs.</w:t>
            </w:r>
          </w:p>
        </w:tc>
      </w:tr>
      <w:tr w:rsidR="007070A9" w14:paraId="2A9BEF4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2031F16A" w14:textId="77777777" w:rsidR="007070A9" w:rsidRDefault="00000000">
            <w:pPr>
              <w:spacing w:line="264" w:lineRule="auto"/>
            </w:pPr>
            <w:r>
              <w:rPr>
                <w:sz w:val="20"/>
                <w:szCs w:val="20"/>
              </w:rPr>
              <w:t>Continuous Monitoring &amp; Analytics</w:t>
            </w:r>
          </w:p>
        </w:tc>
        <w:tc>
          <w:tcPr>
            <w:tcW w:w="6160" w:type="dxa"/>
            <w:tcBorders>
              <w:top w:val="single" w:sz="2" w:space="0" w:color="CCCCCC"/>
              <w:left w:val="single" w:sz="2" w:space="0" w:color="CCCCCC"/>
              <w:bottom w:val="single" w:sz="2" w:space="0" w:color="CCCCCC"/>
              <w:right w:val="single" w:sz="2" w:space="0" w:color="CCCCCC"/>
            </w:tcBorders>
            <w:tcMar>
              <w:top w:w="90" w:type="dxa"/>
              <w:left w:w="120" w:type="dxa"/>
              <w:bottom w:w="90" w:type="dxa"/>
              <w:right w:w="120" w:type="dxa"/>
            </w:tcMar>
          </w:tcPr>
          <w:p w14:paraId="3707357E" w14:textId="77777777" w:rsidR="007070A9" w:rsidRDefault="00000000">
            <w:pPr>
              <w:spacing w:line="264" w:lineRule="auto"/>
            </w:pPr>
            <w:r>
              <w:rPr>
                <w:sz w:val="20"/>
                <w:szCs w:val="20"/>
              </w:rPr>
              <w:t>Real-time telemetry, anomaly detection, and automated response shrink the window between intrusion and containment.</w:t>
            </w:r>
          </w:p>
        </w:tc>
      </w:tr>
      <w:tr w:rsidR="007070A9" w14:paraId="4EEB0E9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3B373BBA" w14:textId="77777777" w:rsidR="007070A9" w:rsidRDefault="00000000">
            <w:pPr>
              <w:spacing w:line="264" w:lineRule="auto"/>
            </w:pPr>
            <w:r>
              <w:rPr>
                <w:sz w:val="20"/>
                <w:szCs w:val="20"/>
              </w:rPr>
              <w:t>Third-Party &amp; Supply-Chain Trust</w:t>
            </w:r>
          </w:p>
        </w:tc>
        <w:tc>
          <w:tcPr>
            <w:tcW w:w="6160" w:type="dxa"/>
            <w:tcBorders>
              <w:top w:val="single" w:sz="2" w:space="0" w:color="CCCCCC"/>
              <w:left w:val="single" w:sz="2" w:space="0" w:color="CCCCCC"/>
              <w:bottom w:val="single" w:sz="2" w:space="0" w:color="CCCCCC"/>
              <w:right w:val="single" w:sz="2" w:space="0" w:color="CCCCCC"/>
            </w:tcBorders>
            <w:shd w:val="clear" w:color="auto" w:fill="EAF1F8"/>
            <w:tcMar>
              <w:top w:w="90" w:type="dxa"/>
              <w:left w:w="120" w:type="dxa"/>
              <w:bottom w:w="90" w:type="dxa"/>
              <w:right w:w="120" w:type="dxa"/>
            </w:tcMar>
          </w:tcPr>
          <w:p w14:paraId="50FB2C9B" w14:textId="77777777" w:rsidR="007070A9" w:rsidRDefault="00000000">
            <w:pPr>
              <w:spacing w:line="264" w:lineRule="auto"/>
            </w:pPr>
            <w:r>
              <w:rPr>
                <w:sz w:val="20"/>
                <w:szCs w:val="20"/>
              </w:rPr>
              <w:t>Vendors, APIs, and managed-service providers are verified and segmented with the same rigor as internal systems.</w:t>
            </w:r>
          </w:p>
        </w:tc>
      </w:tr>
    </w:tbl>
    <w:p w14:paraId="2A9AF632" w14:textId="77777777" w:rsidR="007070A9" w:rsidRDefault="007070A9">
      <w:pPr>
        <w:spacing w:before="200" w:after="160"/>
      </w:pPr>
    </w:p>
    <w:p w14:paraId="15E39902" w14:textId="77777777" w:rsidR="007070A9" w:rsidRDefault="00000000">
      <w:pPr>
        <w:pStyle w:val="Heading2"/>
      </w:pPr>
      <w:r>
        <w:t>Implementation Considerations</w:t>
      </w:r>
    </w:p>
    <w:p w14:paraId="5771A815" w14:textId="77777777" w:rsidR="007070A9" w:rsidRDefault="00000000">
      <w:pPr>
        <w:spacing w:after="160" w:line="276" w:lineRule="auto"/>
        <w:jc w:val="both"/>
      </w:pPr>
      <w:r>
        <w:t xml:space="preserve">Zero Trust is a multi-year program, not a single product. Most successful banking implementations follow a phased approach: assess critical assets and data flows, pilot strong authentication and segmentation on the highest-risk systems (such as payment switches and core banking), then extend continuous monitoring and least-privilege controls outward to third parties and legacy systems. The principal obstacles are integration complexity with decades-old core-banking platforms, the operational cost of re-architecting flat internal </w:t>
      </w:r>
      <w:r>
        <w:lastRenderedPageBreak/>
        <w:t>networks into segmented zones, and the cultural shift required to move security ownership from a single perimeter team to every system owner across the institution.</w:t>
      </w:r>
    </w:p>
    <w:p w14:paraId="3E4A1CF9" w14:textId="77777777" w:rsidR="007070A9" w:rsidRDefault="00000000">
      <w:pPr>
        <w:pStyle w:val="Heading1"/>
      </w:pPr>
      <w:r>
        <w:t>4. Strategic Recommendations</w:t>
      </w:r>
    </w:p>
    <w:p w14:paraId="3C465326" w14:textId="77777777" w:rsidR="007070A9" w:rsidRDefault="00000000">
      <w:pPr>
        <w:pStyle w:val="ListParagraph"/>
        <w:numPr>
          <w:ilvl w:val="0"/>
          <w:numId w:val="2"/>
        </w:numPr>
        <w:spacing w:after="120" w:line="276" w:lineRule="auto"/>
      </w:pPr>
      <w:r>
        <w:rPr>
          <w:b/>
          <w:bCs/>
        </w:rPr>
        <w:t xml:space="preserve">Adopt risk-based, multi-factor and passkey authentication ahead of the RBI's April 2026 compliance deadline rather than treating it as a minimum bar. </w:t>
      </w:r>
      <w:r>
        <w:t>Accelerate phased-out reliance on SMS-only OTPs</w:t>
      </w:r>
    </w:p>
    <w:p w14:paraId="70F0B8B6" w14:textId="77777777" w:rsidR="007070A9" w:rsidRDefault="00000000">
      <w:pPr>
        <w:pStyle w:val="ListParagraph"/>
        <w:numPr>
          <w:ilvl w:val="0"/>
          <w:numId w:val="2"/>
        </w:numPr>
        <w:spacing w:after="120" w:line="276" w:lineRule="auto"/>
      </w:pPr>
      <w:r>
        <w:rPr>
          <w:b/>
          <w:bCs/>
        </w:rPr>
        <w:t xml:space="preserve">Extend Zero Trust verification and segmentation to fintech partners, payment gateways, and managed-service providers, not just internal systems. </w:t>
      </w:r>
      <w:r>
        <w:t>Treat vendors and APIs as part of the attack surface</w:t>
      </w:r>
    </w:p>
    <w:p w14:paraId="5DEB0B23" w14:textId="77777777" w:rsidR="007070A9" w:rsidRDefault="00000000">
      <w:pPr>
        <w:pStyle w:val="ListParagraph"/>
        <w:numPr>
          <w:ilvl w:val="0"/>
          <w:numId w:val="2"/>
        </w:numPr>
        <w:spacing w:after="120" w:line="276" w:lineRule="auto"/>
      </w:pPr>
      <w:r>
        <w:rPr>
          <w:b/>
          <w:bCs/>
        </w:rPr>
        <w:t xml:space="preserve">Prioritize continuous monitoring and automated response to shrink the gap between intrusion and containment, given that exploited vulnerabilities and poor baseline protection remain the leading causes of successful ransomware attacks. </w:t>
      </w:r>
      <w:r>
        <w:t>Invest in detection speed, not just prevention</w:t>
      </w:r>
    </w:p>
    <w:p w14:paraId="1D1722A5" w14:textId="77777777" w:rsidR="007070A9" w:rsidRDefault="00000000">
      <w:pPr>
        <w:pStyle w:val="ListParagraph"/>
        <w:numPr>
          <w:ilvl w:val="0"/>
          <w:numId w:val="2"/>
        </w:numPr>
        <w:spacing w:after="120" w:line="276" w:lineRule="auto"/>
      </w:pPr>
      <w:r>
        <w:rPr>
          <w:b/>
          <w:bCs/>
        </w:rPr>
        <w:t xml:space="preserve">Maintain tested, segmented, offline backups and a board-approved incident response and communications plan. </w:t>
      </w:r>
      <w:r>
        <w:t>Rehearse ransomware response, including the decision not to pay</w:t>
      </w:r>
    </w:p>
    <w:p w14:paraId="1B98E11F" w14:textId="77777777" w:rsidR="007070A9" w:rsidRDefault="00000000">
      <w:pPr>
        <w:pStyle w:val="ListParagraph"/>
        <w:numPr>
          <w:ilvl w:val="0"/>
          <w:numId w:val="2"/>
        </w:numPr>
        <w:spacing w:after="120" w:line="276" w:lineRule="auto"/>
      </w:pPr>
      <w:r>
        <w:rPr>
          <w:b/>
          <w:bCs/>
        </w:rPr>
        <w:t xml:space="preserve">Support faster internal fraud and breach reporting so that emerging attack patterns can be identified and shared across the sector before losses scale. </w:t>
      </w:r>
      <w:r>
        <w:t>Close the reporting-and-disclosure gap</w:t>
      </w:r>
    </w:p>
    <w:p w14:paraId="5301192F" w14:textId="77777777" w:rsidR="007070A9" w:rsidRDefault="00000000">
      <w:pPr>
        <w:pStyle w:val="ListParagraph"/>
        <w:numPr>
          <w:ilvl w:val="0"/>
          <w:numId w:val="2"/>
        </w:numPr>
        <w:spacing w:after="120" w:line="276" w:lineRule="auto"/>
      </w:pPr>
      <w:r>
        <w:rPr>
          <w:b/>
          <w:bCs/>
        </w:rPr>
        <w:t xml:space="preserve">Begin with payment-switch, core-banking, and customer-data environments before extending controls institution-wide. </w:t>
      </w:r>
      <w:r>
        <w:t>Sequence Zero Trust adoption around the highest-value assets first</w:t>
      </w:r>
    </w:p>
    <w:p w14:paraId="6C2FFF61" w14:textId="77777777" w:rsidR="007070A9" w:rsidRDefault="00000000">
      <w:pPr>
        <w:pStyle w:val="Heading1"/>
      </w:pPr>
      <w:r>
        <w:t>Conclusion</w:t>
      </w:r>
    </w:p>
    <w:p w14:paraId="08652E3E" w14:textId="77777777" w:rsidR="007070A9" w:rsidRDefault="00000000">
      <w:pPr>
        <w:spacing w:after="160" w:line="276" w:lineRule="auto"/>
        <w:jc w:val="both"/>
      </w:pPr>
      <w:r>
        <w:t>India's digital banking boom and the global rise of ransomware against financial institutions are two expressions of the same underlying shift: as banking becomes more interconnected, more API-driven, and more reliant on third parties, the traditional perimeter no longer reflects where risk actually lives. Zero Trust Architecture is not a silver bullet, but it is the security model best aligned with this reality — and the institutions that begin the transition deliberately, rather than reactively after a breach, will be the ones best positioned to sustain customer trust as digital banking continues to scale.</w:t>
      </w:r>
    </w:p>
    <w:p w14:paraId="2CABB9B2" w14:textId="77777777" w:rsidR="007070A9" w:rsidRDefault="00000000">
      <w:pPr>
        <w:pStyle w:val="Heading1"/>
      </w:pPr>
      <w:r>
        <w:t>References</w:t>
      </w:r>
    </w:p>
    <w:p w14:paraId="52FFABD8" w14:textId="77777777" w:rsidR="007070A9" w:rsidRDefault="00000000">
      <w:pPr>
        <w:spacing w:after="160" w:line="276" w:lineRule="auto"/>
        <w:jc w:val="both"/>
      </w:pPr>
      <w:r>
        <w:rPr>
          <w:color w:val="5A5A5A"/>
          <w:sz w:val="18"/>
          <w:szCs w:val="18"/>
        </w:rPr>
        <w:t>Astra Security. "RBI Cybersecurity Compliance Checklist for Banks &amp; NBFCs." getastra.com.</w:t>
      </w:r>
    </w:p>
    <w:p w14:paraId="35705091" w14:textId="77777777" w:rsidR="007070A9" w:rsidRDefault="00000000">
      <w:pPr>
        <w:spacing w:after="160" w:line="276" w:lineRule="auto"/>
        <w:jc w:val="both"/>
      </w:pPr>
      <w:r>
        <w:rPr>
          <w:color w:val="5A5A5A"/>
          <w:sz w:val="18"/>
          <w:szCs w:val="18"/>
        </w:rPr>
        <w:t>BioCatch. "2025 Digital Banking Fraud Trends in India." biocatch.com.</w:t>
      </w:r>
    </w:p>
    <w:p w14:paraId="30CF8F03" w14:textId="77777777" w:rsidR="007070A9" w:rsidRDefault="00000000">
      <w:pPr>
        <w:spacing w:after="160" w:line="276" w:lineRule="auto"/>
        <w:jc w:val="both"/>
      </w:pPr>
      <w:r>
        <w:rPr>
          <w:color w:val="5A5A5A"/>
          <w:sz w:val="18"/>
          <w:szCs w:val="18"/>
        </w:rPr>
        <w:t>Black Kite Research Group. "2026 Financial Services Cybersecurity Report." blackkite.com.</w:t>
      </w:r>
    </w:p>
    <w:p w14:paraId="25AE32BE" w14:textId="77777777" w:rsidR="007070A9" w:rsidRDefault="00000000">
      <w:pPr>
        <w:spacing w:after="160" w:line="276" w:lineRule="auto"/>
        <w:jc w:val="both"/>
      </w:pPr>
      <w:r>
        <w:rPr>
          <w:color w:val="5A5A5A"/>
          <w:sz w:val="18"/>
          <w:szCs w:val="18"/>
        </w:rPr>
        <w:t>Business Standard. "Statsguru: India Faces Growing Financial Risks from Cybersecurity Breaches." business-standard.com.</w:t>
      </w:r>
    </w:p>
    <w:p w14:paraId="26DD75E5" w14:textId="77777777" w:rsidR="007070A9" w:rsidRDefault="00000000">
      <w:pPr>
        <w:spacing w:after="160" w:line="276" w:lineRule="auto"/>
        <w:jc w:val="both"/>
      </w:pPr>
      <w:r>
        <w:rPr>
          <w:color w:val="5A5A5A"/>
          <w:sz w:val="18"/>
          <w:szCs w:val="18"/>
        </w:rPr>
        <w:t>Corbado. "Reserve Bank of India's Rules for Payment Security." corbado.com.</w:t>
      </w:r>
    </w:p>
    <w:p w14:paraId="1900A7FD" w14:textId="77777777" w:rsidR="007070A9" w:rsidRDefault="00000000">
      <w:pPr>
        <w:spacing w:after="160" w:line="276" w:lineRule="auto"/>
        <w:jc w:val="both"/>
      </w:pPr>
      <w:r>
        <w:rPr>
          <w:color w:val="5A5A5A"/>
          <w:sz w:val="18"/>
          <w:szCs w:val="18"/>
        </w:rPr>
        <w:t>Cyber Law Consulting. "Data Breaches in India's Banking Sector in 2025." cyberlawconsulting.com.</w:t>
      </w:r>
    </w:p>
    <w:p w14:paraId="49394790" w14:textId="77777777" w:rsidR="007070A9" w:rsidRDefault="00000000">
      <w:pPr>
        <w:spacing w:after="160" w:line="276" w:lineRule="auto"/>
        <w:jc w:val="both"/>
      </w:pPr>
      <w:r>
        <w:rPr>
          <w:color w:val="5A5A5A"/>
          <w:sz w:val="18"/>
          <w:szCs w:val="18"/>
        </w:rPr>
        <w:t>DeepStrike. "2026 Global Ransomware Statistics: Key Trends &amp; Costs." deepstrike.io.</w:t>
      </w:r>
    </w:p>
    <w:p w14:paraId="357B310F" w14:textId="77777777" w:rsidR="007070A9" w:rsidRDefault="00000000">
      <w:pPr>
        <w:spacing w:after="160" w:line="276" w:lineRule="auto"/>
        <w:jc w:val="both"/>
      </w:pPr>
      <w:r>
        <w:rPr>
          <w:color w:val="5A5A5A"/>
          <w:sz w:val="18"/>
          <w:szCs w:val="18"/>
        </w:rPr>
        <w:lastRenderedPageBreak/>
        <w:t>Fortinet. "Ransomware Statistics 2025: Latest Trends &amp; Must-Know Insights." fortinet.com.</w:t>
      </w:r>
    </w:p>
    <w:p w14:paraId="5215ECCE" w14:textId="77777777" w:rsidR="007070A9" w:rsidRDefault="00000000">
      <w:pPr>
        <w:spacing w:after="160" w:line="276" w:lineRule="auto"/>
        <w:jc w:val="both"/>
      </w:pPr>
      <w:r>
        <w:rPr>
          <w:color w:val="5A5A5A"/>
          <w:sz w:val="18"/>
          <w:szCs w:val="18"/>
        </w:rPr>
        <w:t>Kaspersky Security Network. "Financial Sector Threat Landscape in 2025." lp.kaspersky.com.</w:t>
      </w:r>
    </w:p>
    <w:p w14:paraId="2E2A8B4E" w14:textId="77777777" w:rsidR="007070A9" w:rsidRDefault="00000000">
      <w:pPr>
        <w:spacing w:after="160" w:line="276" w:lineRule="auto"/>
        <w:jc w:val="both"/>
      </w:pPr>
      <w:r>
        <w:rPr>
          <w:color w:val="5A5A5A"/>
          <w:sz w:val="18"/>
          <w:szCs w:val="18"/>
        </w:rPr>
        <w:t>Sophos. "The State of Ransomware in Financial Services 2025." sophos.com.</w:t>
      </w:r>
    </w:p>
    <w:p w14:paraId="312EFB77" w14:textId="77777777" w:rsidR="007070A9" w:rsidRDefault="00000000">
      <w:pPr>
        <w:spacing w:after="160" w:line="276" w:lineRule="auto"/>
        <w:jc w:val="both"/>
      </w:pPr>
      <w:r>
        <w:rPr>
          <w:color w:val="5A5A5A"/>
          <w:sz w:val="18"/>
          <w:szCs w:val="18"/>
        </w:rPr>
        <w:t>UberEther. "Zero Trust in Banking: Enhancing Banking Security through Zero Trust Architecture." uberether.com.</w:t>
      </w:r>
    </w:p>
    <w:sectPr w:rsidR="007070A9">
      <w:headerReference w:type="even" r:id="rId7"/>
      <w:headerReference w:type="default" r:id="rId8"/>
      <w:footerReference w:type="even" r:id="rId9"/>
      <w:footerReference w:type="default" r:id="rId10"/>
      <w:headerReference w:type="first" r:id="rId11"/>
      <w:footerReference w:type="first" r:id="rId12"/>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2B10D" w14:textId="77777777" w:rsidR="0094214B" w:rsidRDefault="0094214B">
      <w:r>
        <w:separator/>
      </w:r>
    </w:p>
  </w:endnote>
  <w:endnote w:type="continuationSeparator" w:id="0">
    <w:p w14:paraId="463AED04" w14:textId="77777777" w:rsidR="0094214B" w:rsidRDefault="00942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5634" w14:textId="77777777" w:rsidR="00A02CE2" w:rsidRDefault="00A02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C974" w14:textId="6E9A96D7" w:rsidR="007070A9" w:rsidRDefault="00000000">
    <w:pPr>
      <w:tabs>
        <w:tab w:val="right" w:pos="9026"/>
      </w:tabs>
    </w:pPr>
    <w:r>
      <w:rPr>
        <w:color w:val="5A5A5A"/>
        <w:sz w:val="16"/>
        <w:szCs w:val="16"/>
      </w:rPr>
      <w:t>June 202</w:t>
    </w:r>
    <w:r w:rsidR="00A02CE2">
      <w:rPr>
        <w:color w:val="5A5A5A"/>
        <w:sz w:val="16"/>
        <w:szCs w:val="16"/>
      </w:rPr>
      <w:t>5</w:t>
    </w:r>
    <w:r>
      <w:rPr>
        <w:color w:val="5A5A5A"/>
        <w:sz w:val="16"/>
        <w:szCs w:val="16"/>
      </w:rPr>
      <w:tab/>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A02CE2">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A02CE2">
      <w:rPr>
        <w:noProof/>
        <w:color w:val="5A5A5A"/>
        <w:sz w:val="16"/>
        <w:szCs w:val="16"/>
      </w:rPr>
      <w:t>2</w:t>
    </w:r>
    <w:r>
      <w:rPr>
        <w:color w:val="5A5A5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8C84" w14:textId="77777777" w:rsidR="00A02CE2" w:rsidRDefault="00A02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0AFE0" w14:textId="77777777" w:rsidR="0094214B" w:rsidRDefault="0094214B">
      <w:r>
        <w:separator/>
      </w:r>
    </w:p>
  </w:footnote>
  <w:footnote w:type="continuationSeparator" w:id="0">
    <w:p w14:paraId="08A9CED1" w14:textId="77777777" w:rsidR="0094214B" w:rsidRDefault="00942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EBB8" w14:textId="77777777" w:rsidR="00A02CE2" w:rsidRDefault="00A02C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5662" w14:textId="77777777" w:rsidR="007070A9" w:rsidRDefault="00000000">
    <w:pPr>
      <w:pBdr>
        <w:bottom w:val="single" w:sz="4" w:space="4" w:color="D9D9D9"/>
      </w:pBdr>
      <w:tabs>
        <w:tab w:val="right" w:pos="9026"/>
      </w:tabs>
    </w:pPr>
    <w:r>
      <w:rPr>
        <w:color w:val="5A5A5A"/>
        <w:sz w:val="16"/>
        <w:szCs w:val="16"/>
      </w:rPr>
      <w:t>Cybersecurity in Digital Banking</w:t>
    </w:r>
    <w:r>
      <w:rPr>
        <w:color w:val="5A5A5A"/>
        <w:sz w:val="16"/>
        <w:szCs w:val="16"/>
      </w:rPr>
      <w:tab/>
      <w:t>Confidential — Professional Briefing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7D73" w14:textId="77777777" w:rsidR="00A02CE2" w:rsidRDefault="00A02C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F1F45"/>
    <w:multiLevelType w:val="hybridMultilevel"/>
    <w:tmpl w:val="FC56F59C"/>
    <w:lvl w:ilvl="0" w:tplc="0FA4496C">
      <w:start w:val="1"/>
      <w:numFmt w:val="bullet"/>
      <w:lvlText w:val="●"/>
      <w:lvlJc w:val="left"/>
      <w:pPr>
        <w:ind w:left="720" w:hanging="360"/>
      </w:pPr>
    </w:lvl>
    <w:lvl w:ilvl="1" w:tplc="0784A484">
      <w:start w:val="1"/>
      <w:numFmt w:val="bullet"/>
      <w:lvlText w:val="○"/>
      <w:lvlJc w:val="left"/>
      <w:pPr>
        <w:ind w:left="1440" w:hanging="360"/>
      </w:pPr>
    </w:lvl>
    <w:lvl w:ilvl="2" w:tplc="073E26B6">
      <w:start w:val="1"/>
      <w:numFmt w:val="bullet"/>
      <w:lvlText w:val="■"/>
      <w:lvlJc w:val="left"/>
      <w:pPr>
        <w:ind w:left="2160" w:hanging="360"/>
      </w:pPr>
    </w:lvl>
    <w:lvl w:ilvl="3" w:tplc="9300E5F6">
      <w:start w:val="1"/>
      <w:numFmt w:val="bullet"/>
      <w:lvlText w:val="●"/>
      <w:lvlJc w:val="left"/>
      <w:pPr>
        <w:ind w:left="2880" w:hanging="360"/>
      </w:pPr>
    </w:lvl>
    <w:lvl w:ilvl="4" w:tplc="A28C86CA">
      <w:start w:val="1"/>
      <w:numFmt w:val="bullet"/>
      <w:lvlText w:val="○"/>
      <w:lvlJc w:val="left"/>
      <w:pPr>
        <w:ind w:left="3600" w:hanging="360"/>
      </w:pPr>
    </w:lvl>
    <w:lvl w:ilvl="5" w:tplc="644C2852">
      <w:start w:val="1"/>
      <w:numFmt w:val="bullet"/>
      <w:lvlText w:val="■"/>
      <w:lvlJc w:val="left"/>
      <w:pPr>
        <w:ind w:left="4320" w:hanging="360"/>
      </w:pPr>
    </w:lvl>
    <w:lvl w:ilvl="6" w:tplc="5E52CC60">
      <w:start w:val="1"/>
      <w:numFmt w:val="bullet"/>
      <w:lvlText w:val="●"/>
      <w:lvlJc w:val="left"/>
      <w:pPr>
        <w:ind w:left="5040" w:hanging="360"/>
      </w:pPr>
    </w:lvl>
    <w:lvl w:ilvl="7" w:tplc="FCC4A72A">
      <w:start w:val="1"/>
      <w:numFmt w:val="bullet"/>
      <w:lvlText w:val="●"/>
      <w:lvlJc w:val="left"/>
      <w:pPr>
        <w:ind w:left="5760" w:hanging="360"/>
      </w:pPr>
    </w:lvl>
    <w:lvl w:ilvl="8" w:tplc="7D56E8F6">
      <w:start w:val="1"/>
      <w:numFmt w:val="bullet"/>
      <w:lvlText w:val="●"/>
      <w:lvlJc w:val="left"/>
      <w:pPr>
        <w:ind w:left="6480" w:hanging="360"/>
      </w:pPr>
    </w:lvl>
  </w:abstractNum>
  <w:abstractNum w:abstractNumId="1" w15:restartNumberingAfterBreak="0">
    <w:nsid w:val="6D1F01EF"/>
    <w:multiLevelType w:val="hybridMultilevel"/>
    <w:tmpl w:val="BAF040AC"/>
    <w:lvl w:ilvl="0" w:tplc="7680A796">
      <w:start w:val="1"/>
      <w:numFmt w:val="bullet"/>
      <w:lvlText w:val="•"/>
      <w:lvlJc w:val="left"/>
      <w:pPr>
        <w:ind w:left="540" w:hanging="300"/>
      </w:pPr>
      <w:rPr>
        <w:color w:val="2E75B6"/>
      </w:rPr>
    </w:lvl>
    <w:lvl w:ilvl="1" w:tplc="C7FA4182">
      <w:numFmt w:val="decimal"/>
      <w:lvlText w:val=""/>
      <w:lvlJc w:val="left"/>
    </w:lvl>
    <w:lvl w:ilvl="2" w:tplc="8F7E442E">
      <w:numFmt w:val="decimal"/>
      <w:lvlText w:val=""/>
      <w:lvlJc w:val="left"/>
    </w:lvl>
    <w:lvl w:ilvl="3" w:tplc="28B4FDAE">
      <w:numFmt w:val="decimal"/>
      <w:lvlText w:val=""/>
      <w:lvlJc w:val="left"/>
    </w:lvl>
    <w:lvl w:ilvl="4" w:tplc="C0C020DC">
      <w:numFmt w:val="decimal"/>
      <w:lvlText w:val=""/>
      <w:lvlJc w:val="left"/>
    </w:lvl>
    <w:lvl w:ilvl="5" w:tplc="10B09D40">
      <w:numFmt w:val="decimal"/>
      <w:lvlText w:val=""/>
      <w:lvlJc w:val="left"/>
    </w:lvl>
    <w:lvl w:ilvl="6" w:tplc="29089296">
      <w:numFmt w:val="decimal"/>
      <w:lvlText w:val=""/>
      <w:lvlJc w:val="left"/>
    </w:lvl>
    <w:lvl w:ilvl="7" w:tplc="19785566">
      <w:numFmt w:val="decimal"/>
      <w:lvlText w:val=""/>
      <w:lvlJc w:val="left"/>
    </w:lvl>
    <w:lvl w:ilvl="8" w:tplc="A6BAACB6">
      <w:numFmt w:val="decimal"/>
      <w:lvlText w:val=""/>
      <w:lvlJc w:val="left"/>
    </w:lvl>
  </w:abstractNum>
  <w:abstractNum w:abstractNumId="2" w15:restartNumberingAfterBreak="0">
    <w:nsid w:val="76E75369"/>
    <w:multiLevelType w:val="hybridMultilevel"/>
    <w:tmpl w:val="5C440334"/>
    <w:lvl w:ilvl="0" w:tplc="2066461C">
      <w:start w:val="1"/>
      <w:numFmt w:val="decimal"/>
      <w:lvlText w:val="%1."/>
      <w:lvlJc w:val="left"/>
      <w:pPr>
        <w:ind w:left="540" w:hanging="300"/>
      </w:pPr>
    </w:lvl>
    <w:lvl w:ilvl="1" w:tplc="EE7A74F6">
      <w:numFmt w:val="decimal"/>
      <w:lvlText w:val=""/>
      <w:lvlJc w:val="left"/>
    </w:lvl>
    <w:lvl w:ilvl="2" w:tplc="A2E267A8">
      <w:numFmt w:val="decimal"/>
      <w:lvlText w:val=""/>
      <w:lvlJc w:val="left"/>
    </w:lvl>
    <w:lvl w:ilvl="3" w:tplc="019E542C">
      <w:numFmt w:val="decimal"/>
      <w:lvlText w:val=""/>
      <w:lvlJc w:val="left"/>
    </w:lvl>
    <w:lvl w:ilvl="4" w:tplc="A7529F0C">
      <w:numFmt w:val="decimal"/>
      <w:lvlText w:val=""/>
      <w:lvlJc w:val="left"/>
    </w:lvl>
    <w:lvl w:ilvl="5" w:tplc="339C687E">
      <w:numFmt w:val="decimal"/>
      <w:lvlText w:val=""/>
      <w:lvlJc w:val="left"/>
    </w:lvl>
    <w:lvl w:ilvl="6" w:tplc="0628A27E">
      <w:numFmt w:val="decimal"/>
      <w:lvlText w:val=""/>
      <w:lvlJc w:val="left"/>
    </w:lvl>
    <w:lvl w:ilvl="7" w:tplc="38C68560">
      <w:numFmt w:val="decimal"/>
      <w:lvlText w:val=""/>
      <w:lvlJc w:val="left"/>
    </w:lvl>
    <w:lvl w:ilvl="8" w:tplc="5B265270">
      <w:numFmt w:val="decimal"/>
      <w:lvlText w:val=""/>
      <w:lvlJc w:val="left"/>
    </w:lvl>
  </w:abstractNum>
  <w:num w:numId="1" w16cid:durableId="638263938">
    <w:abstractNumId w:val="0"/>
    <w:lvlOverride w:ilvl="0">
      <w:startOverride w:val="1"/>
    </w:lvlOverride>
  </w:num>
  <w:num w:numId="2" w16cid:durableId="12001190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0A9"/>
    <w:rsid w:val="00370AF7"/>
    <w:rsid w:val="007070A9"/>
    <w:rsid w:val="0094214B"/>
    <w:rsid w:val="00A02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69D6D4"/>
  <w15:docId w15:val="{AA595601-58D5-4A37-8DA4-90547302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2CE2"/>
    <w:pPr>
      <w:tabs>
        <w:tab w:val="center" w:pos="4513"/>
        <w:tab w:val="right" w:pos="9026"/>
      </w:tabs>
    </w:pPr>
  </w:style>
  <w:style w:type="character" w:customStyle="1" w:styleId="HeaderChar">
    <w:name w:val="Header Char"/>
    <w:basedOn w:val="DefaultParagraphFont"/>
    <w:link w:val="Header"/>
    <w:uiPriority w:val="99"/>
    <w:rsid w:val="00A02CE2"/>
  </w:style>
  <w:style w:type="paragraph" w:styleId="Footer">
    <w:name w:val="footer"/>
    <w:basedOn w:val="Normal"/>
    <w:link w:val="FooterChar"/>
    <w:uiPriority w:val="99"/>
    <w:unhideWhenUsed/>
    <w:rsid w:val="00A02CE2"/>
    <w:pPr>
      <w:tabs>
        <w:tab w:val="center" w:pos="4513"/>
        <w:tab w:val="right" w:pos="9026"/>
      </w:tabs>
    </w:pPr>
  </w:style>
  <w:style w:type="character" w:customStyle="1" w:styleId="FooterChar">
    <w:name w:val="Footer Char"/>
    <w:basedOn w:val="DefaultParagraphFont"/>
    <w:link w:val="Footer"/>
    <w:uiPriority w:val="99"/>
    <w:rsid w:val="00A02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1803</Words>
  <Characters>10283</Characters>
  <Application>Microsoft Office Word</Application>
  <DocSecurity>0</DocSecurity>
  <Lines>85</Lines>
  <Paragraphs>24</Paragraphs>
  <ScaleCrop>false</ScaleCrop>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sheikh prince</cp:lastModifiedBy>
  <cp:revision>2</cp:revision>
  <dcterms:created xsi:type="dcterms:W3CDTF">2026-06-19T16:06:00Z</dcterms:created>
  <dcterms:modified xsi:type="dcterms:W3CDTF">2026-06-19T16:18:00Z</dcterms:modified>
</cp:coreProperties>
</file>