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b/>
          <w:bCs/>
          <w:color w:val="2a78d6"/>
          <w:sz w:val="36"/>
          <w:szCs w:val="36"/>
        </w:rPr>
        <w:t xml:space="preserve">Introducción teórico-práctica al análisis de ancestría genética global y local en poblaciones mezcladas</w:t>
      </w:r>
    </w:p>
    <w:p>
      <w:pPr>
        <w:spacing w:after="120" w:line="276"/>
        <w:jc w:val="center"/>
      </w:pPr>
      <w:r>
        <w:rPr>
          <w:color w:val="52514e"/>
          <w:sz w:val="26"/>
          <w:szCs w:val="26"/>
        </w:rPr>
        <w:t xml:space="preserve">Plan del curso</w:t>
      </w:r>
    </w:p>
    <w:p>
      <w:pPr>
        <w:spacing w:after="400" w:line="276"/>
        <w:jc w:val="center"/>
      </w:pPr>
      <w:r>
        <w:rPr>
          <w:color w:val="52514e"/>
          <w:sz w:val="22"/>
          <w:szCs w:val="22"/>
        </w:rPr>
        <w:t xml:space="preserve">Asociación Colombiana de Genética Humana · Universidad del Rosario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200"/>
        <w:gridCol w:w="7160"/>
      </w:tblGrid>
      <w:tr>
        <w:trPr>
          <w:cantSplit/>
          <w:tblHeader/>
        </w:trPr>
        <w:tc>
          <w:tcPr>
            <w:tcW w:type="dxa" w:w="2200"/>
            <w:shd w:fill="f2f2f0" w:color="auto" w:val="clear"/>
            <w:tcMar>
              <w:top w:type="dxa" w:w="80"/>
              <w:left w:type="dxa" w:w="110"/>
              <w:bottom w:type="dxa" w:w="80"/>
              <w:right w:type="dxa" w:w="110"/>
            </w:tcMar>
          </w:tcPr>
          <w:p>
            <w:pPr>
              <w:spacing w:after="0" w:line="260"/>
            </w:pPr>
            <w:r>
              <w:rPr>
                <w:b/>
                <w:bCs/>
                <w:color w:val="1a1a1a"/>
                <w:sz w:val="20"/>
                <w:szCs w:val="20"/>
              </w:rPr>
              <w:t xml:space="preserve">Campo</w:t>
            </w:r>
          </w:p>
        </w:tc>
        <w:tc>
          <w:tcPr>
            <w:tcW w:type="dxa" w:w="7160"/>
            <w:shd w:fill="f2f2f0" w:color="auto" w:val="clear"/>
            <w:tcMar>
              <w:top w:type="dxa" w:w="80"/>
              <w:left w:type="dxa" w:w="110"/>
              <w:bottom w:type="dxa" w:w="80"/>
              <w:right w:type="dxa" w:w="110"/>
            </w:tcMar>
          </w:tcPr>
          <w:p>
            <w:pPr>
              <w:spacing w:after="0" w:line="260"/>
            </w:pPr>
            <w:r>
              <w:rPr>
                <w:b/>
                <w:bCs/>
                <w:color w:val="1a1a1a"/>
                <w:sz w:val="20"/>
                <w:szCs w:val="20"/>
              </w:rPr>
              <w:t xml:space="preserve">Detalle</w:t>
            </w:r>
          </w:p>
        </w:tc>
      </w:tr>
      <w:tr>
        <w:trPr>
          <w:cantSplit/>
          <w:tblHeader w:val="false"/>
        </w:trPr>
        <w:tc>
          <w:tcPr>
            <w:tcW w:type="dxa" w:w="2200"/>
            <w:tcMar>
              <w:top w:type="dxa" w:w="80"/>
              <w:left w:type="dxa" w:w="110"/>
              <w:bottom w:type="dxa" w:w="80"/>
              <w:right w:type="dxa" w:w="110"/>
            </w:tcMar>
          </w:tcPr>
          <w:p>
            <w:pPr>
              <w:spacing w:after="0" w:line="260"/>
            </w:pPr>
            <w:r>
              <w:rPr>
                <w:b w:val="false"/>
                <w:bCs w:val="false"/>
                <w:color w:val="1a1a1a"/>
                <w:sz w:val="20"/>
                <w:szCs w:val="20"/>
              </w:rPr>
              <w:t xml:space="preserve">Duración</w:t>
            </w:r>
          </w:p>
        </w:tc>
        <w:tc>
          <w:tcPr>
            <w:tcW w:type="dxa" w:w="7160"/>
            <w:tcMar>
              <w:top w:type="dxa" w:w="80"/>
              <w:left w:type="dxa" w:w="110"/>
              <w:bottom w:type="dxa" w:w="80"/>
              <w:right w:type="dxa" w:w="110"/>
            </w:tcMar>
          </w:tcPr>
          <w:p>
            <w:pPr>
              <w:spacing w:after="0" w:line="260"/>
            </w:pPr>
            <w:r>
              <w:rPr>
                <w:b w:val="false"/>
                <w:bCs w:val="false"/>
                <w:color w:val="1a1a1a"/>
                <w:sz w:val="20"/>
                <w:szCs w:val="20"/>
              </w:rPr>
              <w:t xml:space="preserve">12 horas: 4 teóricas asincrónicas y 8 prácticas sincrónicas</w:t>
            </w:r>
          </w:p>
        </w:tc>
      </w:tr>
      <w:tr>
        <w:trPr>
          <w:cantSplit/>
          <w:tblHeader w:val="false"/>
        </w:trPr>
        <w:tc>
          <w:tcPr>
            <w:tcW w:type="dxa" w:w="2200"/>
            <w:tcMar>
              <w:top w:type="dxa" w:w="80"/>
              <w:left w:type="dxa" w:w="110"/>
              <w:bottom w:type="dxa" w:w="80"/>
              <w:right w:type="dxa" w:w="110"/>
            </w:tcMar>
          </w:tcPr>
          <w:p>
            <w:pPr>
              <w:spacing w:after="0" w:line="260"/>
            </w:pPr>
            <w:r>
              <w:rPr>
                <w:b w:val="false"/>
                <w:bCs w:val="false"/>
                <w:color w:val="1a1a1a"/>
                <w:sz w:val="20"/>
                <w:szCs w:val="20"/>
              </w:rPr>
              <w:t xml:space="preserve">Modalidad</w:t>
            </w:r>
          </w:p>
        </w:tc>
        <w:tc>
          <w:tcPr>
            <w:tcW w:type="dxa" w:w="7160"/>
            <w:tcMar>
              <w:top w:type="dxa" w:w="80"/>
              <w:left w:type="dxa" w:w="110"/>
              <w:bottom w:type="dxa" w:w="80"/>
              <w:right w:type="dxa" w:w="110"/>
            </w:tcMar>
          </w:tcPr>
          <w:p>
            <w:pPr>
              <w:spacing w:after="0" w:line="260"/>
            </w:pPr>
            <w:r>
              <w:rPr>
                <w:b w:val="false"/>
                <w:bCs w:val="false"/>
                <w:color w:val="1a1a1a"/>
                <w:sz w:val="20"/>
                <w:szCs w:val="20"/>
              </w:rPr>
              <w:t xml:space="preserve">Virtual. Teoría en video y lecturas; práctica en vivo por videoconferencia</w:t>
            </w:r>
          </w:p>
        </w:tc>
      </w:tr>
      <w:tr>
        <w:trPr>
          <w:cantSplit/>
          <w:tblHeader w:val="false"/>
        </w:trPr>
        <w:tc>
          <w:tcPr>
            <w:tcW w:type="dxa" w:w="2200"/>
            <w:tcMar>
              <w:top w:type="dxa" w:w="80"/>
              <w:left w:type="dxa" w:w="110"/>
              <w:bottom w:type="dxa" w:w="80"/>
              <w:right w:type="dxa" w:w="110"/>
            </w:tcMar>
          </w:tcPr>
          <w:p>
            <w:pPr>
              <w:spacing w:after="0" w:line="260"/>
            </w:pPr>
            <w:r>
              <w:rPr>
                <w:b w:val="false"/>
                <w:bCs w:val="false"/>
                <w:color w:val="1a1a1a"/>
                <w:sz w:val="20"/>
                <w:szCs w:val="20"/>
              </w:rPr>
              <w:t xml:space="preserve">Sesiones en vivo</w:t>
            </w:r>
          </w:p>
        </w:tc>
        <w:tc>
          <w:tcPr>
            <w:tcW w:type="dxa" w:w="7160"/>
            <w:tcMar>
              <w:top w:type="dxa" w:w="80"/>
              <w:left w:type="dxa" w:w="110"/>
              <w:bottom w:type="dxa" w:w="80"/>
              <w:right w:type="dxa" w:w="110"/>
            </w:tcMar>
          </w:tcPr>
          <w:p>
            <w:pPr>
              <w:spacing w:after="0" w:line="260"/>
            </w:pPr>
            <w:r>
              <w:rPr>
                <w:b w:val="false"/>
                <w:bCs w:val="false"/>
                <w:color w:val="1a1a1a"/>
                <w:sz w:val="20"/>
                <w:szCs w:val="20"/>
              </w:rPr>
              <w:t xml:space="preserve">4 sábados de 2 horas, con descansos dentro de cada sesión</w:t>
            </w:r>
          </w:p>
        </w:tc>
      </w:tr>
      <w:tr>
        <w:trPr>
          <w:cantSplit/>
          <w:tblHeader w:val="false"/>
        </w:trPr>
        <w:tc>
          <w:tcPr>
            <w:tcW w:type="dxa" w:w="2200"/>
            <w:tcMar>
              <w:top w:type="dxa" w:w="80"/>
              <w:left w:type="dxa" w:w="110"/>
              <w:bottom w:type="dxa" w:w="80"/>
              <w:right w:type="dxa" w:w="110"/>
            </w:tcMar>
          </w:tcPr>
          <w:p>
            <w:pPr>
              <w:spacing w:after="0" w:line="260"/>
            </w:pPr>
            <w:r>
              <w:rPr>
                <w:b w:val="false"/>
                <w:bCs w:val="false"/>
                <w:color w:val="1a1a1a"/>
                <w:sz w:val="20"/>
                <w:szCs w:val="20"/>
              </w:rPr>
              <w:t xml:space="preserve">Público</w:t>
            </w:r>
          </w:p>
        </w:tc>
        <w:tc>
          <w:tcPr>
            <w:tcW w:type="dxa" w:w="7160"/>
            <w:tcMar>
              <w:top w:type="dxa" w:w="80"/>
              <w:left w:type="dxa" w:w="110"/>
              <w:bottom w:type="dxa" w:w="80"/>
              <w:right w:type="dxa" w:w="110"/>
            </w:tcMar>
          </w:tcPr>
          <w:p>
            <w:pPr>
              <w:spacing w:after="0" w:line="260"/>
            </w:pPr>
            <w:r>
              <w:rPr>
                <w:b w:val="false"/>
                <w:bCs w:val="false"/>
                <w:color w:val="1a1a1a"/>
                <w:sz w:val="20"/>
                <w:szCs w:val="20"/>
              </w:rPr>
              <w:t xml:space="preserve">Médicos y biólogos. No se requiere experiencia previa en programación</w:t>
            </w:r>
          </w:p>
        </w:tc>
      </w:tr>
      <w:tr>
        <w:trPr>
          <w:cantSplit/>
          <w:tblHeader w:val="false"/>
        </w:trPr>
        <w:tc>
          <w:tcPr>
            <w:tcW w:type="dxa" w:w="2200"/>
            <w:tcMar>
              <w:top w:type="dxa" w:w="80"/>
              <w:left w:type="dxa" w:w="110"/>
              <w:bottom w:type="dxa" w:w="80"/>
              <w:right w:type="dxa" w:w="110"/>
            </w:tcMar>
          </w:tcPr>
          <w:p>
            <w:pPr>
              <w:spacing w:after="0" w:line="260"/>
            </w:pPr>
            <w:r>
              <w:rPr>
                <w:b w:val="false"/>
                <w:bCs w:val="false"/>
                <w:color w:val="1a1a1a"/>
                <w:sz w:val="20"/>
                <w:szCs w:val="20"/>
              </w:rPr>
              <w:t xml:space="preserve">Herramientas</w:t>
            </w:r>
          </w:p>
        </w:tc>
        <w:tc>
          <w:tcPr>
            <w:tcW w:type="dxa" w:w="7160"/>
            <w:tcMar>
              <w:top w:type="dxa" w:w="80"/>
              <w:left w:type="dxa" w:w="110"/>
              <w:bottom w:type="dxa" w:w="80"/>
              <w:right w:type="dxa" w:w="110"/>
            </w:tcMar>
          </w:tcPr>
          <w:p>
            <w:pPr>
              <w:spacing w:after="0" w:line="260"/>
            </w:pPr>
            <w:r>
              <w:rPr>
                <w:b w:val="false"/>
                <w:bCs w:val="false"/>
                <w:color w:val="1a1a1a"/>
                <w:sz w:val="20"/>
                <w:szCs w:val="20"/>
              </w:rPr>
              <w:t xml:space="preserve">Google Colab (navegador). Los participantes no instalan nada</w:t>
            </w:r>
          </w:p>
        </w:tc>
      </w:tr>
      <w:tr>
        <w:trPr>
          <w:cantSplit/>
          <w:tblHeader w:val="false"/>
        </w:trPr>
        <w:tc>
          <w:tcPr>
            <w:tcW w:type="dxa" w:w="2200"/>
            <w:tcMar>
              <w:top w:type="dxa" w:w="80"/>
              <w:left w:type="dxa" w:w="110"/>
              <w:bottom w:type="dxa" w:w="80"/>
              <w:right w:type="dxa" w:w="110"/>
            </w:tcMar>
          </w:tcPr>
          <w:p>
            <w:pPr>
              <w:spacing w:after="0" w:line="260"/>
            </w:pPr>
            <w:r>
              <w:rPr>
                <w:b w:val="false"/>
                <w:bCs w:val="false"/>
                <w:color w:val="1a1a1a"/>
                <w:sz w:val="20"/>
                <w:szCs w:val="20"/>
              </w:rPr>
              <w:t xml:space="preserve">Materiales</w:t>
            </w:r>
          </w:p>
        </w:tc>
        <w:tc>
          <w:tcPr>
            <w:tcW w:type="dxa" w:w="7160"/>
            <w:tcMar>
              <w:top w:type="dxa" w:w="80"/>
              <w:left w:type="dxa" w:w="110"/>
              <w:bottom w:type="dxa" w:w="80"/>
              <w:right w:type="dxa" w:w="110"/>
            </w:tcMar>
          </w:tcPr>
          <w:p>
            <w:pPr>
              <w:spacing w:after="0" w:line="260"/>
            </w:pPr>
            <w:r>
              <w:rPr>
                <w:b w:val="false"/>
                <w:bCs w:val="false"/>
                <w:color w:val="1a1a1a"/>
                <w:sz w:val="20"/>
                <w:szCs w:val="20"/>
              </w:rPr>
              <w:t xml:space="preserve">Repositorio público con los cuadernos de práctica y los datos</w:t>
            </w:r>
          </w:p>
        </w:tc>
      </w:tr>
    </w:tbl>
    <w:p>
      <w:r>
        <w:br w:type="page"/>
      </w:r>
    </w:p>
    <w:p>
      <w:pPr>
        <w:pStyle w:val="Heading1"/>
        <w:spacing w:after="160" w:before="320"/>
      </w:pPr>
      <w:r>
        <w:rPr>
          <w:b/>
          <w:bCs/>
          <w:color w:val="2a78d6"/>
          <w:sz w:val="30"/>
          <w:szCs w:val="30"/>
        </w:rPr>
        <w:t xml:space="preserve">1. Objetivos</w:t>
      </w:r>
    </w:p>
    <w:p>
      <w:pPr>
        <w:spacing w:after="120" w:line="276"/>
      </w:pPr>
      <w:r>
        <w:rPr>
          <w:color w:val="1a1a1a"/>
          <w:sz w:val="22"/>
          <w:szCs w:val="22"/>
        </w:rPr>
        <w:t xml:space="preserve">Brindar las bases conceptuales y prácticas para realizar análisis de ancestría genética global y local con datos genómicos reales y las herramientas que se usan en investigación.</w:t>
      </w:r>
    </w:p>
    <w:p>
      <w:pPr>
        <w:spacing w:after="100" w:line="276"/>
      </w:pPr>
      <w:r>
        <w:rPr>
          <w:b/>
          <w:bCs/>
          <w:color w:val="1a1a1a"/>
          <w:sz w:val="22"/>
          <w:szCs w:val="22"/>
        </w:rPr>
        <w:t xml:space="preserve">Al terminar el curso, el participante podrá:</w:t>
      </w:r>
    </w:p>
    <w:p>
      <w:pPr>
        <w:pStyle w:val="ListParagraph"/>
        <w:numPr>
          <w:ilvl w:val="0"/>
          <w:numId w:val="2"/>
        </w:numPr>
        <w:spacing w:after="80" w:line="276"/>
      </w:pPr>
      <w:r>
        <w:rPr>
          <w:color w:val="1a1a1a"/>
          <w:sz w:val="22"/>
          <w:szCs w:val="22"/>
        </w:rPr>
        <w:t xml:space="preserve">Reconocer los formatos de datos genómicos (VCF y PLINK) y aplicar un control de calidad adecuado para análisis de ancestría.</w:t>
      </w:r>
    </w:p>
    <w:p>
      <w:pPr>
        <w:pStyle w:val="ListParagraph"/>
        <w:numPr>
          <w:ilvl w:val="0"/>
          <w:numId w:val="2"/>
        </w:numPr>
        <w:spacing w:after="80" w:line="276"/>
      </w:pPr>
      <w:r>
        <w:rPr>
          <w:color w:val="1a1a1a"/>
          <w:sz w:val="22"/>
          <w:szCs w:val="22"/>
        </w:rPr>
        <w:t xml:space="preserve">Ejecutar e interpretar un análisis de componentes principales (PCA) y un análisis de ancestría global con ADMIXTURE.</w:t>
      </w:r>
    </w:p>
    <w:p>
      <w:pPr>
        <w:pStyle w:val="ListParagraph"/>
        <w:numPr>
          <w:ilvl w:val="0"/>
          <w:numId w:val="2"/>
        </w:numPr>
        <w:spacing w:after="80" w:line="276"/>
      </w:pPr>
      <w:r>
        <w:rPr>
          <w:color w:val="1a1a1a"/>
          <w:sz w:val="22"/>
          <w:szCs w:val="22"/>
        </w:rPr>
        <w:t xml:space="preserve">Ejecutar e interpretar un análisis de ancestría local con RFMix, y visualizarlo sobre el cromosoma.</w:t>
      </w:r>
    </w:p>
    <w:p>
      <w:pPr>
        <w:pStyle w:val="ListParagraph"/>
        <w:numPr>
          <w:ilvl w:val="0"/>
          <w:numId w:val="2"/>
        </w:numPr>
        <w:spacing w:after="80" w:line="276"/>
      </w:pPr>
      <w:r>
        <w:rPr>
          <w:color w:val="1a1a1a"/>
          <w:sz w:val="22"/>
          <w:szCs w:val="22"/>
        </w:rPr>
        <w:t xml:space="preserve">Explicar por qué la ancestría importa en el admixture mapping, en los puntajes de riesgo poligénico y en la medicina de precisión.</w:t>
      </w:r>
    </w:p>
    <w:p>
      <w:pPr>
        <w:pStyle w:val="ListParagraph"/>
        <w:numPr>
          <w:ilvl w:val="0"/>
          <w:numId w:val="2"/>
        </w:numPr>
        <w:spacing w:after="80" w:line="276"/>
      </w:pPr>
      <w:r>
        <w:rPr>
          <w:color w:val="1a1a1a"/>
          <w:sz w:val="22"/>
          <w:szCs w:val="22"/>
        </w:rPr>
        <w:t xml:space="preserve">Reconocer las limitaciones de cada método y los errores de interpretación más frecuentes.</w:t>
      </w:r>
    </w:p>
    <w:p>
      <w:pPr>
        <w:pStyle w:val="Heading1"/>
        <w:spacing w:after="160" w:before="320"/>
      </w:pPr>
      <w:r>
        <w:rPr>
          <w:b/>
          <w:bCs/>
          <w:color w:val="2a78d6"/>
          <w:sz w:val="30"/>
          <w:szCs w:val="30"/>
        </w:rPr>
        <w:t xml:space="preserve">2. Cronograma</w:t>
      </w:r>
    </w:p>
    <w:p>
      <w:pPr>
        <w:spacing w:after="120" w:line="276"/>
      </w:pPr>
      <w:r>
        <w:rPr>
          <w:color w:val="1a1a1a"/>
          <w:sz w:val="22"/>
          <w:szCs w:val="22"/>
        </w:rPr>
        <w:t xml:space="preserve">Las sesiones en vivo son los sábados. Cada módulo teórico se entrega el viernes de la semana anterior a su sesión, de modo que los participantes lleguen con la teoría vista.</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500"/>
        <w:gridCol w:w="5560"/>
        <w:gridCol w:w="1300"/>
      </w:tblGrid>
      <w:tr>
        <w:trPr>
          <w:cantSplit/>
          <w:tblHeader/>
        </w:trPr>
        <w:tc>
          <w:tcPr>
            <w:tcW w:type="dxa" w:w="2500"/>
            <w:shd w:fill="f2f2f0" w:color="auto" w:val="clear"/>
            <w:tcMar>
              <w:top w:type="dxa" w:w="80"/>
              <w:left w:type="dxa" w:w="110"/>
              <w:bottom w:type="dxa" w:w="80"/>
              <w:right w:type="dxa" w:w="110"/>
            </w:tcMar>
          </w:tcPr>
          <w:p>
            <w:pPr>
              <w:spacing w:after="0" w:line="260"/>
            </w:pPr>
            <w:r>
              <w:rPr>
                <w:b/>
                <w:bCs/>
                <w:color w:val="1a1a1a"/>
                <w:sz w:val="20"/>
                <w:szCs w:val="20"/>
              </w:rPr>
              <w:t xml:space="preserve">Fecha</w:t>
            </w:r>
          </w:p>
        </w:tc>
        <w:tc>
          <w:tcPr>
            <w:tcW w:type="dxa" w:w="5560"/>
            <w:shd w:fill="f2f2f0" w:color="auto" w:val="clear"/>
            <w:tcMar>
              <w:top w:type="dxa" w:w="80"/>
              <w:left w:type="dxa" w:w="110"/>
              <w:bottom w:type="dxa" w:w="80"/>
              <w:right w:type="dxa" w:w="110"/>
            </w:tcMar>
          </w:tcPr>
          <w:p>
            <w:pPr>
              <w:spacing w:after="0" w:line="260"/>
            </w:pPr>
            <w:r>
              <w:rPr>
                <w:b/>
                <w:bCs/>
                <w:color w:val="1a1a1a"/>
                <w:sz w:val="20"/>
                <w:szCs w:val="20"/>
              </w:rPr>
              <w:t xml:space="preserve">Qué pasa</w:t>
            </w:r>
          </w:p>
        </w:tc>
        <w:tc>
          <w:tcPr>
            <w:tcW w:type="dxa" w:w="1300"/>
            <w:shd w:fill="f2f2f0" w:color="auto" w:val="clear"/>
            <w:tcMar>
              <w:top w:type="dxa" w:w="80"/>
              <w:left w:type="dxa" w:w="110"/>
              <w:bottom w:type="dxa" w:w="80"/>
              <w:right w:type="dxa" w:w="110"/>
            </w:tcMar>
          </w:tcPr>
          <w:p>
            <w:pPr>
              <w:spacing w:after="0" w:line="260"/>
            </w:pPr>
            <w:r>
              <w:rPr>
                <w:b/>
                <w:bCs/>
                <w:color w:val="1a1a1a"/>
                <w:sz w:val="20"/>
                <w:szCs w:val="20"/>
              </w:rPr>
              <w:t xml:space="preserve">Duración</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Lunes 9 de noviembre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Apertura del curso en la plataforma</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Viernes 13 de noviembre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Entrega del módulo teórico 1: Fundamentos</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1 h</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Sábado 21 de noviembre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Sesión 1: formatos de datos y control de calidad</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2 h</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Viernes 20 de noviembre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Entrega del módulo teórico 2: Ancestría global</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1 h</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Sábado 28 de noviembre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Sesión 2: PCA y ADMIXTURE</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2 h</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Viernes 27 de noviembre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Entrega del módulo teórico 3: Ancestría local</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1 h</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Sábado 5 de diciembre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Sesión 3: ancestría local con RFMix</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2 h</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Viernes 4 de diciembre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Entrega del módulo teórico 4: Aplicaciones</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1 h</w:t>
            </w:r>
          </w:p>
        </w:tc>
      </w:tr>
      <w:tr>
        <w:trPr>
          <w:cantSplit/>
          <w:tblHeader w:val="false"/>
        </w:trPr>
        <w:tc>
          <w:tcPr>
            <w:tcW w:type="dxa" w:w="2500"/>
            <w:tcMar>
              <w:top w:type="dxa" w:w="80"/>
              <w:left w:type="dxa" w:w="110"/>
              <w:bottom w:type="dxa" w:w="80"/>
              <w:right w:type="dxa" w:w="110"/>
            </w:tcMar>
          </w:tcPr>
          <w:p>
            <w:pPr>
              <w:spacing w:after="0" w:line="260"/>
            </w:pPr>
            <w:r>
              <w:rPr>
                <w:b w:val="false"/>
                <w:bCs w:val="false"/>
                <w:color w:val="1a1a1a"/>
                <w:sz w:val="20"/>
                <w:szCs w:val="20"/>
              </w:rPr>
              <w:t xml:space="preserve">Sábado 12 de diciembre</w:t>
            </w:r>
          </w:p>
        </w:tc>
        <w:tc>
          <w:tcPr>
            <w:tcW w:type="dxa" w:w="5560"/>
            <w:tcMar>
              <w:top w:type="dxa" w:w="80"/>
              <w:left w:type="dxa" w:w="110"/>
              <w:bottom w:type="dxa" w:w="80"/>
              <w:right w:type="dxa" w:w="110"/>
            </w:tcMar>
          </w:tcPr>
          <w:p>
            <w:pPr>
              <w:spacing w:after="0" w:line="260"/>
            </w:pPr>
            <w:r>
              <w:rPr>
                <w:b w:val="false"/>
                <w:bCs w:val="false"/>
                <w:color w:val="1a1a1a"/>
                <w:sz w:val="20"/>
                <w:szCs w:val="20"/>
              </w:rPr>
              <w:t xml:space="preserve">Sesión 4: interpretación y aplicaciones</w:t>
            </w:r>
          </w:p>
        </w:tc>
        <w:tc>
          <w:tcPr>
            <w:tcW w:type="dxa" w:w="1300"/>
            <w:tcMar>
              <w:top w:type="dxa" w:w="80"/>
              <w:left w:type="dxa" w:w="110"/>
              <w:bottom w:type="dxa" w:w="80"/>
              <w:right w:type="dxa" w:w="110"/>
            </w:tcMar>
          </w:tcPr>
          <w:p>
            <w:pPr>
              <w:spacing w:after="0" w:line="260"/>
            </w:pPr>
            <w:r>
              <w:rPr>
                <w:b w:val="false"/>
                <w:bCs w:val="false"/>
                <w:color w:val="1a1a1a"/>
                <w:sz w:val="20"/>
                <w:szCs w:val="20"/>
              </w:rPr>
              <w:t xml:space="preserve">2 h</w:t>
            </w:r>
          </w:p>
        </w:tc>
      </w:tr>
    </w:tbl>
    <w:p>
      <w:pPr>
        <w:spacing w:after="120" w:line="276"/>
      </w:pPr>
      <w:r>
        <w:rPr>
          <w:i/>
          <w:iCs/>
          <w:color w:val="52514e"/>
          <w:sz w:val="20"/>
          <w:szCs w:val="20"/>
        </w:rPr>
        <w:t xml:space="preserve">Nota sobre las fechas: el sábado 14 de noviembre no se usa porque el lunes 16 es festivo y esa primera sesión caería en puente. Terminar el 12 de diciembre evita además la semana previa a Navidad.</w:t>
      </w:r>
    </w:p>
    <w:p>
      <w:pPr>
        <w:pStyle w:val="Heading1"/>
        <w:spacing w:after="160" w:before="320"/>
      </w:pPr>
      <w:r>
        <w:rPr>
          <w:b/>
          <w:bCs/>
          <w:color w:val="2a78d6"/>
          <w:sz w:val="30"/>
          <w:szCs w:val="30"/>
        </w:rPr>
        <w:t xml:space="preserve">3. Estructura</w:t>
      </w:r>
    </w:p>
    <w:p>
      <w:pPr>
        <w:spacing w:after="120" w:line="276"/>
      </w:pPr>
      <w:r>
        <w:rPr>
          <w:color w:val="1a1a1a"/>
          <w:sz w:val="22"/>
          <w:szCs w:val="22"/>
        </w:rPr>
        <w:t xml:space="preserve">El curso alterna teoría asincrónica y práctica sincrónica. Cada módulo teórico prepara exactamente la sesión práctica que le sigue.</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560"/>
        <w:gridCol w:w="4200"/>
        <w:gridCol w:w="4600"/>
      </w:tblGrid>
      <w:tr>
        <w:trPr>
          <w:cantSplit/>
          <w:tblHeader/>
        </w:trPr>
        <w:tc>
          <w:tcPr>
            <w:tcW w:type="dxa" w:w="560"/>
            <w:shd w:fill="f2f2f0" w:color="auto" w:val="clear"/>
            <w:tcMar>
              <w:top w:type="dxa" w:w="80"/>
              <w:left w:type="dxa" w:w="110"/>
              <w:bottom w:type="dxa" w:w="80"/>
              <w:right w:type="dxa" w:w="110"/>
            </w:tcMar>
          </w:tcPr>
          <w:p>
            <w:pPr>
              <w:spacing w:after="0" w:line="260"/>
            </w:pPr>
            <w:r>
              <w:rPr>
                <w:b/>
                <w:bCs/>
                <w:color w:val="1a1a1a"/>
                <w:sz w:val="20"/>
                <w:szCs w:val="20"/>
              </w:rPr>
              <w:t xml:space="preserve"/>
            </w:r>
          </w:p>
        </w:tc>
        <w:tc>
          <w:tcPr>
            <w:tcW w:type="dxa" w:w="4200"/>
            <w:shd w:fill="f2f2f0" w:color="auto" w:val="clear"/>
            <w:tcMar>
              <w:top w:type="dxa" w:w="80"/>
              <w:left w:type="dxa" w:w="110"/>
              <w:bottom w:type="dxa" w:w="80"/>
              <w:right w:type="dxa" w:w="110"/>
            </w:tcMar>
          </w:tcPr>
          <w:p>
            <w:pPr>
              <w:spacing w:after="0" w:line="260"/>
            </w:pPr>
            <w:r>
              <w:rPr>
                <w:b/>
                <w:bCs/>
                <w:color w:val="1a1a1a"/>
                <w:sz w:val="20"/>
                <w:szCs w:val="20"/>
              </w:rPr>
              <w:t xml:space="preserve">Módulo teórico (1 h, asincrónico)</w:t>
            </w:r>
          </w:p>
        </w:tc>
        <w:tc>
          <w:tcPr>
            <w:tcW w:type="dxa" w:w="4600"/>
            <w:shd w:fill="f2f2f0" w:color="auto" w:val="clear"/>
            <w:tcMar>
              <w:top w:type="dxa" w:w="80"/>
              <w:left w:type="dxa" w:w="110"/>
              <w:bottom w:type="dxa" w:w="80"/>
              <w:right w:type="dxa" w:w="110"/>
            </w:tcMar>
          </w:tcPr>
          <w:p>
            <w:pPr>
              <w:spacing w:after="0" w:line="260"/>
            </w:pPr>
            <w:r>
              <w:rPr>
                <w:b/>
                <w:bCs/>
                <w:color w:val="1a1a1a"/>
                <w:sz w:val="20"/>
                <w:szCs w:val="20"/>
              </w:rPr>
              <w:t xml:space="preserve">Sesión práctica (2 h, en vivo)</w:t>
            </w:r>
          </w:p>
        </w:tc>
      </w:tr>
      <w:tr>
        <w:trPr>
          <w:cantSplit/>
          <w:tblHeader w:val="false"/>
        </w:trPr>
        <w:tc>
          <w:tcPr>
            <w:tcW w:type="dxa" w:w="560"/>
            <w:tcMar>
              <w:top w:type="dxa" w:w="80"/>
              <w:left w:type="dxa" w:w="110"/>
              <w:bottom w:type="dxa" w:w="80"/>
              <w:right w:type="dxa" w:w="110"/>
            </w:tcMar>
          </w:tcPr>
          <w:p>
            <w:pPr>
              <w:spacing w:after="0" w:line="260"/>
            </w:pPr>
            <w:r>
              <w:rPr>
                <w:b w:val="false"/>
                <w:bCs w:val="false"/>
                <w:color w:val="1a1a1a"/>
                <w:sz w:val="20"/>
                <w:szCs w:val="20"/>
              </w:rPr>
              <w:t xml:space="preserve">1</w:t>
            </w:r>
          </w:p>
        </w:tc>
        <w:tc>
          <w:tcPr>
            <w:tcW w:type="dxa" w:w="4200"/>
            <w:tcMar>
              <w:top w:type="dxa" w:w="80"/>
              <w:left w:type="dxa" w:w="110"/>
              <w:bottom w:type="dxa" w:w="80"/>
              <w:right w:type="dxa" w:w="110"/>
            </w:tcMar>
          </w:tcPr>
          <w:p>
            <w:pPr>
              <w:spacing w:after="0" w:line="260"/>
            </w:pPr>
            <w:r>
              <w:rPr>
                <w:b w:val="false"/>
                <w:bCs w:val="false"/>
                <w:color w:val="1a1a1a"/>
                <w:sz w:val="20"/>
                <w:szCs w:val="20"/>
              </w:rPr>
              <w:t xml:space="preserve">Fundamentos de genética poblacional</w:t>
            </w:r>
          </w:p>
        </w:tc>
        <w:tc>
          <w:tcPr>
            <w:tcW w:type="dxa" w:w="4600"/>
            <w:tcMar>
              <w:top w:type="dxa" w:w="80"/>
              <w:left w:type="dxa" w:w="110"/>
              <w:bottom w:type="dxa" w:w="80"/>
              <w:right w:type="dxa" w:w="110"/>
            </w:tcMar>
          </w:tcPr>
          <w:p>
            <w:pPr>
              <w:spacing w:after="0" w:line="260"/>
            </w:pPr>
            <w:r>
              <w:rPr>
                <w:b w:val="false"/>
                <w:bCs w:val="false"/>
                <w:color w:val="1a1a1a"/>
                <w:sz w:val="20"/>
                <w:szCs w:val="20"/>
              </w:rPr>
              <w:t xml:space="preserve">Formatos de datos y control de calidad</w:t>
            </w:r>
          </w:p>
        </w:tc>
      </w:tr>
      <w:tr>
        <w:trPr>
          <w:cantSplit/>
          <w:tblHeader w:val="false"/>
        </w:trPr>
        <w:tc>
          <w:tcPr>
            <w:tcW w:type="dxa" w:w="560"/>
            <w:tcMar>
              <w:top w:type="dxa" w:w="80"/>
              <w:left w:type="dxa" w:w="110"/>
              <w:bottom w:type="dxa" w:w="80"/>
              <w:right w:type="dxa" w:w="110"/>
            </w:tcMar>
          </w:tcPr>
          <w:p>
            <w:pPr>
              <w:spacing w:after="0" w:line="260"/>
            </w:pPr>
            <w:r>
              <w:rPr>
                <w:b w:val="false"/>
                <w:bCs w:val="false"/>
                <w:color w:val="1a1a1a"/>
                <w:sz w:val="20"/>
                <w:szCs w:val="20"/>
              </w:rPr>
              <w:t xml:space="preserve">2</w:t>
            </w:r>
          </w:p>
        </w:tc>
        <w:tc>
          <w:tcPr>
            <w:tcW w:type="dxa" w:w="4200"/>
            <w:tcMar>
              <w:top w:type="dxa" w:w="80"/>
              <w:left w:type="dxa" w:w="110"/>
              <w:bottom w:type="dxa" w:w="80"/>
              <w:right w:type="dxa" w:w="110"/>
            </w:tcMar>
          </w:tcPr>
          <w:p>
            <w:pPr>
              <w:spacing w:after="0" w:line="260"/>
            </w:pPr>
            <w:r>
              <w:rPr>
                <w:b w:val="false"/>
                <w:bCs w:val="false"/>
                <w:color w:val="1a1a1a"/>
                <w:sz w:val="20"/>
                <w:szCs w:val="20"/>
              </w:rPr>
              <w:t xml:space="preserve">Ancestría global: PCA y ADMIXTURE</w:t>
            </w:r>
          </w:p>
        </w:tc>
        <w:tc>
          <w:tcPr>
            <w:tcW w:type="dxa" w:w="4600"/>
            <w:tcMar>
              <w:top w:type="dxa" w:w="80"/>
              <w:left w:type="dxa" w:w="110"/>
              <w:bottom w:type="dxa" w:w="80"/>
              <w:right w:type="dxa" w:w="110"/>
            </w:tcMar>
          </w:tcPr>
          <w:p>
            <w:pPr>
              <w:spacing w:after="0" w:line="260"/>
            </w:pPr>
            <w:r>
              <w:rPr>
                <w:b w:val="false"/>
                <w:bCs w:val="false"/>
                <w:color w:val="1a1a1a"/>
                <w:sz w:val="20"/>
                <w:szCs w:val="20"/>
              </w:rPr>
              <w:t xml:space="preserve">PCA y ADMIXTURE en datos reales</w:t>
            </w:r>
          </w:p>
        </w:tc>
      </w:tr>
      <w:tr>
        <w:trPr>
          <w:cantSplit/>
          <w:tblHeader w:val="false"/>
        </w:trPr>
        <w:tc>
          <w:tcPr>
            <w:tcW w:type="dxa" w:w="560"/>
            <w:tcMar>
              <w:top w:type="dxa" w:w="80"/>
              <w:left w:type="dxa" w:w="110"/>
              <w:bottom w:type="dxa" w:w="80"/>
              <w:right w:type="dxa" w:w="110"/>
            </w:tcMar>
          </w:tcPr>
          <w:p>
            <w:pPr>
              <w:spacing w:after="0" w:line="260"/>
            </w:pPr>
            <w:r>
              <w:rPr>
                <w:b w:val="false"/>
                <w:bCs w:val="false"/>
                <w:color w:val="1a1a1a"/>
                <w:sz w:val="20"/>
                <w:szCs w:val="20"/>
              </w:rPr>
              <w:t xml:space="preserve">3</w:t>
            </w:r>
          </w:p>
        </w:tc>
        <w:tc>
          <w:tcPr>
            <w:tcW w:type="dxa" w:w="4200"/>
            <w:tcMar>
              <w:top w:type="dxa" w:w="80"/>
              <w:left w:type="dxa" w:w="110"/>
              <w:bottom w:type="dxa" w:w="80"/>
              <w:right w:type="dxa" w:w="110"/>
            </w:tcMar>
          </w:tcPr>
          <w:p>
            <w:pPr>
              <w:spacing w:after="0" w:line="260"/>
            </w:pPr>
            <w:r>
              <w:rPr>
                <w:b w:val="false"/>
                <w:bCs w:val="false"/>
                <w:color w:val="1a1a1a"/>
                <w:sz w:val="20"/>
                <w:szCs w:val="20"/>
              </w:rPr>
              <w:t xml:space="preserve">Ancestría local: phasing, haplotipos y HMM</w:t>
            </w:r>
          </w:p>
        </w:tc>
        <w:tc>
          <w:tcPr>
            <w:tcW w:type="dxa" w:w="4600"/>
            <w:tcMar>
              <w:top w:type="dxa" w:w="80"/>
              <w:left w:type="dxa" w:w="110"/>
              <w:bottom w:type="dxa" w:w="80"/>
              <w:right w:type="dxa" w:w="110"/>
            </w:tcMar>
          </w:tcPr>
          <w:p>
            <w:pPr>
              <w:spacing w:after="0" w:line="260"/>
            </w:pPr>
            <w:r>
              <w:rPr>
                <w:b w:val="false"/>
                <w:bCs w:val="false"/>
                <w:color w:val="1a1a1a"/>
                <w:sz w:val="20"/>
                <w:szCs w:val="20"/>
              </w:rPr>
              <w:t xml:space="preserve">Ancestría local con RFMix</w:t>
            </w:r>
          </w:p>
        </w:tc>
      </w:tr>
      <w:tr>
        <w:trPr>
          <w:cantSplit/>
          <w:tblHeader w:val="false"/>
        </w:trPr>
        <w:tc>
          <w:tcPr>
            <w:tcW w:type="dxa" w:w="560"/>
            <w:tcMar>
              <w:top w:type="dxa" w:w="80"/>
              <w:left w:type="dxa" w:w="110"/>
              <w:bottom w:type="dxa" w:w="80"/>
              <w:right w:type="dxa" w:w="110"/>
            </w:tcMar>
          </w:tcPr>
          <w:p>
            <w:pPr>
              <w:spacing w:after="0" w:line="260"/>
            </w:pPr>
            <w:r>
              <w:rPr>
                <w:b w:val="false"/>
                <w:bCs w:val="false"/>
                <w:color w:val="1a1a1a"/>
                <w:sz w:val="20"/>
                <w:szCs w:val="20"/>
              </w:rPr>
              <w:t xml:space="preserve">4</w:t>
            </w:r>
          </w:p>
        </w:tc>
        <w:tc>
          <w:tcPr>
            <w:tcW w:type="dxa" w:w="4200"/>
            <w:tcMar>
              <w:top w:type="dxa" w:w="80"/>
              <w:left w:type="dxa" w:w="110"/>
              <w:bottom w:type="dxa" w:w="80"/>
              <w:right w:type="dxa" w:w="110"/>
            </w:tcMar>
          </w:tcPr>
          <w:p>
            <w:pPr>
              <w:spacing w:after="0" w:line="260"/>
            </w:pPr>
            <w:r>
              <w:rPr>
                <w:b w:val="false"/>
                <w:bCs w:val="false"/>
                <w:color w:val="1a1a1a"/>
                <w:sz w:val="20"/>
                <w:szCs w:val="20"/>
              </w:rPr>
              <w:t xml:space="preserve">Aplicaciones de la ancestría</w:t>
            </w:r>
          </w:p>
        </w:tc>
        <w:tc>
          <w:tcPr>
            <w:tcW w:type="dxa" w:w="4600"/>
            <w:tcMar>
              <w:top w:type="dxa" w:w="80"/>
              <w:left w:type="dxa" w:w="110"/>
              <w:bottom w:type="dxa" w:w="80"/>
              <w:right w:type="dxa" w:w="110"/>
            </w:tcMar>
          </w:tcPr>
          <w:p>
            <w:pPr>
              <w:spacing w:after="0" w:line="260"/>
            </w:pPr>
            <w:r>
              <w:rPr>
                <w:b w:val="false"/>
                <w:bCs w:val="false"/>
                <w:color w:val="1a1a1a"/>
                <w:sz w:val="20"/>
                <w:szCs w:val="20"/>
              </w:rPr>
              <w:t xml:space="preserve">Interpretación y aplicaciones</w:t>
            </w:r>
          </w:p>
        </w:tc>
      </w:tr>
    </w:tbl>
    <w:p>
      <w:pPr>
        <w:pStyle w:val="Heading1"/>
        <w:spacing w:after="160" w:before="320"/>
      </w:pPr>
      <w:r>
        <w:rPr>
          <w:b/>
          <w:bCs/>
          <w:color w:val="2a78d6"/>
          <w:sz w:val="30"/>
          <w:szCs w:val="30"/>
        </w:rPr>
        <w:t xml:space="preserve">4. Módulos teóricos (4 horas asincrónicas)</w:t>
      </w:r>
    </w:p>
    <w:p>
      <w:pPr>
        <w:spacing w:after="120" w:line="276"/>
      </w:pPr>
      <w:r>
        <w:rPr>
          <w:color w:val="1a1a1a"/>
          <w:sz w:val="22"/>
          <w:szCs w:val="22"/>
        </w:rPr>
        <w:t xml:space="preserve">Cada módulo son 4 o 5 cápsulas de video de 6 minutos o menos, más una lectura corta. Las cápsulas breves retienen la atención mucho mejor que los videos largos (Guo et al., 2014).</w:t>
      </w:r>
    </w:p>
    <w:p>
      <w:pPr>
        <w:pStyle w:val="Heading2"/>
        <w:spacing w:after="120" w:before="240"/>
      </w:pPr>
      <w:r>
        <w:rPr>
          <w:b/>
          <w:bCs/>
          <w:color w:val="1a1a1a"/>
          <w:sz w:val="25"/>
          <w:szCs w:val="25"/>
        </w:rPr>
        <w:t xml:space="preserve">Módulo 1. Fundamentos de genética poblacional y ancestría</w:t>
      </w:r>
    </w:p>
    <w:p>
      <w:pPr>
        <w:spacing w:after="60" w:line="276"/>
      </w:pPr>
      <w:r>
        <w:rPr>
          <w:b/>
          <w:bCs/>
          <w:color w:val="1a1a1a"/>
          <w:sz w:val="22"/>
          <w:szCs w:val="22"/>
        </w:rPr>
        <w:t xml:space="preserve">Contenidos</w:t>
      </w:r>
    </w:p>
    <w:p>
      <w:pPr>
        <w:pStyle w:val="ListParagraph"/>
        <w:numPr>
          <w:ilvl w:val="0"/>
          <w:numId w:val="2"/>
        </w:numPr>
        <w:spacing w:after="80" w:line="276"/>
      </w:pPr>
      <w:r>
        <w:rPr>
          <w:color w:val="1a1a1a"/>
          <w:sz w:val="22"/>
          <w:szCs w:val="22"/>
        </w:rPr>
        <w:t xml:space="preserve">Variación genética humana: cuánto y cómo varían los genomas entre personas.</w:t>
      </w:r>
    </w:p>
    <w:p>
      <w:pPr>
        <w:pStyle w:val="ListParagraph"/>
        <w:numPr>
          <w:ilvl w:val="0"/>
          <w:numId w:val="2"/>
        </w:numPr>
        <w:spacing w:after="80" w:line="276"/>
      </w:pPr>
      <w:r>
        <w:rPr>
          <w:color w:val="1a1a1a"/>
          <w:sz w:val="22"/>
          <w:szCs w:val="22"/>
        </w:rPr>
        <w:t xml:space="preserve">SNPs y haplotipos: la unidad de variación y cómo se heredan en bloques.</w:t>
      </w:r>
    </w:p>
    <w:p>
      <w:pPr>
        <w:pStyle w:val="ListParagraph"/>
        <w:numPr>
          <w:ilvl w:val="0"/>
          <w:numId w:val="2"/>
        </w:numPr>
        <w:spacing w:after="80" w:line="276"/>
      </w:pPr>
      <w:r>
        <w:rPr>
          <w:color w:val="1a1a1a"/>
          <w:sz w:val="22"/>
          <w:szCs w:val="22"/>
        </w:rPr>
        <w:t xml:space="preserve">Desequilibrio de ligamiento: por qué las variantes cercanas viajan juntas.</w:t>
      </w:r>
    </w:p>
    <w:p>
      <w:pPr>
        <w:pStyle w:val="ListParagraph"/>
        <w:numPr>
          <w:ilvl w:val="0"/>
          <w:numId w:val="2"/>
        </w:numPr>
        <w:spacing w:after="80" w:line="276"/>
      </w:pPr>
      <w:r>
        <w:rPr>
          <w:color w:val="1a1a1a"/>
          <w:sz w:val="22"/>
          <w:szCs w:val="22"/>
        </w:rPr>
        <w:t xml:space="preserve">Estructura poblacional: cómo la historia demográfica deja huella en las frecuencias alélicas.</w:t>
      </w:r>
    </w:p>
    <w:p>
      <w:pPr>
        <w:pStyle w:val="ListParagraph"/>
        <w:numPr>
          <w:ilvl w:val="0"/>
          <w:numId w:val="2"/>
        </w:numPr>
        <w:spacing w:after="80" w:line="276"/>
      </w:pPr>
      <w:r>
        <w:rPr>
          <w:color w:val="1a1a1a"/>
          <w:sz w:val="22"/>
          <w:szCs w:val="22"/>
        </w:rPr>
        <w:t xml:space="preserve">Poblaciones mezcladas: qué significa ancestría genética y en qué se diferencia de la identidad o el origen geográfico declarado.</w:t>
      </w:r>
    </w:p>
    <w:p>
      <w:pPr>
        <w:spacing w:after="60" w:line="276"/>
      </w:pPr>
      <w:r>
        <w:rPr>
          <w:b/>
          <w:bCs/>
          <w:color w:val="1a1a1a"/>
          <w:sz w:val="22"/>
          <w:szCs w:val="22"/>
        </w:rPr>
        <w:t xml:space="preserve">Lecturas</w:t>
      </w:r>
    </w:p>
    <w:p>
      <w:pPr>
        <w:spacing w:after="100" w:line="276"/>
      </w:pPr>
      <w:r>
        <w:rPr>
          <w:color w:val="1a1a1a"/>
          <w:sz w:val="22"/>
          <w:szCs w:val="22"/>
        </w:rPr>
        <w:t xml:space="preserve">Rishishwar L, Conley AB, Wigington CH, Wang L, Valderrama-Aguirre A, Jordan IK. Ancestry, admixture and fitness in Colombian genomes. Scientific Reports. 2015;5:12376. </w:t>
      </w:r>
      <w:hyperlink w:history="1" r:id="rIdn0oycegkc2zqshcudvscb">
        <w:r>
          <w:rPr>
            <w:color w:val="2a78d6"/>
            <w:sz w:val="22"/>
            <w:szCs w:val="22"/>
            <w:u w:val="single"/>
          </w:rPr>
          <w:t xml:space="preserve">doi:10.1038/srep12376</w:t>
        </w:r>
      </w:hyperlink>
    </w:p>
    <w:p>
      <w:pPr>
        <w:spacing w:after="160" w:line="276"/>
      </w:pPr>
      <w:r>
        <w:rPr>
          <w:i/>
          <w:iCs/>
          <w:color w:val="52514e"/>
          <w:sz w:val="20"/>
          <w:szCs w:val="20"/>
        </w:rPr>
        <w:t xml:space="preserve">Lectura principal. Analiza 60 genomas de Medellín del Proyecto 1000 Genomas: en promedio 74,6 % de ancestría europea, 18,1 % nativa americana y 7,3 % africana, con mezcla sesgada por sexo. Son las mismas personas (CLM) que usaremos en la práctica.</w:t>
      </w:r>
    </w:p>
    <w:p>
      <w:pPr>
        <w:spacing w:after="100" w:line="276"/>
      </w:pPr>
      <w:r>
        <w:rPr>
          <w:color w:val="1a1a1a"/>
          <w:sz w:val="22"/>
          <w:szCs w:val="22"/>
        </w:rPr>
        <w:t xml:space="preserve">The 1000 Genomes Project Consortium. A global reference for human genetic variation. Nature. 2015;526:68–74. </w:t>
      </w:r>
      <w:hyperlink w:history="1" r:id="rIdvppmdhqdasjc9ndebih5l">
        <w:r>
          <w:rPr>
            <w:color w:val="2a78d6"/>
            <w:sz w:val="22"/>
            <w:szCs w:val="22"/>
            <w:u w:val="single"/>
          </w:rPr>
          <w:t xml:space="preserve">doi:10.1038/nature15393</w:t>
        </w:r>
      </w:hyperlink>
    </w:p>
    <w:p>
      <w:pPr>
        <w:spacing w:after="160" w:line="276"/>
      </w:pPr>
      <w:r>
        <w:rPr>
          <w:i/>
          <w:iCs/>
          <w:color w:val="52514e"/>
          <w:sz w:val="20"/>
          <w:szCs w:val="20"/>
        </w:rPr>
        <w:t xml:space="preserve">El recurso del que salen los datos del curso. Leer la introducción y las figuras.</w:t>
      </w:r>
    </w:p>
    <w:p>
      <w:pPr>
        <w:spacing w:after="100" w:line="276"/>
      </w:pPr>
      <w:r>
        <w:rPr>
          <w:color w:val="1a1a1a"/>
          <w:sz w:val="22"/>
          <w:szCs w:val="22"/>
        </w:rPr>
        <w:t xml:space="preserve">Bergström A, et al. Insights into human genetic variation and population history from 929 diverse genomes. Science. 2020;367:eaay5012. </w:t>
      </w:r>
      <w:hyperlink w:history="1" r:id="rId75yqf8rfv4ruxonn2decf">
        <w:r>
          <w:rPr>
            <w:color w:val="2a78d6"/>
            <w:sz w:val="22"/>
            <w:szCs w:val="22"/>
            <w:u w:val="single"/>
          </w:rPr>
          <w:t xml:space="preserve">doi:10.1126/science.aay5012</w:t>
        </w:r>
      </w:hyperlink>
    </w:p>
    <w:p>
      <w:pPr>
        <w:spacing w:after="160" w:line="276"/>
      </w:pPr>
      <w:r>
        <w:rPr>
          <w:i/>
          <w:iCs/>
          <w:color w:val="52514e"/>
          <w:sz w:val="20"/>
          <w:szCs w:val="20"/>
        </w:rPr>
        <w:t xml:space="preserve">El panel HGDP, que aporta las poblaciones de referencia nativas americanas.</w:t>
      </w:r>
    </w:p>
    <w:p>
      <w:pPr>
        <w:pStyle w:val="Heading2"/>
        <w:spacing w:after="120" w:before="240"/>
      </w:pPr>
      <w:r>
        <w:rPr>
          <w:b/>
          <w:bCs/>
          <w:color w:val="1a1a1a"/>
          <w:sz w:val="25"/>
          <w:szCs w:val="25"/>
        </w:rPr>
        <w:t xml:space="preserve">Módulo 2. Ancestría global</w:t>
      </w:r>
    </w:p>
    <w:p>
      <w:pPr>
        <w:spacing w:after="60" w:line="276"/>
      </w:pPr>
      <w:r>
        <w:rPr>
          <w:b/>
          <w:bCs/>
          <w:color w:val="1a1a1a"/>
          <w:sz w:val="22"/>
          <w:szCs w:val="22"/>
        </w:rPr>
        <w:t xml:space="preserve">Contenidos</w:t>
      </w:r>
    </w:p>
    <w:p>
      <w:pPr>
        <w:pStyle w:val="ListParagraph"/>
        <w:numPr>
          <w:ilvl w:val="0"/>
          <w:numId w:val="2"/>
        </w:numPr>
        <w:spacing w:after="80" w:line="276"/>
      </w:pPr>
      <w:r>
        <w:rPr>
          <w:color w:val="1a1a1a"/>
          <w:sz w:val="22"/>
          <w:szCs w:val="22"/>
        </w:rPr>
        <w:t xml:space="preserve">Análisis de componentes principales (PCA): qué resume y por qué no necesita un modelo previo.</w:t>
      </w:r>
    </w:p>
    <w:p>
      <w:pPr>
        <w:pStyle w:val="ListParagraph"/>
        <w:numPr>
          <w:ilvl w:val="0"/>
          <w:numId w:val="2"/>
        </w:numPr>
        <w:spacing w:after="80" w:line="276"/>
      </w:pPr>
      <w:r>
        <w:rPr>
          <w:color w:val="1a1a1a"/>
          <w:sz w:val="22"/>
          <w:szCs w:val="22"/>
        </w:rPr>
        <w:t xml:space="preserve">Métodos basados en clustering: la idea de K poblaciones ancestrales.</w:t>
      </w:r>
    </w:p>
    <w:p>
      <w:pPr>
        <w:pStyle w:val="ListParagraph"/>
        <w:numPr>
          <w:ilvl w:val="0"/>
          <w:numId w:val="2"/>
        </w:numPr>
        <w:spacing w:after="80" w:line="276"/>
      </w:pPr>
      <w:r>
        <w:rPr>
          <w:color w:val="1a1a1a"/>
          <w:sz w:val="22"/>
          <w:szCs w:val="22"/>
        </w:rPr>
        <w:t xml:space="preserve">ADMIXTURE: qué estima, qué supone y cómo se elige K.</w:t>
      </w:r>
    </w:p>
    <w:p>
      <w:pPr>
        <w:pStyle w:val="ListParagraph"/>
        <w:numPr>
          <w:ilvl w:val="0"/>
          <w:numId w:val="2"/>
        </w:numPr>
        <w:spacing w:after="80" w:line="276"/>
      </w:pPr>
      <w:r>
        <w:rPr>
          <w:color w:val="1a1a1a"/>
          <w:sz w:val="22"/>
          <w:szCs w:val="22"/>
        </w:rPr>
        <w:t xml:space="preserve">Interpretación de los componentes ancestrales y sus trampas más comunes.</w:t>
      </w:r>
    </w:p>
    <w:p>
      <w:pPr>
        <w:spacing w:after="60" w:line="276"/>
      </w:pPr>
      <w:r>
        <w:rPr>
          <w:b/>
          <w:bCs/>
          <w:color w:val="1a1a1a"/>
          <w:sz w:val="22"/>
          <w:szCs w:val="22"/>
        </w:rPr>
        <w:t xml:space="preserve">Lecturas</w:t>
      </w:r>
    </w:p>
    <w:p>
      <w:pPr>
        <w:spacing w:after="100" w:line="276"/>
      </w:pPr>
      <w:r>
        <w:rPr>
          <w:color w:val="1a1a1a"/>
          <w:sz w:val="22"/>
          <w:szCs w:val="22"/>
        </w:rPr>
        <w:t xml:space="preserve">Lawson DJ, van Dorp L, Falush D. A tutorial on how not to over-interpret STRUCTURE and ADMIXTURE bar plots. Nature Communications. 2018;9:3258. </w:t>
      </w:r>
      <w:hyperlink w:history="1" r:id="rIdqvwrtu5yeoqj-4byxcjex">
        <w:r>
          <w:rPr>
            <w:color w:val="2a78d6"/>
            <w:sz w:val="22"/>
            <w:szCs w:val="22"/>
            <w:u w:val="single"/>
          </w:rPr>
          <w:t xml:space="preserve">doi:10.1038/s41467-018-05257-7</w:t>
        </w:r>
      </w:hyperlink>
    </w:p>
    <w:p>
      <w:pPr>
        <w:spacing w:after="160" w:line="276"/>
      </w:pPr>
      <w:r>
        <w:rPr>
          <w:i/>
          <w:iCs/>
          <w:color w:val="52514e"/>
          <w:sz w:val="20"/>
          <w:szCs w:val="20"/>
        </w:rPr>
        <w:t xml:space="preserve">Lectura principal y la más importante del curso. Muestra cómo historias demográficas distintas producen el mismo gráfico de barras.</w:t>
      </w:r>
    </w:p>
    <w:p>
      <w:pPr>
        <w:spacing w:after="100" w:line="276"/>
      </w:pPr>
      <w:r>
        <w:rPr>
          <w:color w:val="1a1a1a"/>
          <w:sz w:val="22"/>
          <w:szCs w:val="22"/>
        </w:rPr>
        <w:t xml:space="preserve">Patterson N, Price AL, Reich D. Population structure and eigenanalysis. PLoS Genetics. 2006;2(12):e190. </w:t>
      </w:r>
      <w:hyperlink w:history="1" r:id="rId1tnske3xum5vzcdxkfcri">
        <w:r>
          <w:rPr>
            <w:color w:val="2a78d6"/>
            <w:sz w:val="22"/>
            <w:szCs w:val="22"/>
            <w:u w:val="single"/>
          </w:rPr>
          <w:t xml:space="preserve">doi:10.1371/journal.pgen.0020190</w:t>
        </w:r>
      </w:hyperlink>
    </w:p>
    <w:p>
      <w:pPr>
        <w:spacing w:after="160" w:line="276"/>
      </w:pPr>
      <w:r>
        <w:rPr>
          <w:i/>
          <w:iCs/>
          <w:color w:val="52514e"/>
          <w:sz w:val="20"/>
          <w:szCs w:val="20"/>
        </w:rPr>
        <w:t xml:space="preserve">La base del PCA en genética de poblaciones y cuántos componentes esperar.</w:t>
      </w:r>
    </w:p>
    <w:p>
      <w:pPr>
        <w:spacing w:after="100" w:line="276"/>
      </w:pPr>
      <w:r>
        <w:rPr>
          <w:color w:val="1a1a1a"/>
          <w:sz w:val="22"/>
          <w:szCs w:val="22"/>
        </w:rPr>
        <w:t xml:space="preserve">McVean G. A genealogical interpretation of principal components analysis. PLoS Genetics. 2009;5(10):e1000686. </w:t>
      </w:r>
      <w:hyperlink w:history="1" r:id="rId4tpqdj4dvyggjcbpzc3tc">
        <w:r>
          <w:rPr>
            <w:color w:val="2a78d6"/>
            <w:sz w:val="22"/>
            <w:szCs w:val="22"/>
            <w:u w:val="single"/>
          </w:rPr>
          <w:t xml:space="preserve">doi:10.1371/journal.pgen.1000686</w:t>
        </w:r>
      </w:hyperlink>
    </w:p>
    <w:p>
      <w:pPr>
        <w:spacing w:after="160" w:line="276"/>
      </w:pPr>
      <w:r>
        <w:rPr>
          <w:i/>
          <w:iCs/>
          <w:color w:val="52514e"/>
          <w:sz w:val="20"/>
          <w:szCs w:val="20"/>
        </w:rPr>
        <w:t xml:space="preserve">Por qué las personas mezcladas caen entre los grupos de sus poblaciones de origen.</w:t>
      </w:r>
    </w:p>
    <w:p>
      <w:pPr>
        <w:pStyle w:val="Heading2"/>
        <w:spacing w:after="120" w:before="240"/>
      </w:pPr>
      <w:r>
        <w:rPr>
          <w:b/>
          <w:bCs/>
          <w:color w:val="1a1a1a"/>
          <w:sz w:val="25"/>
          <w:szCs w:val="25"/>
        </w:rPr>
        <w:t xml:space="preserve">Módulo 3. Ancestría local</w:t>
      </w:r>
    </w:p>
    <w:p>
      <w:pPr>
        <w:spacing w:after="60" w:line="276"/>
      </w:pPr>
      <w:r>
        <w:rPr>
          <w:b/>
          <w:bCs/>
          <w:color w:val="1a1a1a"/>
          <w:sz w:val="22"/>
          <w:szCs w:val="22"/>
        </w:rPr>
        <w:t xml:space="preserve">Contenidos</w:t>
      </w:r>
    </w:p>
    <w:p>
      <w:pPr>
        <w:pStyle w:val="ListParagraph"/>
        <w:numPr>
          <w:ilvl w:val="0"/>
          <w:numId w:val="2"/>
        </w:numPr>
        <w:spacing w:after="80" w:line="276"/>
      </w:pPr>
      <w:r>
        <w:rPr>
          <w:color w:val="1a1a1a"/>
          <w:sz w:val="22"/>
          <w:szCs w:val="22"/>
        </w:rPr>
        <w:t xml:space="preserve">Qué es la ancestría local y en qué se diferencia de la global.</w:t>
      </w:r>
    </w:p>
    <w:p>
      <w:pPr>
        <w:pStyle w:val="ListParagraph"/>
        <w:numPr>
          <w:ilvl w:val="0"/>
          <w:numId w:val="2"/>
        </w:numPr>
        <w:spacing w:after="80" w:line="276"/>
      </w:pPr>
      <w:r>
        <w:rPr>
          <w:color w:val="1a1a1a"/>
          <w:sz w:val="22"/>
          <w:szCs w:val="22"/>
        </w:rPr>
        <w:t xml:space="preserve">Phasing: qué significa separar los dos cromosomas de cada par y por qué hace falta.</w:t>
      </w:r>
    </w:p>
    <w:p>
      <w:pPr>
        <w:pStyle w:val="ListParagraph"/>
        <w:numPr>
          <w:ilvl w:val="0"/>
          <w:numId w:val="2"/>
        </w:numPr>
        <w:spacing w:after="80" w:line="276"/>
      </w:pPr>
      <w:r>
        <w:rPr>
          <w:color w:val="1a1a1a"/>
          <w:sz w:val="22"/>
          <w:szCs w:val="22"/>
        </w:rPr>
        <w:t xml:space="preserve">Haplotipos y recombinación: por qué el genoma de una persona mezclada es un mosaico.</w:t>
      </w:r>
    </w:p>
    <w:p>
      <w:pPr>
        <w:pStyle w:val="ListParagraph"/>
        <w:numPr>
          <w:ilvl w:val="0"/>
          <w:numId w:val="2"/>
        </w:numPr>
        <w:spacing w:after="80" w:line="276"/>
      </w:pPr>
      <w:r>
        <w:rPr>
          <w:color w:val="1a1a1a"/>
          <w:sz w:val="22"/>
          <w:szCs w:val="22"/>
        </w:rPr>
        <w:t xml:space="preserve">Métodos de modelos ocultos de Markov (HMM) aplicados al cromosoma.</w:t>
      </w:r>
    </w:p>
    <w:p>
      <w:pPr>
        <w:pStyle w:val="ListParagraph"/>
        <w:numPr>
          <w:ilvl w:val="0"/>
          <w:numId w:val="2"/>
        </w:numPr>
        <w:spacing w:after="80" w:line="276"/>
      </w:pPr>
      <w:r>
        <w:rPr>
          <w:color w:val="1a1a1a"/>
          <w:sz w:val="22"/>
          <w:szCs w:val="22"/>
        </w:rPr>
        <w:t xml:space="preserve">RFMix: cómo combina bosques aleatorios con un campo aleatorio condicional.</w:t>
      </w:r>
    </w:p>
    <w:p>
      <w:pPr>
        <w:spacing w:after="60" w:line="276"/>
      </w:pPr>
      <w:r>
        <w:rPr>
          <w:b/>
          <w:bCs/>
          <w:color w:val="1a1a1a"/>
          <w:sz w:val="22"/>
          <w:szCs w:val="22"/>
        </w:rPr>
        <w:t xml:space="preserve">Lecturas</w:t>
      </w:r>
    </w:p>
    <w:p>
      <w:pPr>
        <w:spacing w:after="100" w:line="276"/>
      </w:pPr>
      <w:r>
        <w:rPr>
          <w:color w:val="1a1a1a"/>
          <w:sz w:val="22"/>
          <w:szCs w:val="22"/>
        </w:rPr>
        <w:t xml:space="preserve">Maples BK, Gravel S, Kenny EE, Bustamante CD. RFMix: a discriminative modeling approach for rapid and robust local-ancestry inference. American Journal of Human Genetics. 2013;93:278–288. </w:t>
      </w:r>
      <w:hyperlink w:history="1" r:id="rIdlvgsyzhpzqbt5lowxgl4d">
        <w:r>
          <w:rPr>
            <w:color w:val="2a78d6"/>
            <w:sz w:val="22"/>
            <w:szCs w:val="22"/>
            <w:u w:val="single"/>
          </w:rPr>
          <w:t xml:space="preserve">doi:10.1016/j.ajhg.2013.06.020</w:t>
        </w:r>
      </w:hyperlink>
    </w:p>
    <w:p>
      <w:pPr>
        <w:spacing w:after="160" w:line="276"/>
      </w:pPr>
      <w:r>
        <w:rPr>
          <w:i/>
          <w:iCs/>
          <w:color w:val="52514e"/>
          <w:sz w:val="20"/>
          <w:szCs w:val="20"/>
        </w:rPr>
        <w:t xml:space="preserve">Lectura principal. La herramienta que usaremos. Leer la introducción y la descripción del método.</w:t>
      </w:r>
    </w:p>
    <w:p>
      <w:pPr>
        <w:spacing w:after="100" w:line="276"/>
      </w:pPr>
      <w:r>
        <w:rPr>
          <w:color w:val="1a1a1a"/>
          <w:sz w:val="22"/>
          <w:szCs w:val="22"/>
        </w:rPr>
        <w:t xml:space="preserve">Gravel S. Population genetics models of local ancestry. Genetics. 2012;191:607–619. </w:t>
      </w:r>
      <w:hyperlink w:history="1" r:id="rIdonxmf_l87vf71ozbb3893">
        <w:r>
          <w:rPr>
            <w:color w:val="2a78d6"/>
            <w:sz w:val="22"/>
            <w:szCs w:val="22"/>
            <w:u w:val="single"/>
          </w:rPr>
          <w:t xml:space="preserve">doi:10.1534/genetics.112.139808</w:t>
        </w:r>
      </w:hyperlink>
    </w:p>
    <w:p>
      <w:pPr>
        <w:spacing w:after="160" w:line="276"/>
      </w:pPr>
      <w:r>
        <w:rPr>
          <w:i/>
          <w:iCs/>
          <w:color w:val="52514e"/>
          <w:sz w:val="20"/>
          <w:szCs w:val="20"/>
        </w:rPr>
        <w:t xml:space="preserve">Por qué el largo de los segmentos informa hace cuántas generaciones ocurrió la mezcla.</w:t>
      </w:r>
    </w:p>
    <w:p>
      <w:pPr>
        <w:spacing w:after="100" w:line="276"/>
      </w:pPr>
      <w:r>
        <w:rPr>
          <w:color w:val="1a1a1a"/>
          <w:sz w:val="22"/>
          <w:szCs w:val="22"/>
        </w:rPr>
        <w:t xml:space="preserve">Koenig Z, et al. A harmonized public resource of deeply sequenced diverse human genomes. Genome Research. 2024;34(5):796. </w:t>
      </w:r>
      <w:hyperlink w:history="1" r:id="rIddzituadfurksldqjpd_xj">
        <w:r>
          <w:rPr>
            <w:color w:val="2a78d6"/>
            <w:sz w:val="22"/>
            <w:szCs w:val="22"/>
            <w:u w:val="single"/>
          </w:rPr>
          <w:t xml:space="preserve">doi:10.1101/gr.278378.123</w:t>
        </w:r>
      </w:hyperlink>
    </w:p>
    <w:p>
      <w:pPr>
        <w:spacing w:after="160" w:line="276"/>
      </w:pPr>
      <w:r>
        <w:rPr>
          <w:i/>
          <w:iCs/>
          <w:color w:val="52514e"/>
          <w:sz w:val="20"/>
          <w:szCs w:val="20"/>
        </w:rPr>
        <w:t xml:space="preserve">Los datos faseados que usaremos en la práctica.</w:t>
      </w:r>
    </w:p>
    <w:p>
      <w:pPr>
        <w:pStyle w:val="Heading2"/>
        <w:spacing w:after="120" w:before="240"/>
      </w:pPr>
      <w:r>
        <w:rPr>
          <w:b/>
          <w:bCs/>
          <w:color w:val="1a1a1a"/>
          <w:sz w:val="25"/>
          <w:szCs w:val="25"/>
        </w:rPr>
        <w:t xml:space="preserve">Módulo 4. Aplicaciones</w:t>
      </w:r>
    </w:p>
    <w:p>
      <w:pPr>
        <w:spacing w:after="60" w:line="276"/>
      </w:pPr>
      <w:r>
        <w:rPr>
          <w:b/>
          <w:bCs/>
          <w:color w:val="1a1a1a"/>
          <w:sz w:val="22"/>
          <w:szCs w:val="22"/>
        </w:rPr>
        <w:t xml:space="preserve">Contenidos</w:t>
      </w:r>
    </w:p>
    <w:p>
      <w:pPr>
        <w:pStyle w:val="ListParagraph"/>
        <w:numPr>
          <w:ilvl w:val="0"/>
          <w:numId w:val="2"/>
        </w:numPr>
        <w:spacing w:after="80" w:line="276"/>
      </w:pPr>
      <w:r>
        <w:rPr>
          <w:color w:val="1a1a1a"/>
          <w:sz w:val="22"/>
          <w:szCs w:val="22"/>
        </w:rPr>
        <w:t xml:space="preserve">Admixture mapping: buscar enfermedad a través de la ancestría local, y por qué necesita pocos marcadores.</w:t>
      </w:r>
    </w:p>
    <w:p>
      <w:pPr>
        <w:pStyle w:val="ListParagraph"/>
        <w:numPr>
          <w:ilvl w:val="0"/>
          <w:numId w:val="2"/>
        </w:numPr>
        <w:spacing w:after="80" w:line="276"/>
      </w:pPr>
      <w:r>
        <w:rPr>
          <w:color w:val="1a1a1a"/>
          <w:sz w:val="22"/>
          <w:szCs w:val="22"/>
        </w:rPr>
        <w:t xml:space="preserve">El caso de APOL1: variantes de riesgo renal restringidas a haplotipos africanos, descubiertas en el cromosoma 22.</w:t>
      </w:r>
    </w:p>
    <w:p>
      <w:pPr>
        <w:pStyle w:val="ListParagraph"/>
        <w:numPr>
          <w:ilvl w:val="0"/>
          <w:numId w:val="2"/>
        </w:numPr>
        <w:spacing w:after="80" w:line="276"/>
      </w:pPr>
      <w:r>
        <w:rPr>
          <w:color w:val="1a1a1a"/>
          <w:sz w:val="22"/>
          <w:szCs w:val="22"/>
        </w:rPr>
        <w:t xml:space="preserve">Puntajes de riesgo poligénico (PRS) y ancestría: por qué pierden precisión fuera de las poblaciones donde se derivaron.</w:t>
      </w:r>
    </w:p>
    <w:p>
      <w:pPr>
        <w:pStyle w:val="ListParagraph"/>
        <w:numPr>
          <w:ilvl w:val="0"/>
          <w:numId w:val="2"/>
        </w:numPr>
        <w:spacing w:after="80" w:line="276"/>
      </w:pPr>
      <w:r>
        <w:rPr>
          <w:color w:val="1a1a1a"/>
          <w:sz w:val="22"/>
          <w:szCs w:val="22"/>
        </w:rPr>
        <w:t xml:space="preserve">Medicina de precisión y estudios latinoamericanos: qué hace falta para que esto sea útil en Colombia.</w:t>
      </w:r>
    </w:p>
    <w:p>
      <w:pPr>
        <w:spacing w:after="60" w:line="276"/>
      </w:pPr>
      <w:r>
        <w:rPr>
          <w:b/>
          <w:bCs/>
          <w:color w:val="1a1a1a"/>
          <w:sz w:val="22"/>
          <w:szCs w:val="22"/>
        </w:rPr>
        <w:t xml:space="preserve">Lecturas</w:t>
      </w:r>
    </w:p>
    <w:p>
      <w:pPr>
        <w:spacing w:after="100" w:line="276"/>
      </w:pPr>
      <w:r>
        <w:rPr>
          <w:color w:val="1a1a1a"/>
          <w:sz w:val="22"/>
          <w:szCs w:val="22"/>
        </w:rPr>
        <w:t xml:space="preserve">Martin AR, Kanai M, Kamatani Y, Okada Y, Neale BM, Daly MJ. Current clinical use of polygenic scores will risk exacerbating health disparities. Nature Genetics. 2019;51(4):584–591. </w:t>
      </w:r>
      <w:hyperlink w:history="1" r:id="rIdfh2mlhzkhb3v2pqofarhy">
        <w:r>
          <w:rPr>
            <w:color w:val="2a78d6"/>
            <w:sz w:val="22"/>
            <w:szCs w:val="22"/>
            <w:u w:val="single"/>
          </w:rPr>
          <w:t xml:space="preserve">doi:10.1038/s41588-019-0379-x</w:t>
        </w:r>
      </w:hyperlink>
    </w:p>
    <w:p>
      <w:pPr>
        <w:spacing w:after="160" w:line="276"/>
      </w:pPr>
      <w:r>
        <w:rPr>
          <w:i/>
          <w:iCs/>
          <w:color w:val="52514e"/>
          <w:sz w:val="20"/>
          <w:szCs w:val="20"/>
        </w:rPr>
        <w:t xml:space="preserve">Lectura principal. En el Biobanco del Reino Unido, la precisión de los PRS fue unas 4,9 veces menor en personas de ancestría africana que en europeas.</w:t>
      </w:r>
    </w:p>
    <w:p>
      <w:pPr>
        <w:spacing w:after="100" w:line="276"/>
      </w:pPr>
      <w:r>
        <w:rPr>
          <w:color w:val="1a1a1a"/>
          <w:sz w:val="22"/>
          <w:szCs w:val="22"/>
        </w:rPr>
        <w:t xml:space="preserve">Tzur S, Rosset S, Shemer R, et al. Missense mutations in the APOL1 gene are highly associated with end stage kidney disease risk previously attributed to the MYH9 gene. Human Genetics. 2010;128(3):345–350. </w:t>
      </w:r>
      <w:hyperlink w:history="1" r:id="rId5gu6tao8tip0yi94quyku">
        <w:r>
          <w:rPr>
            <w:color w:val="2a78d6"/>
            <w:sz w:val="22"/>
            <w:szCs w:val="22"/>
            <w:u w:val="single"/>
          </w:rPr>
          <w:t xml:space="preserve">doi:10.1007/s00439-010-0861-0</w:t>
        </w:r>
      </w:hyperlink>
    </w:p>
    <w:p>
      <w:pPr>
        <w:spacing w:after="160" w:line="276"/>
      </w:pPr>
      <w:r>
        <w:rPr>
          <w:i/>
          <w:iCs/>
          <w:color w:val="52514e"/>
          <w:sz w:val="20"/>
          <w:szCs w:val="20"/>
        </w:rPr>
        <w:t xml:space="preserve">El caso que trabajaremos en la práctica. El locus se localizó por admixture mapping en el cromosoma 22.</w:t>
      </w:r>
    </w:p>
    <w:p>
      <w:pPr>
        <w:pStyle w:val="Heading1"/>
        <w:spacing w:after="160" w:before="320"/>
      </w:pPr>
      <w:r>
        <w:rPr>
          <w:b/>
          <w:bCs/>
          <w:color w:val="2a78d6"/>
          <w:sz w:val="30"/>
          <w:szCs w:val="30"/>
        </w:rPr>
        <w:t xml:space="preserve">5. Sesiones prácticas (8 horas sincrónicas)</w:t>
      </w:r>
    </w:p>
    <w:p>
      <w:pPr>
        <w:spacing w:after="120" w:line="276"/>
      </w:pPr>
      <w:r>
        <w:rPr>
          <w:color w:val="1a1a1a"/>
          <w:sz w:val="22"/>
          <w:szCs w:val="22"/>
        </w:rPr>
        <w:t xml:space="preserve">Cada sesión tiene su propio cuaderno de Google Colab. Los participantes solo necesitan una cuenta de Google y un navegador: no instalan nada ni usan la terminal. Las sesiones son independientes entre sí, así que faltar a una no impide seguir la siguiente.</w:t>
      </w:r>
    </w:p>
    <w:p>
      <w:pPr>
        <w:pStyle w:val="Heading2"/>
        <w:spacing w:after="120" w:before="240"/>
      </w:pPr>
      <w:r>
        <w:rPr>
          <w:b/>
          <w:bCs/>
          <w:color w:val="1a1a1a"/>
          <w:sz w:val="25"/>
          <w:szCs w:val="25"/>
        </w:rPr>
        <w:t xml:space="preserve">Sesión 1. Formatos de datos genómicos y control de calidad</w:t>
      </w:r>
    </w:p>
    <w:p>
      <w:pPr>
        <w:pStyle w:val="ListParagraph"/>
        <w:numPr>
          <w:ilvl w:val="0"/>
          <w:numId w:val="2"/>
        </w:numPr>
        <w:spacing w:after="80" w:line="276"/>
      </w:pPr>
      <w:r>
        <w:rPr>
          <w:color w:val="1a1a1a"/>
          <w:sz w:val="22"/>
          <w:szCs w:val="22"/>
        </w:rPr>
        <w:t xml:space="preserve">Descargar PLINK 2 y los datos del curso (969 personas, 15 poblaciones).</w:t>
      </w:r>
    </w:p>
    <w:p>
      <w:pPr>
        <w:pStyle w:val="ListParagraph"/>
        <w:numPr>
          <w:ilvl w:val="0"/>
          <w:numId w:val="2"/>
        </w:numPr>
        <w:spacing w:after="80" w:line="276"/>
      </w:pPr>
      <w:r>
        <w:rPr>
          <w:color w:val="1a1a1a"/>
          <w:sz w:val="22"/>
          <w:szCs w:val="22"/>
        </w:rPr>
        <w:t xml:space="preserve">Leer un archivo VCF: qué significa cada columna y cada genotipo.</w:t>
      </w:r>
    </w:p>
    <w:p>
      <w:pPr>
        <w:pStyle w:val="ListParagraph"/>
        <w:numPr>
          <w:ilvl w:val="0"/>
          <w:numId w:val="2"/>
        </w:numPr>
        <w:spacing w:after="80" w:line="276"/>
      </w:pPr>
      <w:r>
        <w:rPr>
          <w:color w:val="1a1a1a"/>
          <w:sz w:val="22"/>
          <w:szCs w:val="22"/>
        </w:rPr>
        <w:t xml:space="preserve">Convertir al formato binario de PLINK y entender los archivos .bed, .bim y .fam.</w:t>
      </w:r>
    </w:p>
    <w:p>
      <w:pPr>
        <w:pStyle w:val="ListParagraph"/>
        <w:numPr>
          <w:ilvl w:val="0"/>
          <w:numId w:val="2"/>
        </w:numPr>
        <w:spacing w:after="80" w:line="276"/>
      </w:pPr>
      <w:r>
        <w:rPr>
          <w:color w:val="1a1a1a"/>
          <w:sz w:val="22"/>
          <w:szCs w:val="22"/>
        </w:rPr>
        <w:t xml:space="preserve">Aplicar los filtros de calidad y la poda por desequilibrio de ligamiento.</w:t>
      </w:r>
    </w:p>
    <w:p>
      <w:pPr>
        <w:pStyle w:val="ListParagraph"/>
        <w:numPr>
          <w:ilvl w:val="0"/>
          <w:numId w:val="2"/>
        </w:numPr>
        <w:spacing w:after="80" w:line="276"/>
      </w:pPr>
      <w:r>
        <w:rPr>
          <w:color w:val="1a1a1a"/>
          <w:sz w:val="22"/>
          <w:szCs w:val="22"/>
        </w:rPr>
        <w:t xml:space="preserve">Discutir por qué en análisis de ancestría no conviene filtrar por equilibrio de Hardy-Weinberg sobre poblaciones mezcladas.</w:t>
      </w:r>
    </w:p>
    <w:p>
      <w:pPr>
        <w:spacing w:after="80" w:line="276"/>
      </w:pPr>
      <w:r>
        <w:rPr>
          <w:i/>
          <w:iCs/>
          <w:color w:val="52514e"/>
          <w:sz w:val="20"/>
          <w:szCs w:val="20"/>
        </w:rPr>
        <w:t xml:space="preserve">De 244 305 variantes se pasa a 110 630 tras el control de calidad y a 59 850 tras la poda por LD.</w:t>
      </w:r>
    </w:p>
    <w:p>
      <w:pPr>
        <w:spacing w:after="100" w:line="276"/>
      </w:pPr>
      <w:r>
        <w:rPr>
          <w:color w:val="1a1a1a"/>
          <w:sz w:val="22"/>
          <w:szCs w:val="22"/>
        </w:rPr>
        <w:t xml:space="preserve">Cuaderno: </w:t>
      </w:r>
      <w:hyperlink w:history="1" r:id="rIdtvt82vvriceomimeekttt">
        <w:r>
          <w:rPr>
            <w:color w:val="2a78d6"/>
            <w:sz w:val="22"/>
            <w:szCs w:val="22"/>
            <w:u w:val="single"/>
          </w:rPr>
          <w:t xml:space="preserve">S1_formatos_y_calidad.ipynb</w:t>
        </w:r>
      </w:hyperlink>
    </w:p>
    <w:p>
      <w:pPr>
        <w:pStyle w:val="Heading2"/>
        <w:spacing w:after="120" w:before="240"/>
      </w:pPr>
      <w:r>
        <w:rPr>
          <w:b/>
          <w:bCs/>
          <w:color w:val="1a1a1a"/>
          <w:sz w:val="25"/>
          <w:szCs w:val="25"/>
        </w:rPr>
        <w:t xml:space="preserve">Sesión 2. Ancestría global: PCA y ADMIXTURE</w:t>
      </w:r>
    </w:p>
    <w:p>
      <w:pPr>
        <w:pStyle w:val="ListParagraph"/>
        <w:numPr>
          <w:ilvl w:val="0"/>
          <w:numId w:val="2"/>
        </w:numPr>
        <w:spacing w:after="80" w:line="276"/>
      </w:pPr>
      <w:r>
        <w:rPr>
          <w:color w:val="1a1a1a"/>
          <w:sz w:val="22"/>
          <w:szCs w:val="22"/>
        </w:rPr>
        <w:t xml:space="preserve">Rehacer en una sola celda los datos de la sesión 1.</w:t>
      </w:r>
    </w:p>
    <w:p>
      <w:pPr>
        <w:pStyle w:val="ListParagraph"/>
        <w:numPr>
          <w:ilvl w:val="0"/>
          <w:numId w:val="2"/>
        </w:numPr>
        <w:spacing w:after="80" w:line="276"/>
      </w:pPr>
      <w:r>
        <w:rPr>
          <w:color w:val="1a1a1a"/>
          <w:sz w:val="22"/>
          <w:szCs w:val="22"/>
        </w:rPr>
        <w:t xml:space="preserve">Correr un PCA y leer el gráfico de eigenvalores.</w:t>
      </w:r>
    </w:p>
    <w:p>
      <w:pPr>
        <w:pStyle w:val="ListParagraph"/>
        <w:numPr>
          <w:ilvl w:val="0"/>
          <w:numId w:val="2"/>
        </w:numPr>
        <w:spacing w:after="80" w:line="276"/>
      </w:pPr>
      <w:r>
        <w:rPr>
          <w:color w:val="1a1a1a"/>
          <w:sz w:val="22"/>
          <w:szCs w:val="22"/>
        </w:rPr>
        <w:t xml:space="preserve">Graficar PC1 contra PC2 y ver a las poblaciones mezcladas caer entre sus poblaciones de origen.</w:t>
      </w:r>
    </w:p>
    <w:p>
      <w:pPr>
        <w:pStyle w:val="ListParagraph"/>
        <w:numPr>
          <w:ilvl w:val="0"/>
          <w:numId w:val="2"/>
        </w:numPr>
        <w:spacing w:after="80" w:line="276"/>
      </w:pPr>
      <w:r>
        <w:rPr>
          <w:color w:val="1a1a1a"/>
          <w:sz w:val="22"/>
          <w:szCs w:val="22"/>
        </w:rPr>
        <w:t xml:space="preserve">Correr ADMIXTURE con K = 3 y nombrar los componentes a partir de las poblaciones de referencia.</w:t>
      </w:r>
    </w:p>
    <w:p>
      <w:pPr>
        <w:pStyle w:val="ListParagraph"/>
        <w:numPr>
          <w:ilvl w:val="0"/>
          <w:numId w:val="2"/>
        </w:numPr>
        <w:spacing w:after="80" w:line="276"/>
      </w:pPr>
      <w:r>
        <w:rPr>
          <w:color w:val="1a1a1a"/>
          <w:sz w:val="22"/>
          <w:szCs w:val="22"/>
        </w:rPr>
        <w:t xml:space="preserve">Construir el gráfico de barras y discutir sus límites de interpretación.</w:t>
      </w:r>
    </w:p>
    <w:p>
      <w:pPr>
        <w:spacing w:after="80" w:line="276"/>
      </w:pPr>
      <w:r>
        <w:rPr>
          <w:i/>
          <w:iCs/>
          <w:color w:val="52514e"/>
          <w:sz w:val="20"/>
          <w:szCs w:val="20"/>
        </w:rPr>
        <w:t xml:space="preserve">Se obtiene la ancestría global de cada una de las 969 personas.</w:t>
      </w:r>
    </w:p>
    <w:p>
      <w:pPr>
        <w:spacing w:after="100" w:line="276"/>
      </w:pPr>
      <w:r>
        <w:rPr>
          <w:color w:val="1a1a1a"/>
          <w:sz w:val="22"/>
          <w:szCs w:val="22"/>
        </w:rPr>
        <w:t xml:space="preserve">Cuaderno: </w:t>
      </w:r>
      <w:hyperlink w:history="1" r:id="rId-qaqo0br6-ysdd5fxsfmc">
        <w:r>
          <w:rPr>
            <w:color w:val="2a78d6"/>
            <w:sz w:val="22"/>
            <w:szCs w:val="22"/>
            <w:u w:val="single"/>
          </w:rPr>
          <w:t xml:space="preserve">S2_pca_y_admixture.ipynb</w:t>
        </w:r>
      </w:hyperlink>
    </w:p>
    <w:p>
      <w:pPr>
        <w:pStyle w:val="Heading2"/>
        <w:spacing w:after="120" w:before="240"/>
      </w:pPr>
      <w:r>
        <w:rPr>
          <w:b/>
          <w:bCs/>
          <w:color w:val="1a1a1a"/>
          <w:sz w:val="25"/>
          <w:szCs w:val="25"/>
        </w:rPr>
        <w:t xml:space="preserve">Sesión 3. Ancestría local con RFMix</w:t>
      </w:r>
    </w:p>
    <w:p>
      <w:pPr>
        <w:pStyle w:val="ListParagraph"/>
        <w:numPr>
          <w:ilvl w:val="0"/>
          <w:numId w:val="2"/>
        </w:numPr>
        <w:spacing w:after="80" w:line="276"/>
      </w:pPr>
      <w:r>
        <w:rPr>
          <w:color w:val="1a1a1a"/>
          <w:sz w:val="22"/>
          <w:szCs w:val="22"/>
        </w:rPr>
        <w:t xml:space="preserve">Revisar los cuatro insumos que necesita RFMix y armar el sample map como ejercicio.</w:t>
      </w:r>
    </w:p>
    <w:p>
      <w:pPr>
        <w:pStyle w:val="ListParagraph"/>
        <w:numPr>
          <w:ilvl w:val="0"/>
          <w:numId w:val="2"/>
        </w:numPr>
        <w:spacing w:after="80" w:line="276"/>
      </w:pPr>
      <w:r>
        <w:rPr>
          <w:color w:val="1a1a1a"/>
          <w:sz w:val="22"/>
          <w:szCs w:val="22"/>
        </w:rPr>
        <w:t xml:space="preserve">Verificar que los archivos nombren igual al cromosoma, el error más común al preparar los datos.</w:t>
      </w:r>
    </w:p>
    <w:p>
      <w:pPr>
        <w:pStyle w:val="ListParagraph"/>
        <w:numPr>
          <w:ilvl w:val="0"/>
          <w:numId w:val="2"/>
        </w:numPr>
        <w:spacing w:after="80" w:line="276"/>
      </w:pPr>
      <w:r>
        <w:rPr>
          <w:color w:val="1a1a1a"/>
          <w:sz w:val="22"/>
          <w:szCs w:val="22"/>
        </w:rPr>
        <w:t xml:space="preserve">Compilar y correr RFMix sobre el cromosoma 22 de 10 personas de Medellín.</w:t>
      </w:r>
    </w:p>
    <w:p>
      <w:pPr>
        <w:pStyle w:val="ListParagraph"/>
        <w:numPr>
          <w:ilvl w:val="0"/>
          <w:numId w:val="2"/>
        </w:numPr>
        <w:spacing w:after="80" w:line="276"/>
      </w:pPr>
      <w:r>
        <w:rPr>
          <w:color w:val="1a1a1a"/>
          <w:sz w:val="22"/>
          <w:szCs w:val="22"/>
        </w:rPr>
        <w:t xml:space="preserve">Leer los archivos de salida y la autoevaluación del programa.</w:t>
      </w:r>
    </w:p>
    <w:p>
      <w:pPr>
        <w:pStyle w:val="ListParagraph"/>
        <w:numPr>
          <w:ilvl w:val="0"/>
          <w:numId w:val="2"/>
        </w:numPr>
        <w:spacing w:after="80" w:line="276"/>
      </w:pPr>
      <w:r>
        <w:rPr>
          <w:color w:val="1a1a1a"/>
          <w:sz w:val="22"/>
          <w:szCs w:val="22"/>
        </w:rPr>
        <w:t xml:space="preserve">Pintar los cromosomas de dos formas: vista compacta y karyograma.</w:t>
      </w:r>
    </w:p>
    <w:p>
      <w:pPr>
        <w:pStyle w:val="ListParagraph"/>
        <w:numPr>
          <w:ilvl w:val="0"/>
          <w:numId w:val="2"/>
        </w:numPr>
        <w:spacing w:after="80" w:line="276"/>
      </w:pPr>
      <w:r>
        <w:rPr>
          <w:color w:val="1a1a1a"/>
          <w:sz w:val="22"/>
          <w:szCs w:val="22"/>
        </w:rPr>
        <w:t xml:space="preserve">Comparar las cuatro poblaciones con resultados ya calculados de 345 personas.</w:t>
      </w:r>
    </w:p>
    <w:p>
      <w:pPr>
        <w:spacing w:after="80" w:line="276"/>
      </w:pPr>
      <w:r>
        <w:rPr>
          <w:i/>
          <w:iCs/>
          <w:color w:val="52514e"/>
          <w:sz w:val="20"/>
          <w:szCs w:val="20"/>
        </w:rPr>
        <w:t xml:space="preserve">RFMix tarda unos 4 minutos con 10 personas. Los resultados de las 345 vienen precalculados.</w:t>
      </w:r>
    </w:p>
    <w:p>
      <w:pPr>
        <w:spacing w:after="100" w:line="276"/>
      </w:pPr>
      <w:r>
        <w:rPr>
          <w:color w:val="1a1a1a"/>
          <w:sz w:val="22"/>
          <w:szCs w:val="22"/>
        </w:rPr>
        <w:t xml:space="preserve">Cuaderno: </w:t>
      </w:r>
      <w:hyperlink w:history="1" r:id="rIdm9-dsc6xjhx5bc1doupyv">
        <w:r>
          <w:rPr>
            <w:color w:val="2a78d6"/>
            <w:sz w:val="22"/>
            <w:szCs w:val="22"/>
            <w:u w:val="single"/>
          </w:rPr>
          <w:t xml:space="preserve">S3_ancestria_local.ipynb</w:t>
        </w:r>
      </w:hyperlink>
    </w:p>
    <w:p>
      <w:pPr>
        <w:pStyle w:val="Heading2"/>
        <w:spacing w:after="120" w:before="240"/>
      </w:pPr>
      <w:r>
        <w:rPr>
          <w:b/>
          <w:bCs/>
          <w:color w:val="1a1a1a"/>
          <w:sz w:val="25"/>
          <w:szCs w:val="25"/>
        </w:rPr>
        <w:t xml:space="preserve">Sesión 4. Interpretación y aplicaciones</w:t>
      </w:r>
    </w:p>
    <w:p>
      <w:pPr>
        <w:pStyle w:val="ListParagraph"/>
        <w:numPr>
          <w:ilvl w:val="0"/>
          <w:numId w:val="2"/>
        </w:numPr>
        <w:spacing w:after="80" w:line="276"/>
      </w:pPr>
      <w:r>
        <w:rPr>
          <w:color w:val="1a1a1a"/>
          <w:sz w:val="22"/>
          <w:szCs w:val="22"/>
        </w:rPr>
        <w:t xml:space="preserve">Consultar qué ancestría tiene cada persona en la posición exacta del gen APOL1.</w:t>
      </w:r>
    </w:p>
    <w:p>
      <w:pPr>
        <w:pStyle w:val="ListParagraph"/>
        <w:numPr>
          <w:ilvl w:val="0"/>
          <w:numId w:val="2"/>
        </w:numPr>
        <w:spacing w:after="80" w:line="276"/>
      </w:pPr>
      <w:r>
        <w:rPr>
          <w:color w:val="1a1a1a"/>
          <w:sz w:val="22"/>
          <w:szCs w:val="22"/>
        </w:rPr>
        <w:t xml:space="preserve">Contar cuántas de las dos copias son africanas ahí, que es lo que define el riesgo recesivo.</w:t>
      </w:r>
    </w:p>
    <w:p>
      <w:pPr>
        <w:pStyle w:val="ListParagraph"/>
        <w:numPr>
          <w:ilvl w:val="0"/>
          <w:numId w:val="2"/>
        </w:numPr>
        <w:spacing w:after="80" w:line="276"/>
      </w:pPr>
      <w:r>
        <w:rPr>
          <w:color w:val="1a1a1a"/>
          <w:sz w:val="22"/>
          <w:szCs w:val="22"/>
        </w:rPr>
        <w:t xml:space="preserve">Ver la lógica del admixture mapping midiendo la desviación de la ancestría a lo largo del cromosoma.</w:t>
      </w:r>
    </w:p>
    <w:p>
      <w:pPr>
        <w:pStyle w:val="ListParagraph"/>
        <w:numPr>
          <w:ilvl w:val="0"/>
          <w:numId w:val="2"/>
        </w:numPr>
        <w:spacing w:after="80" w:line="276"/>
      </w:pPr>
      <w:r>
        <w:rPr>
          <w:color w:val="1a1a1a"/>
          <w:sz w:val="22"/>
          <w:szCs w:val="22"/>
        </w:rPr>
        <w:t xml:space="preserve">Discutir por qué los puntajes de riesgo poligénico funcionan peor en poblaciones mezcladas.</w:t>
      </w:r>
    </w:p>
    <w:p>
      <w:pPr>
        <w:pStyle w:val="ListParagraph"/>
        <w:numPr>
          <w:ilvl w:val="0"/>
          <w:numId w:val="2"/>
        </w:numPr>
        <w:spacing w:after="80" w:line="276"/>
      </w:pPr>
      <w:r>
        <w:rPr>
          <w:color w:val="1a1a1a"/>
          <w:sz w:val="22"/>
          <w:szCs w:val="22"/>
        </w:rPr>
        <w:t xml:space="preserve">Cerrar con las limitaciones del curso y qué haría falta para un análisis real.</w:t>
      </w:r>
    </w:p>
    <w:p>
      <w:pPr>
        <w:spacing w:after="80" w:line="276"/>
      </w:pPr>
      <w:r>
        <w:rPr>
          <w:i/>
          <w:iCs/>
          <w:color w:val="52514e"/>
          <w:sz w:val="20"/>
          <w:szCs w:val="20"/>
        </w:rPr>
        <w:t xml:space="preserve">Sesión de discusión: poco código nuevo y mucha interpretación.</w:t>
      </w:r>
    </w:p>
    <w:p>
      <w:pPr>
        <w:spacing w:after="100" w:line="276"/>
      </w:pPr>
      <w:r>
        <w:rPr>
          <w:color w:val="1a1a1a"/>
          <w:sz w:val="22"/>
          <w:szCs w:val="22"/>
        </w:rPr>
        <w:t xml:space="preserve">Cuaderno: </w:t>
      </w:r>
      <w:hyperlink w:history="1" r:id="rIddjme07hpw9r5vie7gxpvq">
        <w:r>
          <w:rPr>
            <w:color w:val="2a78d6"/>
            <w:sz w:val="22"/>
            <w:szCs w:val="22"/>
            <w:u w:val="single"/>
          </w:rPr>
          <w:t xml:space="preserve">S4_aplicaciones.ipynb</w:t>
        </w:r>
      </w:hyperlink>
    </w:p>
    <w:p>
      <w:pPr>
        <w:pStyle w:val="Heading1"/>
        <w:spacing w:after="160" w:before="320"/>
      </w:pPr>
      <w:r>
        <w:rPr>
          <w:b/>
          <w:bCs/>
          <w:color w:val="2a78d6"/>
          <w:sz w:val="30"/>
          <w:szCs w:val="30"/>
        </w:rPr>
        <w:t xml:space="preserve">6. Qué necesitan los participantes</w:t>
      </w:r>
    </w:p>
    <w:p>
      <w:pPr>
        <w:pStyle w:val="ListParagraph"/>
        <w:numPr>
          <w:ilvl w:val="0"/>
          <w:numId w:val="2"/>
        </w:numPr>
        <w:spacing w:after="80" w:line="276"/>
      </w:pPr>
      <w:r>
        <w:rPr>
          <w:color w:val="1a1a1a"/>
          <w:sz w:val="22"/>
          <w:szCs w:val="22"/>
        </w:rPr>
        <w:t xml:space="preserve">Un computador con navegador e internet. Sirve Windows, Mac o Linux.</w:t>
      </w:r>
    </w:p>
    <w:p>
      <w:pPr>
        <w:pStyle w:val="ListParagraph"/>
        <w:numPr>
          <w:ilvl w:val="0"/>
          <w:numId w:val="2"/>
        </w:numPr>
        <w:spacing w:after="80" w:line="276"/>
      </w:pPr>
      <w:r>
        <w:rPr>
          <w:color w:val="1a1a1a"/>
          <w:sz w:val="22"/>
          <w:szCs w:val="22"/>
        </w:rPr>
        <w:t xml:space="preserve">Una cuenta de Google, para usar Google Colab.</w:t>
      </w:r>
    </w:p>
    <w:p>
      <w:pPr>
        <w:pStyle w:val="ListParagraph"/>
        <w:numPr>
          <w:ilvl w:val="0"/>
          <w:numId w:val="2"/>
        </w:numPr>
        <w:spacing w:after="80" w:line="276"/>
      </w:pPr>
      <w:r>
        <w:rPr>
          <w:color w:val="1a1a1a"/>
          <w:sz w:val="22"/>
          <w:szCs w:val="22"/>
        </w:rPr>
        <w:t xml:space="preserve">Nada más: no hay que instalar programas ni saber usar la terminal.</w:t>
      </w:r>
    </w:p>
    <w:p>
      <w:pPr>
        <w:spacing w:after="120" w:line="276"/>
      </w:pPr>
      <w:r>
        <w:rPr>
          <w:color w:val="1a1a1a"/>
          <w:sz w:val="22"/>
          <w:szCs w:val="22"/>
        </w:rPr>
        <w:t xml:space="preserve">Antes de la primera sesión conviene que abran el cuaderno de la sesión 1 y corran la primera celda, para confirmar que Colab les funciona.</w:t>
      </w:r>
    </w:p>
    <w:p>
      <w:pPr>
        <w:pStyle w:val="Heading1"/>
        <w:spacing w:after="160" w:before="320"/>
      </w:pPr>
      <w:r>
        <w:rPr>
          <w:b/>
          <w:bCs/>
          <w:color w:val="2a78d6"/>
          <w:sz w:val="30"/>
          <w:szCs w:val="30"/>
        </w:rPr>
        <w:t xml:space="preserve">7. Qué se les comparte y cuándo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760"/>
      </w:tblGrid>
      <w:tr>
        <w:trPr>
          <w:cantSplit/>
          <w:tblHeader/>
        </w:trPr>
        <w:tc>
          <w:tcPr>
            <w:tcW w:type="dxa" w:w="2600"/>
            <w:shd w:fill="f2f2f0" w:color="auto" w:val="clear"/>
            <w:tcMar>
              <w:top w:type="dxa" w:w="80"/>
              <w:left w:type="dxa" w:w="110"/>
              <w:bottom w:type="dxa" w:w="80"/>
              <w:right w:type="dxa" w:w="110"/>
            </w:tcMar>
          </w:tcPr>
          <w:p>
            <w:pPr>
              <w:spacing w:after="0" w:line="260"/>
            </w:pPr>
            <w:r>
              <w:rPr>
                <w:b/>
                <w:bCs/>
                <w:color w:val="1a1a1a"/>
                <w:sz w:val="20"/>
                <w:szCs w:val="20"/>
              </w:rPr>
              <w:t xml:space="preserve">Cuándo</w:t>
            </w:r>
          </w:p>
        </w:tc>
        <w:tc>
          <w:tcPr>
            <w:tcW w:type="dxa" w:w="6760"/>
            <w:shd w:fill="f2f2f0" w:color="auto" w:val="clear"/>
            <w:tcMar>
              <w:top w:type="dxa" w:w="80"/>
              <w:left w:type="dxa" w:w="110"/>
              <w:bottom w:type="dxa" w:w="80"/>
              <w:right w:type="dxa" w:w="110"/>
            </w:tcMar>
          </w:tcPr>
          <w:p>
            <w:pPr>
              <w:spacing w:after="0" w:line="260"/>
            </w:pPr>
            <w:r>
              <w:rPr>
                <w:b/>
                <w:bCs/>
                <w:color w:val="1a1a1a"/>
                <w:sz w:val="20"/>
                <w:szCs w:val="20"/>
              </w:rPr>
              <w:t xml:space="preserve">Qué se comparte</w:t>
            </w:r>
          </w:p>
        </w:tc>
      </w:tr>
      <w:tr>
        <w:trPr>
          <w:cantSplit/>
          <w:tblHeader w:val="false"/>
        </w:trPr>
        <w:tc>
          <w:tcPr>
            <w:tcW w:type="dxa" w:w="2600"/>
            <w:tcMar>
              <w:top w:type="dxa" w:w="80"/>
              <w:left w:type="dxa" w:w="110"/>
              <w:bottom w:type="dxa" w:w="80"/>
              <w:right w:type="dxa" w:w="110"/>
            </w:tcMar>
          </w:tcPr>
          <w:p>
            <w:pPr>
              <w:spacing w:after="0" w:line="260"/>
            </w:pPr>
            <w:r>
              <w:rPr>
                <w:b w:val="false"/>
                <w:bCs w:val="false"/>
                <w:color w:val="1a1a1a"/>
                <w:sz w:val="20"/>
                <w:szCs w:val="20"/>
              </w:rPr>
              <w:t xml:space="preserve">Al inscribirse</w:t>
            </w:r>
          </w:p>
        </w:tc>
        <w:tc>
          <w:tcPr>
            <w:tcW w:type="dxa" w:w="6760"/>
            <w:tcMar>
              <w:top w:type="dxa" w:w="80"/>
              <w:left w:type="dxa" w:w="110"/>
              <w:bottom w:type="dxa" w:w="80"/>
              <w:right w:type="dxa" w:w="110"/>
            </w:tcMar>
          </w:tcPr>
          <w:p>
            <w:pPr>
              <w:spacing w:after="0" w:line="260"/>
            </w:pPr>
            <w:r>
              <w:rPr>
                <w:b w:val="false"/>
                <w:bCs w:val="false"/>
                <w:color w:val="1a1a1a"/>
                <w:sz w:val="20"/>
                <w:szCs w:val="20"/>
              </w:rPr>
              <w:t xml:space="preserve">Enlace al repositorio del curso y los requisitos de la sección 6</w:t>
            </w:r>
          </w:p>
        </w:tc>
      </w:tr>
      <w:tr>
        <w:trPr>
          <w:cantSplit/>
          <w:tblHeader w:val="false"/>
        </w:trPr>
        <w:tc>
          <w:tcPr>
            <w:tcW w:type="dxa" w:w="2600"/>
            <w:tcMar>
              <w:top w:type="dxa" w:w="80"/>
              <w:left w:type="dxa" w:w="110"/>
              <w:bottom w:type="dxa" w:w="80"/>
              <w:right w:type="dxa" w:w="110"/>
            </w:tcMar>
          </w:tcPr>
          <w:p>
            <w:pPr>
              <w:spacing w:after="0" w:line="260"/>
            </w:pPr>
            <w:r>
              <w:rPr>
                <w:b w:val="false"/>
                <w:bCs w:val="false"/>
                <w:color w:val="1a1a1a"/>
                <w:sz w:val="20"/>
                <w:szCs w:val="20"/>
              </w:rPr>
              <w:t xml:space="preserve">El viernes previo a cada sesión</w:t>
            </w:r>
          </w:p>
        </w:tc>
        <w:tc>
          <w:tcPr>
            <w:tcW w:type="dxa" w:w="6760"/>
            <w:tcMar>
              <w:top w:type="dxa" w:w="80"/>
              <w:left w:type="dxa" w:w="110"/>
              <w:bottom w:type="dxa" w:w="80"/>
              <w:right w:type="dxa" w:w="110"/>
            </w:tcMar>
          </w:tcPr>
          <w:p>
            <w:pPr>
              <w:spacing w:after="0" w:line="260"/>
            </w:pPr>
            <w:r>
              <w:rPr>
                <w:b w:val="false"/>
                <w:bCs w:val="false"/>
                <w:color w:val="1a1a1a"/>
                <w:sz w:val="20"/>
                <w:szCs w:val="20"/>
              </w:rPr>
              <w:t xml:space="preserve">El módulo teórico de esa semana: videos y lectura</w:t>
            </w:r>
          </w:p>
        </w:tc>
      </w:tr>
      <w:tr>
        <w:trPr>
          <w:cantSplit/>
          <w:tblHeader w:val="false"/>
        </w:trPr>
        <w:tc>
          <w:tcPr>
            <w:tcW w:type="dxa" w:w="2600"/>
            <w:tcMar>
              <w:top w:type="dxa" w:w="80"/>
              <w:left w:type="dxa" w:w="110"/>
              <w:bottom w:type="dxa" w:w="80"/>
              <w:right w:type="dxa" w:w="110"/>
            </w:tcMar>
          </w:tcPr>
          <w:p>
            <w:pPr>
              <w:spacing w:after="0" w:line="260"/>
            </w:pPr>
            <w:r>
              <w:rPr>
                <w:b w:val="false"/>
                <w:bCs w:val="false"/>
                <w:color w:val="1a1a1a"/>
                <w:sz w:val="20"/>
                <w:szCs w:val="20"/>
              </w:rPr>
              <w:t xml:space="preserve">Al inicio de cada sesión</w:t>
            </w:r>
          </w:p>
        </w:tc>
        <w:tc>
          <w:tcPr>
            <w:tcW w:type="dxa" w:w="6760"/>
            <w:tcMar>
              <w:top w:type="dxa" w:w="80"/>
              <w:left w:type="dxa" w:w="110"/>
              <w:bottom w:type="dxa" w:w="80"/>
              <w:right w:type="dxa" w:w="110"/>
            </w:tcMar>
          </w:tcPr>
          <w:p>
            <w:pPr>
              <w:spacing w:after="0" w:line="260"/>
            </w:pPr>
            <w:r>
              <w:rPr>
                <w:b w:val="false"/>
                <w:bCs w:val="false"/>
                <w:color w:val="1a1a1a"/>
                <w:sz w:val="20"/>
                <w:szCs w:val="20"/>
              </w:rPr>
              <w:t xml:space="preserve">El enlace de Colab de ese día, pegado en el chat de la videoconferencia</w:t>
            </w:r>
          </w:p>
        </w:tc>
      </w:tr>
      <w:tr>
        <w:trPr>
          <w:cantSplit/>
          <w:tblHeader w:val="false"/>
        </w:trPr>
        <w:tc>
          <w:tcPr>
            <w:tcW w:type="dxa" w:w="2600"/>
            <w:tcMar>
              <w:top w:type="dxa" w:w="80"/>
              <w:left w:type="dxa" w:w="110"/>
              <w:bottom w:type="dxa" w:w="80"/>
              <w:right w:type="dxa" w:w="110"/>
            </w:tcMar>
          </w:tcPr>
          <w:p>
            <w:pPr>
              <w:spacing w:after="0" w:line="260"/>
            </w:pPr>
            <w:r>
              <w:rPr>
                <w:b w:val="false"/>
                <w:bCs w:val="false"/>
                <w:color w:val="1a1a1a"/>
                <w:sz w:val="20"/>
                <w:szCs w:val="20"/>
              </w:rPr>
              <w:t xml:space="preserve">Al terminar el curso</w:t>
            </w:r>
          </w:p>
        </w:tc>
        <w:tc>
          <w:tcPr>
            <w:tcW w:type="dxa" w:w="6760"/>
            <w:tcMar>
              <w:top w:type="dxa" w:w="80"/>
              <w:left w:type="dxa" w:w="110"/>
              <w:bottom w:type="dxa" w:w="80"/>
              <w:right w:type="dxa" w:w="110"/>
            </w:tcMar>
          </w:tcPr>
          <w:p>
            <w:pPr>
              <w:spacing w:after="0" w:line="260"/>
            </w:pPr>
            <w:r>
              <w:rPr>
                <w:b w:val="false"/>
                <w:bCs w:val="false"/>
                <w:color w:val="1a1a1a"/>
                <w:sz w:val="20"/>
                <w:szCs w:val="20"/>
              </w:rPr>
              <w:t xml:space="preserve">El repositorio queda público y disponible de forma permanente</w:t>
            </w:r>
          </w:p>
        </w:tc>
      </w:tr>
    </w:tbl>
    <w:p>
      <w:pPr>
        <w:spacing w:after="100" w:line="276"/>
      </w:pPr>
      <w:r>
        <w:rPr>
          <w:color w:val="1a1a1a"/>
          <w:sz w:val="22"/>
          <w:szCs w:val="22"/>
        </w:rPr>
        <w:t xml:space="preserve">Repositorio del curso: </w:t>
      </w:r>
      <w:hyperlink w:history="1" r:id="rIdjbq5zrx_qjhg2ur09agex">
        <w:r>
          <w:rPr>
            <w:color w:val="2a78d6"/>
            <w:sz w:val="22"/>
            <w:szCs w:val="22"/>
            <w:u w:val="single"/>
          </w:rPr>
          <w:t xml:space="preserve">github.com/YTZ27/curso-ancestria</w:t>
        </w:r>
      </w:hyperlink>
    </w:p>
    <w:p>
      <w:pPr>
        <w:spacing w:after="120" w:line="276"/>
      </w:pPr>
      <w:r>
        <w:rPr>
          <w:i/>
          <w:iCs/>
          <w:color w:val="52514e"/>
          <w:sz w:val="20"/>
          <w:szCs w:val="20"/>
        </w:rPr>
        <w:t xml:space="preserve">Conviene compartir el repositorio y no los archivos sueltos: los cuadernos se abren en Colab con un clic desde allí, y si se corrige algo, todos ven la versión corregida sin tener que reenviar nada.</w:t>
      </w:r>
    </w:p>
    <w:p>
      <w:pPr>
        <w:pStyle w:val="Heading1"/>
        <w:spacing w:after="160" w:before="320"/>
      </w:pPr>
      <w:r>
        <w:rPr>
          <w:b/>
          <w:bCs/>
          <w:color w:val="2a78d6"/>
          <w:sz w:val="30"/>
          <w:szCs w:val="30"/>
        </w:rPr>
        <w:t xml:space="preserve">8. Datos que se usan</w:t>
      </w:r>
    </w:p>
    <w:p>
      <w:pPr>
        <w:spacing w:after="120" w:line="276"/>
      </w:pPr>
      <w:r>
        <w:rPr>
          <w:color w:val="1a1a1a"/>
          <w:sz w:val="22"/>
          <w:szCs w:val="22"/>
        </w:rPr>
        <w:t xml:space="preserve">Todos los datos son públicos y de acceso abierto.</w:t>
      </w:r>
    </w:p>
    <w:tbl>
      <w:tblPr>
        <w:tblW w:type="dxa" w:w="9360"/>
        <w:tblBorders>
          <w:top w:val="single" w:color="cccccc" w:sz="2"/>
          <w:left w:val="single" w:color="cccccc" w:sz="2"/>
          <w:bottom w:val="single" w:color="cccccc" w:sz="2"/>
          <w:right w:val="single" w:color="cccccc" w:sz="2"/>
          <w:insideH w:val="single" w:color="dddddd" w:sz="2"/>
          <w:insideV w:val="single" w:color="dddddd" w:sz="2"/>
        </w:tblBorders>
      </w:tblPr>
      <w:tblGrid>
        <w:gridCol w:w="1500"/>
        <w:gridCol w:w="7860"/>
      </w:tblGrid>
      <w:tr>
        <w:trPr>
          <w:cantSplit/>
          <w:tblHeader/>
        </w:trPr>
        <w:tc>
          <w:tcPr>
            <w:tcW w:type="dxa" w:w="1500"/>
            <w:shd w:fill="f2f2f0" w:color="auto" w:val="clear"/>
            <w:tcMar>
              <w:top w:type="dxa" w:w="80"/>
              <w:left w:type="dxa" w:w="110"/>
              <w:bottom w:type="dxa" w:w="80"/>
              <w:right w:type="dxa" w:w="110"/>
            </w:tcMar>
          </w:tcPr>
          <w:p>
            <w:pPr>
              <w:spacing w:after="0" w:line="260"/>
            </w:pPr>
            <w:r>
              <w:rPr>
                <w:b/>
                <w:bCs/>
                <w:color w:val="1a1a1a"/>
                <w:sz w:val="20"/>
                <w:szCs w:val="20"/>
              </w:rPr>
              <w:t xml:space="preserve">Sesiones</w:t>
            </w:r>
          </w:p>
        </w:tc>
        <w:tc>
          <w:tcPr>
            <w:tcW w:type="dxa" w:w="7860"/>
            <w:shd w:fill="f2f2f0" w:color="auto" w:val="clear"/>
            <w:tcMar>
              <w:top w:type="dxa" w:w="80"/>
              <w:left w:type="dxa" w:w="110"/>
              <w:bottom w:type="dxa" w:w="80"/>
              <w:right w:type="dxa" w:w="110"/>
            </w:tcMar>
          </w:tcPr>
          <w:p>
            <w:pPr>
              <w:spacing w:after="0" w:line="260"/>
            </w:pPr>
            <w:r>
              <w:rPr>
                <w:b/>
                <w:bCs/>
                <w:color w:val="1a1a1a"/>
                <w:sz w:val="20"/>
                <w:szCs w:val="20"/>
              </w:rPr>
              <w:t xml:space="preserve">Datos</w:t>
            </w:r>
          </w:p>
        </w:tc>
      </w:tr>
      <w:tr>
        <w:trPr>
          <w:cantSplit/>
          <w:tblHeader w:val="false"/>
        </w:trPr>
        <w:tc>
          <w:tcPr>
            <w:tcW w:type="dxa" w:w="1500"/>
            <w:tcMar>
              <w:top w:type="dxa" w:w="80"/>
              <w:left w:type="dxa" w:w="110"/>
              <w:bottom w:type="dxa" w:w="80"/>
              <w:right w:type="dxa" w:w="110"/>
            </w:tcMar>
          </w:tcPr>
          <w:p>
            <w:pPr>
              <w:spacing w:after="0" w:line="260"/>
            </w:pPr>
            <w:r>
              <w:rPr>
                <w:b w:val="false"/>
                <w:bCs w:val="false"/>
                <w:color w:val="1a1a1a"/>
                <w:sz w:val="20"/>
                <w:szCs w:val="20"/>
              </w:rPr>
              <w:t xml:space="preserve">1 y 2</w:t>
            </w:r>
          </w:p>
        </w:tc>
        <w:tc>
          <w:tcPr>
            <w:tcW w:type="dxa" w:w="7860"/>
            <w:tcMar>
              <w:top w:type="dxa" w:w="80"/>
              <w:left w:type="dxa" w:w="110"/>
              <w:bottom w:type="dxa" w:w="80"/>
              <w:right w:type="dxa" w:w="110"/>
            </w:tcMar>
          </w:tcPr>
          <w:p>
            <w:pPr>
              <w:spacing w:after="0" w:line="260"/>
            </w:pPr>
            <w:r>
              <w:rPr>
                <w:b w:val="false"/>
                <w:bCs w:val="false"/>
                <w:color w:val="1a1a1a"/>
                <w:sz w:val="20"/>
                <w:szCs w:val="20"/>
              </w:rPr>
              <w:t xml:space="preserve">Exoma de 969 personas de 15 poblaciones del Proyecto 1000 Genomas y del HGDP, con 244 305 variantes</w:t>
            </w:r>
          </w:p>
        </w:tc>
      </w:tr>
      <w:tr>
        <w:trPr>
          <w:cantSplit/>
          <w:tblHeader w:val="false"/>
        </w:trPr>
        <w:tc>
          <w:tcPr>
            <w:tcW w:type="dxa" w:w="1500"/>
            <w:tcMar>
              <w:top w:type="dxa" w:w="80"/>
              <w:left w:type="dxa" w:w="110"/>
              <w:bottom w:type="dxa" w:w="80"/>
              <w:right w:type="dxa" w:w="110"/>
            </w:tcMar>
          </w:tcPr>
          <w:p>
            <w:pPr>
              <w:spacing w:after="0" w:line="260"/>
            </w:pPr>
            <w:r>
              <w:rPr>
                <w:b w:val="false"/>
                <w:bCs w:val="false"/>
                <w:color w:val="1a1a1a"/>
                <w:sz w:val="20"/>
                <w:szCs w:val="20"/>
              </w:rPr>
              <w:t xml:space="preserve">3 y 4</w:t>
            </w:r>
          </w:p>
        </w:tc>
        <w:tc>
          <w:tcPr>
            <w:tcW w:type="dxa" w:w="7860"/>
            <w:tcMar>
              <w:top w:type="dxa" w:w="80"/>
              <w:left w:type="dxa" w:w="110"/>
              <w:bottom w:type="dxa" w:w="80"/>
              <w:right w:type="dxa" w:w="110"/>
            </w:tcMar>
          </w:tcPr>
          <w:p>
            <w:pPr>
              <w:spacing w:after="0" w:line="260"/>
            </w:pPr>
            <w:r>
              <w:rPr>
                <w:b w:val="false"/>
                <w:bCs w:val="false"/>
                <w:color w:val="1a1a1a"/>
                <w:sz w:val="20"/>
                <w:szCs w:val="20"/>
              </w:rPr>
              <w:t xml:space="preserve">Cromosoma 22 faseado de 345 personas mezcladas (Medellín, México, Puerto Rico y Lima) y 263 de referencia, con 81 350 variantes</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0oycegkc2zqshcudvscb" Type="http://schemas.openxmlformats.org/officeDocument/2006/relationships/hyperlink" Target="https://doi.org/10.1038/srep12376" TargetMode="External"/><Relationship Id="rIdvppmdhqdasjc9ndebih5l" Type="http://schemas.openxmlformats.org/officeDocument/2006/relationships/hyperlink" Target="https://doi.org/10.1038/nature15393" TargetMode="External"/><Relationship Id="rId75yqf8rfv4ruxonn2decf" Type="http://schemas.openxmlformats.org/officeDocument/2006/relationships/hyperlink" Target="https://doi.org/10.1126/science.aay5012" TargetMode="External"/><Relationship Id="rIdqvwrtu5yeoqj-4byxcjex" Type="http://schemas.openxmlformats.org/officeDocument/2006/relationships/hyperlink" Target="https://doi.org/10.1038/s41467-018-05257-7" TargetMode="External"/><Relationship Id="rId1tnske3xum5vzcdxkfcri" Type="http://schemas.openxmlformats.org/officeDocument/2006/relationships/hyperlink" Target="https://doi.org/10.1371/journal.pgen.0020190" TargetMode="External"/><Relationship Id="rId4tpqdj4dvyggjcbpzc3tc" Type="http://schemas.openxmlformats.org/officeDocument/2006/relationships/hyperlink" Target="https://doi.org/10.1371/journal.pgen.1000686" TargetMode="External"/><Relationship Id="rIdlvgsyzhpzqbt5lowxgl4d" Type="http://schemas.openxmlformats.org/officeDocument/2006/relationships/hyperlink" Target="https://doi.org/10.1016/j.ajhg.2013.06.020" TargetMode="External"/><Relationship Id="rIdonxmf_l87vf71ozbb3893" Type="http://schemas.openxmlformats.org/officeDocument/2006/relationships/hyperlink" Target="https://doi.org/10.1534/genetics.112.139808" TargetMode="External"/><Relationship Id="rIddzituadfurksldqjpd_xj" Type="http://schemas.openxmlformats.org/officeDocument/2006/relationships/hyperlink" Target="https://doi.org/10.1101/gr.278378.123" TargetMode="External"/><Relationship Id="rIdfh2mlhzkhb3v2pqofarhy" Type="http://schemas.openxmlformats.org/officeDocument/2006/relationships/hyperlink" Target="https://doi.org/10.1038/s41588-019-0379-x" TargetMode="External"/><Relationship Id="rId5gu6tao8tip0yi94quyku" Type="http://schemas.openxmlformats.org/officeDocument/2006/relationships/hyperlink" Target="https://doi.org/10.1007/s00439-010-0861-0" TargetMode="External"/><Relationship Id="rIdtvt82vvriceomimeekttt" Type="http://schemas.openxmlformats.org/officeDocument/2006/relationships/hyperlink" Target="https://colab.research.google.com/github/YTZ27/curso-ancestria/blob/main/notebooks/S1_formatos_y_calidad.ipynb" TargetMode="External"/><Relationship Id="rId-qaqo0br6-ysdd5fxsfmc" Type="http://schemas.openxmlformats.org/officeDocument/2006/relationships/hyperlink" Target="https://colab.research.google.com/github/YTZ27/curso-ancestria/blob/main/notebooks/S2_pca_y_admixture.ipynb" TargetMode="External"/><Relationship Id="rIdm9-dsc6xjhx5bc1doupyv" Type="http://schemas.openxmlformats.org/officeDocument/2006/relationships/hyperlink" Target="https://colab.research.google.com/github/YTZ27/curso-ancestria/blob/main/notebooks/S3_ancestria_local.ipynb" TargetMode="External"/><Relationship Id="rIddjme07hpw9r5vie7gxpvq" Type="http://schemas.openxmlformats.org/officeDocument/2006/relationships/hyperlink" Target="https://colab.research.google.com/github/YTZ27/curso-ancestria/blob/main/notebooks/S4_aplicaciones.ipynb" TargetMode="External"/><Relationship Id="rIdjbq5zrx_qjhg2ur09agex" Type="http://schemas.openxmlformats.org/officeDocument/2006/relationships/hyperlink" Target="https://github.com/YTZ27/curso-ancestria"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del curso de ancestría genética</dc:title>
  <dc:creator>Curso de ancestría genética</dc:creator>
  <cp:lastModifiedBy>Un-named</cp:lastModifiedBy>
  <cp:revision>1</cp:revision>
  <dcterms:created xsi:type="dcterms:W3CDTF">2026-10-23T18:36:56.874Z</dcterms:created>
  <dcterms:modified xsi:type="dcterms:W3CDTF">2026-10-23T18:36:56.875Z</dcterms:modified>
</cp:coreProperties>
</file>

<file path=docProps/custom.xml><?xml version="1.0" encoding="utf-8"?>
<Properties xmlns="http://schemas.openxmlformats.org/officeDocument/2006/custom-properties" xmlns:vt="http://schemas.openxmlformats.org/officeDocument/2006/docPropsVTypes"/>
</file>