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4EE8" w14:textId="77777777" w:rsidR="00EF5F94" w:rsidRDefault="00000000">
      <w:pPr>
        <w:shd w:val="clear" w:color="auto" w:fill="12121B"/>
      </w:pPr>
      <w:r>
        <w:rPr>
          <w:sz w:val="2"/>
          <w:szCs w:val="2"/>
        </w:rPr>
        <w:t xml:space="preserve"> </w:t>
      </w:r>
    </w:p>
    <w:tbl>
      <w:tblPr>
        <w:tblW w:w="97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EF5F94" w14:paraId="3FDB2E8C" w14:textId="77777777" w:rsidTr="00A27D79">
        <w:tblPrEx>
          <w:tblCellMar>
            <w:top w:w="0" w:type="dxa"/>
            <w:bottom w:w="0" w:type="dxa"/>
          </w:tblCellMar>
        </w:tblPrEx>
        <w:trPr>
          <w:trHeight w:val="1246"/>
        </w:trPr>
        <w:tc>
          <w:tcPr>
            <w:tcW w:w="0" w:type="auto"/>
            <w:shd w:val="clear" w:color="auto" w:fill="12121B"/>
            <w:tcMar>
              <w:top w:w="320" w:type="dxa"/>
              <w:left w:w="320" w:type="dxa"/>
              <w:bottom w:w="320" w:type="dxa"/>
              <w:right w:w="320" w:type="dxa"/>
            </w:tcMar>
          </w:tcPr>
          <w:p w14:paraId="4F810833" w14:textId="77777777" w:rsidR="00EF5F94" w:rsidRDefault="00000000">
            <w:r>
              <w:rPr>
                <w:rFonts w:ascii="Calibri" w:eastAsia="Calibri" w:hAnsi="Calibri" w:cs="Calibri"/>
                <w:b/>
                <w:bCs/>
                <w:color w:val="C9A0A2"/>
                <w:spacing w:val="20"/>
                <w:sz w:val="18"/>
                <w:szCs w:val="18"/>
              </w:rPr>
              <w:t>VULNERABILITY ASSESSMENT REPORT</w:t>
            </w:r>
          </w:p>
          <w:p w14:paraId="24247847" w14:textId="77777777" w:rsidR="00EF5F94" w:rsidRDefault="00000000">
            <w:pPr>
              <w:spacing w:before="120"/>
            </w:pPr>
            <w:r>
              <w:rPr>
                <w:rFonts w:ascii="Cambria" w:eastAsia="Cambria" w:hAnsi="Cambria" w:cs="Cambria"/>
                <w:b/>
                <w:bCs/>
                <w:color w:val="FFFFFF"/>
                <w:sz w:val="40"/>
                <w:szCs w:val="40"/>
              </w:rPr>
              <w:t>IDOR — Insecure Direct Object Reference</w:t>
            </w:r>
          </w:p>
          <w:p w14:paraId="2626F6EA" w14:textId="77777777" w:rsidR="00EF5F94" w:rsidRDefault="00000000">
            <w:pPr>
              <w:spacing w:before="80"/>
            </w:pPr>
            <w:r>
              <w:rPr>
                <w:rFonts w:ascii="Calibri" w:eastAsia="Calibri" w:hAnsi="Calibri" w:cs="Calibri"/>
                <w:i/>
                <w:iCs/>
                <w:color w:val="D9D2D2"/>
                <w:sz w:val="21"/>
                <w:szCs w:val="21"/>
              </w:rPr>
              <w:t>Employee Profile Access Control Vulnerability — SecureCorp Portal</w:t>
            </w:r>
          </w:p>
        </w:tc>
      </w:tr>
    </w:tbl>
    <w:p w14:paraId="56958BE5" w14:textId="77777777" w:rsidR="00EF5F94" w:rsidRDefault="00EF5F94">
      <w:pPr>
        <w:spacing w:after="260"/>
      </w:pPr>
    </w:p>
    <w:tbl>
      <w:tblPr>
        <w:tblW w:w="8700" w:type="dxa"/>
        <w:tblBorders>
          <w:top w:val="single" w:sz="4" w:space="0" w:color="D9D3D3"/>
          <w:left w:val="single" w:sz="4" w:space="0" w:color="D9D3D3"/>
          <w:bottom w:val="single" w:sz="4" w:space="0" w:color="D9D3D3"/>
          <w:right w:val="single" w:sz="4" w:space="0" w:color="D9D3D3"/>
          <w:insideH w:val="single" w:sz="2" w:space="0" w:color="D9D3D3"/>
          <w:insideV w:val="single" w:sz="2" w:space="0" w:color="D9D3D3"/>
        </w:tblBorders>
        <w:tblCellMar>
          <w:left w:w="10" w:type="dxa"/>
          <w:right w:w="10" w:type="dxa"/>
        </w:tblCellMar>
        <w:tblLook w:val="04A0" w:firstRow="1" w:lastRow="0" w:firstColumn="1" w:lastColumn="0" w:noHBand="0" w:noVBand="1"/>
      </w:tblPr>
      <w:tblGrid>
        <w:gridCol w:w="2400"/>
        <w:gridCol w:w="6300"/>
      </w:tblGrid>
      <w:tr w:rsidR="00EF5F94" w14:paraId="45C2CC57" w14:textId="77777777">
        <w:tblPrEx>
          <w:tblCellMar>
            <w:top w:w="0" w:type="dxa"/>
            <w:bottom w:w="0" w:type="dxa"/>
          </w:tblCellMar>
        </w:tblPrEx>
        <w:tc>
          <w:tcPr>
            <w:tcW w:w="2400" w:type="dxa"/>
            <w:shd w:val="clear" w:color="auto" w:fill="F5F3F3"/>
            <w:tcMar>
              <w:top w:w="90" w:type="dxa"/>
              <w:left w:w="140" w:type="dxa"/>
              <w:bottom w:w="90" w:type="dxa"/>
              <w:right w:w="140" w:type="dxa"/>
            </w:tcMar>
            <w:vAlign w:val="center"/>
          </w:tcPr>
          <w:p w14:paraId="4224C4A1" w14:textId="77777777" w:rsidR="00EF5F94" w:rsidRDefault="00000000">
            <w:r>
              <w:rPr>
                <w:rFonts w:ascii="Calibri" w:eastAsia="Calibri" w:hAnsi="Calibri" w:cs="Calibri"/>
                <w:b/>
                <w:bCs/>
                <w:color w:val="12121B"/>
                <w:sz w:val="19"/>
                <w:szCs w:val="19"/>
              </w:rPr>
              <w:t>Student</w:t>
            </w:r>
          </w:p>
        </w:tc>
        <w:tc>
          <w:tcPr>
            <w:tcW w:w="6300" w:type="dxa"/>
            <w:tcMar>
              <w:top w:w="90" w:type="dxa"/>
              <w:left w:w="140" w:type="dxa"/>
              <w:bottom w:w="90" w:type="dxa"/>
              <w:right w:w="140" w:type="dxa"/>
            </w:tcMar>
            <w:vAlign w:val="center"/>
          </w:tcPr>
          <w:p w14:paraId="179838AC" w14:textId="77777777" w:rsidR="00EF5F94" w:rsidRDefault="00000000">
            <w:r>
              <w:rPr>
                <w:rFonts w:ascii="Calibri" w:eastAsia="Calibri" w:hAnsi="Calibri" w:cs="Calibri"/>
                <w:color w:val="1A1A22"/>
                <w:sz w:val="19"/>
                <w:szCs w:val="19"/>
              </w:rPr>
              <w:t>Farhan</w:t>
            </w:r>
          </w:p>
        </w:tc>
      </w:tr>
      <w:tr w:rsidR="00EF5F94" w14:paraId="056A0634" w14:textId="77777777">
        <w:tblPrEx>
          <w:tblCellMar>
            <w:top w:w="0" w:type="dxa"/>
            <w:bottom w:w="0" w:type="dxa"/>
          </w:tblCellMar>
        </w:tblPrEx>
        <w:tc>
          <w:tcPr>
            <w:tcW w:w="2400" w:type="dxa"/>
            <w:shd w:val="clear" w:color="auto" w:fill="F5F3F3"/>
            <w:tcMar>
              <w:top w:w="90" w:type="dxa"/>
              <w:left w:w="140" w:type="dxa"/>
              <w:bottom w:w="90" w:type="dxa"/>
              <w:right w:w="140" w:type="dxa"/>
            </w:tcMar>
            <w:vAlign w:val="center"/>
          </w:tcPr>
          <w:p w14:paraId="5D2605BD" w14:textId="77777777" w:rsidR="00EF5F94" w:rsidRDefault="00000000">
            <w:r>
              <w:rPr>
                <w:rFonts w:ascii="Calibri" w:eastAsia="Calibri" w:hAnsi="Calibri" w:cs="Calibri"/>
                <w:b/>
                <w:bCs/>
                <w:color w:val="12121B"/>
                <w:sz w:val="19"/>
                <w:szCs w:val="19"/>
              </w:rPr>
              <w:t>Institution</w:t>
            </w:r>
          </w:p>
        </w:tc>
        <w:tc>
          <w:tcPr>
            <w:tcW w:w="6300" w:type="dxa"/>
            <w:tcMar>
              <w:top w:w="90" w:type="dxa"/>
              <w:left w:w="140" w:type="dxa"/>
              <w:bottom w:w="90" w:type="dxa"/>
              <w:right w:w="140" w:type="dxa"/>
            </w:tcMar>
            <w:vAlign w:val="center"/>
          </w:tcPr>
          <w:p w14:paraId="16B6FF3A" w14:textId="42C49E7C" w:rsidR="00EF5F94" w:rsidRDefault="00A27D79">
            <w:r>
              <w:rPr>
                <w:rFonts w:ascii="Calibri" w:eastAsia="Calibri" w:hAnsi="Calibri" w:cs="Calibri"/>
                <w:color w:val="1A1A22"/>
                <w:sz w:val="19"/>
                <w:szCs w:val="19"/>
              </w:rPr>
              <w:t>Tutedude</w:t>
            </w:r>
          </w:p>
        </w:tc>
      </w:tr>
      <w:tr w:rsidR="00EF5F94" w14:paraId="542B1DAF" w14:textId="77777777">
        <w:tblPrEx>
          <w:tblCellMar>
            <w:top w:w="0" w:type="dxa"/>
            <w:bottom w:w="0" w:type="dxa"/>
          </w:tblCellMar>
        </w:tblPrEx>
        <w:tc>
          <w:tcPr>
            <w:tcW w:w="2400" w:type="dxa"/>
            <w:shd w:val="clear" w:color="auto" w:fill="F5F3F3"/>
            <w:tcMar>
              <w:top w:w="90" w:type="dxa"/>
              <w:left w:w="140" w:type="dxa"/>
              <w:bottom w:w="90" w:type="dxa"/>
              <w:right w:w="140" w:type="dxa"/>
            </w:tcMar>
            <w:vAlign w:val="center"/>
          </w:tcPr>
          <w:p w14:paraId="4F7C99DC" w14:textId="77777777" w:rsidR="00EF5F94" w:rsidRDefault="00000000">
            <w:r>
              <w:rPr>
                <w:rFonts w:ascii="Calibri" w:eastAsia="Calibri" w:hAnsi="Calibri" w:cs="Calibri"/>
                <w:b/>
                <w:bCs/>
                <w:color w:val="12121B"/>
                <w:sz w:val="19"/>
                <w:szCs w:val="19"/>
              </w:rPr>
              <w:t>Platform / Room</w:t>
            </w:r>
          </w:p>
        </w:tc>
        <w:tc>
          <w:tcPr>
            <w:tcW w:w="6300" w:type="dxa"/>
            <w:tcMar>
              <w:top w:w="90" w:type="dxa"/>
              <w:left w:w="140" w:type="dxa"/>
              <w:bottom w:w="90" w:type="dxa"/>
              <w:right w:w="140" w:type="dxa"/>
            </w:tcMar>
            <w:vAlign w:val="center"/>
          </w:tcPr>
          <w:p w14:paraId="7A2763C3" w14:textId="77777777" w:rsidR="00EF5F94" w:rsidRDefault="00000000">
            <w:r>
              <w:rPr>
                <w:rFonts w:ascii="Calibri" w:eastAsia="Calibri" w:hAnsi="Calibri" w:cs="Calibri"/>
                <w:color w:val="1A1A22"/>
                <w:sz w:val="19"/>
                <w:szCs w:val="19"/>
              </w:rPr>
              <w:t>TryHackMe — tutedude-cybersec</w:t>
            </w:r>
          </w:p>
        </w:tc>
      </w:tr>
      <w:tr w:rsidR="00EF5F94" w14:paraId="0A22D5EC" w14:textId="77777777">
        <w:tblPrEx>
          <w:tblCellMar>
            <w:top w:w="0" w:type="dxa"/>
            <w:bottom w:w="0" w:type="dxa"/>
          </w:tblCellMar>
        </w:tblPrEx>
        <w:tc>
          <w:tcPr>
            <w:tcW w:w="2400" w:type="dxa"/>
            <w:shd w:val="clear" w:color="auto" w:fill="F5F3F3"/>
            <w:tcMar>
              <w:top w:w="90" w:type="dxa"/>
              <w:left w:w="140" w:type="dxa"/>
              <w:bottom w:w="90" w:type="dxa"/>
              <w:right w:w="140" w:type="dxa"/>
            </w:tcMar>
            <w:vAlign w:val="center"/>
          </w:tcPr>
          <w:p w14:paraId="151EA781" w14:textId="77777777" w:rsidR="00EF5F94" w:rsidRDefault="00000000">
            <w:r>
              <w:rPr>
                <w:rFonts w:ascii="Calibri" w:eastAsia="Calibri" w:hAnsi="Calibri" w:cs="Calibri"/>
                <w:b/>
                <w:bCs/>
                <w:color w:val="12121B"/>
                <w:sz w:val="19"/>
                <w:szCs w:val="19"/>
              </w:rPr>
              <w:t>Target Application</w:t>
            </w:r>
          </w:p>
        </w:tc>
        <w:tc>
          <w:tcPr>
            <w:tcW w:w="6300" w:type="dxa"/>
            <w:tcMar>
              <w:top w:w="90" w:type="dxa"/>
              <w:left w:w="140" w:type="dxa"/>
              <w:bottom w:w="90" w:type="dxa"/>
              <w:right w:w="140" w:type="dxa"/>
            </w:tcMar>
            <w:vAlign w:val="center"/>
          </w:tcPr>
          <w:p w14:paraId="540CCD0A" w14:textId="77777777" w:rsidR="00EF5F94" w:rsidRDefault="00000000">
            <w:r>
              <w:rPr>
                <w:rFonts w:ascii="Calibri" w:eastAsia="Calibri" w:hAnsi="Calibri" w:cs="Calibri"/>
                <w:color w:val="1A1A22"/>
                <w:sz w:val="19"/>
                <w:szCs w:val="19"/>
              </w:rPr>
              <w:t>SecureCorp Portal (192.168.155.129)</w:t>
            </w:r>
          </w:p>
        </w:tc>
      </w:tr>
      <w:tr w:rsidR="00EF5F94" w14:paraId="7ABB495D" w14:textId="77777777">
        <w:tblPrEx>
          <w:tblCellMar>
            <w:top w:w="0" w:type="dxa"/>
            <w:bottom w:w="0" w:type="dxa"/>
          </w:tblCellMar>
        </w:tblPrEx>
        <w:tc>
          <w:tcPr>
            <w:tcW w:w="2400" w:type="dxa"/>
            <w:shd w:val="clear" w:color="auto" w:fill="F5F3F3"/>
            <w:tcMar>
              <w:top w:w="90" w:type="dxa"/>
              <w:left w:w="140" w:type="dxa"/>
              <w:bottom w:w="90" w:type="dxa"/>
              <w:right w:w="140" w:type="dxa"/>
            </w:tcMar>
            <w:vAlign w:val="center"/>
          </w:tcPr>
          <w:p w14:paraId="757577AD" w14:textId="77777777" w:rsidR="00EF5F94" w:rsidRDefault="00000000">
            <w:r>
              <w:rPr>
                <w:rFonts w:ascii="Calibri" w:eastAsia="Calibri" w:hAnsi="Calibri" w:cs="Calibri"/>
                <w:b/>
                <w:bCs/>
                <w:color w:val="12121B"/>
                <w:sz w:val="19"/>
                <w:szCs w:val="19"/>
              </w:rPr>
              <w:t>Date</w:t>
            </w:r>
          </w:p>
        </w:tc>
        <w:tc>
          <w:tcPr>
            <w:tcW w:w="6300" w:type="dxa"/>
            <w:tcMar>
              <w:top w:w="90" w:type="dxa"/>
              <w:left w:w="140" w:type="dxa"/>
              <w:bottom w:w="90" w:type="dxa"/>
              <w:right w:w="140" w:type="dxa"/>
            </w:tcMar>
            <w:vAlign w:val="center"/>
          </w:tcPr>
          <w:p w14:paraId="367D29D9" w14:textId="77777777" w:rsidR="00EF5F94" w:rsidRDefault="00000000">
            <w:r>
              <w:rPr>
                <w:rFonts w:ascii="Calibri" w:eastAsia="Calibri" w:hAnsi="Calibri" w:cs="Calibri"/>
                <w:color w:val="1A1A22"/>
                <w:sz w:val="19"/>
                <w:szCs w:val="19"/>
              </w:rPr>
              <w:t>August 2026</w:t>
            </w:r>
          </w:p>
        </w:tc>
      </w:tr>
    </w:tbl>
    <w:p w14:paraId="7DFA6553" w14:textId="77777777" w:rsidR="00EF5F94" w:rsidRDefault="00000000">
      <w:pPr>
        <w:pBdr>
          <w:bottom w:val="single" w:sz="6" w:space="4" w:color="7A1F23"/>
        </w:pBdr>
        <w:spacing w:before="380" w:after="160"/>
      </w:pPr>
      <w:r>
        <w:rPr>
          <w:rFonts w:ascii="Cambria" w:eastAsia="Cambria" w:hAnsi="Cambria" w:cs="Cambria"/>
          <w:b/>
          <w:bCs/>
          <w:color w:val="7A1F23"/>
        </w:rPr>
        <w:t xml:space="preserve">1.  </w:t>
      </w:r>
      <w:r>
        <w:rPr>
          <w:rFonts w:ascii="Cambria" w:eastAsia="Cambria" w:hAnsi="Cambria" w:cs="Cambria"/>
          <w:b/>
          <w:bCs/>
          <w:color w:val="12121B"/>
          <w:sz w:val="26"/>
          <w:szCs w:val="26"/>
        </w:rPr>
        <w:t>Objective</w:t>
      </w:r>
    </w:p>
    <w:p w14:paraId="0A0E1AC4" w14:textId="77777777" w:rsidR="00EF5F94" w:rsidRDefault="00000000">
      <w:pPr>
        <w:spacing w:after="160" w:line="300" w:lineRule="auto"/>
      </w:pPr>
      <w:r>
        <w:rPr>
          <w:rFonts w:ascii="Calibri" w:eastAsia="Calibri" w:hAnsi="Calibri" w:cs="Calibri"/>
          <w:color w:val="1A1A22"/>
          <w:sz w:val="21"/>
          <w:szCs w:val="21"/>
        </w:rPr>
        <w:t>Identify an access control (IDOR) flaw in the profile page of the SecureCorp employee portal, use it to view the profile page of the admin account, and capture the resulting flag.</w:t>
      </w:r>
    </w:p>
    <w:p w14:paraId="5A257D2F" w14:textId="77777777" w:rsidR="00EF5F94" w:rsidRDefault="00000000">
      <w:pPr>
        <w:pBdr>
          <w:bottom w:val="single" w:sz="6" w:space="4" w:color="7A1F23"/>
        </w:pBdr>
        <w:spacing w:before="380" w:after="160"/>
      </w:pPr>
      <w:r>
        <w:rPr>
          <w:rFonts w:ascii="Cambria" w:eastAsia="Cambria" w:hAnsi="Cambria" w:cs="Cambria"/>
          <w:b/>
          <w:bCs/>
          <w:color w:val="7A1F23"/>
        </w:rPr>
        <w:t xml:space="preserve">2.  </w:t>
      </w:r>
      <w:r>
        <w:rPr>
          <w:rFonts w:ascii="Cambria" w:eastAsia="Cambria" w:hAnsi="Cambria" w:cs="Cambria"/>
          <w:b/>
          <w:bCs/>
          <w:color w:val="12121B"/>
          <w:sz w:val="26"/>
          <w:szCs w:val="26"/>
        </w:rPr>
        <w:t>Finding Summary</w:t>
      </w:r>
    </w:p>
    <w:tbl>
      <w:tblPr>
        <w:tblW w:w="8700" w:type="dxa"/>
        <w:tblBorders>
          <w:top w:val="single" w:sz="4" w:space="0" w:color="D9D3D3"/>
          <w:left w:val="single" w:sz="4" w:space="0" w:color="D9D3D3"/>
          <w:bottom w:val="single" w:sz="4" w:space="0" w:color="D9D3D3"/>
          <w:right w:val="single" w:sz="4" w:space="0" w:color="D9D3D3"/>
          <w:insideH w:val="single" w:sz="2" w:space="0" w:color="D9D3D3"/>
          <w:insideV w:val="single" w:sz="2" w:space="0" w:color="D9D3D3"/>
        </w:tblBorders>
        <w:tblCellMar>
          <w:left w:w="10" w:type="dxa"/>
          <w:right w:w="10" w:type="dxa"/>
        </w:tblCellMar>
        <w:tblLook w:val="04A0" w:firstRow="1" w:lastRow="0" w:firstColumn="1" w:lastColumn="0" w:noHBand="0" w:noVBand="1"/>
      </w:tblPr>
      <w:tblGrid>
        <w:gridCol w:w="2600"/>
        <w:gridCol w:w="6100"/>
      </w:tblGrid>
      <w:tr w:rsidR="00EF5F94" w14:paraId="222B6ECD"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6B4065D0" w14:textId="77777777" w:rsidR="00EF5F94" w:rsidRDefault="00000000">
            <w:r>
              <w:rPr>
                <w:rFonts w:ascii="Calibri" w:eastAsia="Calibri" w:hAnsi="Calibri" w:cs="Calibri"/>
                <w:b/>
                <w:bCs/>
                <w:color w:val="7A1F23"/>
                <w:sz w:val="19"/>
                <w:szCs w:val="19"/>
              </w:rPr>
              <w:t>Vulnerability</w:t>
            </w:r>
          </w:p>
        </w:tc>
        <w:tc>
          <w:tcPr>
            <w:tcW w:w="6100" w:type="dxa"/>
            <w:tcMar>
              <w:top w:w="90" w:type="dxa"/>
              <w:left w:w="140" w:type="dxa"/>
              <w:bottom w:w="90" w:type="dxa"/>
              <w:right w:w="140" w:type="dxa"/>
            </w:tcMar>
            <w:vAlign w:val="center"/>
          </w:tcPr>
          <w:p w14:paraId="208ED26D" w14:textId="77777777" w:rsidR="00EF5F94" w:rsidRDefault="00000000">
            <w:r>
              <w:rPr>
                <w:rFonts w:ascii="Calibri" w:eastAsia="Calibri" w:hAnsi="Calibri" w:cs="Calibri"/>
                <w:color w:val="1A1A22"/>
                <w:sz w:val="19"/>
                <w:szCs w:val="19"/>
              </w:rPr>
              <w:t>Insecure Direct Object Reference (IDOR)</w:t>
            </w:r>
          </w:p>
        </w:tc>
      </w:tr>
      <w:tr w:rsidR="00EF5F94" w14:paraId="7AE19E11"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774661B8" w14:textId="77777777" w:rsidR="00EF5F94" w:rsidRDefault="00000000">
            <w:r>
              <w:rPr>
                <w:rFonts w:ascii="Calibri" w:eastAsia="Calibri" w:hAnsi="Calibri" w:cs="Calibri"/>
                <w:b/>
                <w:bCs/>
                <w:color w:val="7A1F23"/>
                <w:sz w:val="19"/>
                <w:szCs w:val="19"/>
              </w:rPr>
              <w:t>CWE</w:t>
            </w:r>
          </w:p>
        </w:tc>
        <w:tc>
          <w:tcPr>
            <w:tcW w:w="6100" w:type="dxa"/>
            <w:tcMar>
              <w:top w:w="90" w:type="dxa"/>
              <w:left w:w="140" w:type="dxa"/>
              <w:bottom w:w="90" w:type="dxa"/>
              <w:right w:w="140" w:type="dxa"/>
            </w:tcMar>
            <w:vAlign w:val="center"/>
          </w:tcPr>
          <w:p w14:paraId="621FD956" w14:textId="77777777" w:rsidR="00EF5F94" w:rsidRDefault="00000000">
            <w:r>
              <w:rPr>
                <w:rFonts w:ascii="Calibri" w:eastAsia="Calibri" w:hAnsi="Calibri" w:cs="Calibri"/>
                <w:color w:val="1A1A22"/>
                <w:sz w:val="19"/>
                <w:szCs w:val="19"/>
              </w:rPr>
              <w:t>CWE-639 — Authorization Bypass Through User-Controlled Key</w:t>
            </w:r>
          </w:p>
        </w:tc>
      </w:tr>
      <w:tr w:rsidR="00EF5F94" w14:paraId="69BC5E31"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3C79EC9C" w14:textId="77777777" w:rsidR="00EF5F94" w:rsidRDefault="00000000">
            <w:r>
              <w:rPr>
                <w:rFonts w:ascii="Calibri" w:eastAsia="Calibri" w:hAnsi="Calibri" w:cs="Calibri"/>
                <w:b/>
                <w:bCs/>
                <w:color w:val="7A1F23"/>
                <w:sz w:val="19"/>
                <w:szCs w:val="19"/>
              </w:rPr>
              <w:t>OWASP Category</w:t>
            </w:r>
          </w:p>
        </w:tc>
        <w:tc>
          <w:tcPr>
            <w:tcW w:w="6100" w:type="dxa"/>
            <w:tcMar>
              <w:top w:w="90" w:type="dxa"/>
              <w:left w:w="140" w:type="dxa"/>
              <w:bottom w:w="90" w:type="dxa"/>
              <w:right w:w="140" w:type="dxa"/>
            </w:tcMar>
            <w:vAlign w:val="center"/>
          </w:tcPr>
          <w:p w14:paraId="2C76EF05" w14:textId="77777777" w:rsidR="00EF5F94" w:rsidRDefault="00000000">
            <w:r>
              <w:rPr>
                <w:rFonts w:ascii="Calibri" w:eastAsia="Calibri" w:hAnsi="Calibri" w:cs="Calibri"/>
                <w:color w:val="1A1A22"/>
                <w:sz w:val="19"/>
                <w:szCs w:val="19"/>
              </w:rPr>
              <w:t>A01:2021 – Broken Access Control</w:t>
            </w:r>
          </w:p>
        </w:tc>
      </w:tr>
      <w:tr w:rsidR="00EF5F94" w14:paraId="0DAE23C0"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7A7673A9" w14:textId="77777777" w:rsidR="00EF5F94" w:rsidRDefault="00000000">
            <w:r>
              <w:rPr>
                <w:rFonts w:ascii="Calibri" w:eastAsia="Calibri" w:hAnsi="Calibri" w:cs="Calibri"/>
                <w:b/>
                <w:bCs/>
                <w:color w:val="7A1F23"/>
                <w:sz w:val="19"/>
                <w:szCs w:val="19"/>
              </w:rPr>
              <w:t>Severity</w:t>
            </w:r>
          </w:p>
        </w:tc>
        <w:tc>
          <w:tcPr>
            <w:tcW w:w="6100" w:type="dxa"/>
            <w:tcMar>
              <w:top w:w="90" w:type="dxa"/>
              <w:left w:w="140" w:type="dxa"/>
              <w:bottom w:w="90" w:type="dxa"/>
              <w:right w:w="140" w:type="dxa"/>
            </w:tcMar>
            <w:vAlign w:val="center"/>
          </w:tcPr>
          <w:p w14:paraId="2D400FE2" w14:textId="77777777" w:rsidR="00EF5F94" w:rsidRDefault="00000000">
            <w:r>
              <w:rPr>
                <w:rFonts w:ascii="Calibri" w:eastAsia="Calibri" w:hAnsi="Calibri" w:cs="Calibri"/>
                <w:b/>
                <w:bCs/>
                <w:color w:val="7A1F23"/>
                <w:sz w:val="19"/>
                <w:szCs w:val="19"/>
              </w:rPr>
              <w:t>High</w:t>
            </w:r>
          </w:p>
        </w:tc>
      </w:tr>
      <w:tr w:rsidR="00EF5F94" w14:paraId="202546EB"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6C9E3DA3" w14:textId="77777777" w:rsidR="00EF5F94" w:rsidRDefault="00000000">
            <w:r>
              <w:rPr>
                <w:rFonts w:ascii="Calibri" w:eastAsia="Calibri" w:hAnsi="Calibri" w:cs="Calibri"/>
                <w:b/>
                <w:bCs/>
                <w:color w:val="7A1F23"/>
                <w:sz w:val="19"/>
                <w:szCs w:val="19"/>
              </w:rPr>
              <w:t>Affected Endpoint</w:t>
            </w:r>
          </w:p>
        </w:tc>
        <w:tc>
          <w:tcPr>
            <w:tcW w:w="6100" w:type="dxa"/>
            <w:tcMar>
              <w:top w:w="90" w:type="dxa"/>
              <w:left w:w="140" w:type="dxa"/>
              <w:bottom w:w="90" w:type="dxa"/>
              <w:right w:w="140" w:type="dxa"/>
            </w:tcMar>
            <w:vAlign w:val="center"/>
          </w:tcPr>
          <w:p w14:paraId="0DAF7B99" w14:textId="77777777" w:rsidR="00EF5F94" w:rsidRDefault="00000000">
            <w:r>
              <w:rPr>
                <w:rFonts w:ascii="Calibri" w:eastAsia="Calibri" w:hAnsi="Calibri" w:cs="Calibri"/>
                <w:color w:val="1A1A22"/>
                <w:sz w:val="19"/>
                <w:szCs w:val="19"/>
              </w:rPr>
              <w:t>profile.php?id=</w:t>
            </w:r>
          </w:p>
        </w:tc>
      </w:tr>
      <w:tr w:rsidR="00EF5F94" w14:paraId="3B724B28" w14:textId="77777777">
        <w:tblPrEx>
          <w:tblCellMar>
            <w:top w:w="0" w:type="dxa"/>
            <w:bottom w:w="0" w:type="dxa"/>
          </w:tblCellMar>
        </w:tblPrEx>
        <w:tc>
          <w:tcPr>
            <w:tcW w:w="2600" w:type="dxa"/>
            <w:shd w:val="clear" w:color="auto" w:fill="F4E7E7"/>
            <w:tcMar>
              <w:top w:w="90" w:type="dxa"/>
              <w:left w:w="140" w:type="dxa"/>
              <w:bottom w:w="90" w:type="dxa"/>
              <w:right w:w="140" w:type="dxa"/>
            </w:tcMar>
            <w:vAlign w:val="center"/>
          </w:tcPr>
          <w:p w14:paraId="511E70E6" w14:textId="77777777" w:rsidR="00EF5F94" w:rsidRDefault="00000000">
            <w:r>
              <w:rPr>
                <w:rFonts w:ascii="Calibri" w:eastAsia="Calibri" w:hAnsi="Calibri" w:cs="Calibri"/>
                <w:b/>
                <w:bCs/>
                <w:color w:val="7A1F23"/>
                <w:sz w:val="19"/>
                <w:szCs w:val="19"/>
              </w:rPr>
              <w:t>Root Cause</w:t>
            </w:r>
          </w:p>
        </w:tc>
        <w:tc>
          <w:tcPr>
            <w:tcW w:w="6100" w:type="dxa"/>
            <w:tcMar>
              <w:top w:w="90" w:type="dxa"/>
              <w:left w:w="140" w:type="dxa"/>
              <w:bottom w:w="90" w:type="dxa"/>
              <w:right w:w="140" w:type="dxa"/>
            </w:tcMar>
            <w:vAlign w:val="center"/>
          </w:tcPr>
          <w:p w14:paraId="17DE04FE" w14:textId="77777777" w:rsidR="00EF5F94" w:rsidRDefault="00000000">
            <w:r>
              <w:rPr>
                <w:rFonts w:ascii="Calibri" w:eastAsia="Calibri" w:hAnsi="Calibri" w:cs="Calibri"/>
                <w:color w:val="1A1A22"/>
                <w:sz w:val="19"/>
                <w:szCs w:val="19"/>
              </w:rPr>
              <w:t>Client-controlled object reference + missing server-side authorization</w:t>
            </w:r>
          </w:p>
        </w:tc>
      </w:tr>
    </w:tbl>
    <w:p w14:paraId="2ABA10EE" w14:textId="77777777" w:rsidR="00EF5F94" w:rsidRDefault="00EF5F94">
      <w:pPr>
        <w:spacing w:after="160"/>
      </w:pPr>
    </w:p>
    <w:p w14:paraId="3F28344E" w14:textId="77777777" w:rsidR="00EF5F94" w:rsidRDefault="00000000">
      <w:pPr>
        <w:pBdr>
          <w:bottom w:val="single" w:sz="6" w:space="4" w:color="7A1F23"/>
        </w:pBdr>
        <w:spacing w:before="380" w:after="160"/>
      </w:pPr>
      <w:r>
        <w:rPr>
          <w:rFonts w:ascii="Cambria" w:eastAsia="Cambria" w:hAnsi="Cambria" w:cs="Cambria"/>
          <w:b/>
          <w:bCs/>
          <w:color w:val="7A1F23"/>
        </w:rPr>
        <w:t xml:space="preserve">3.  </w:t>
      </w:r>
      <w:r>
        <w:rPr>
          <w:rFonts w:ascii="Cambria" w:eastAsia="Cambria" w:hAnsi="Cambria" w:cs="Cambria"/>
          <w:b/>
          <w:bCs/>
          <w:color w:val="12121B"/>
          <w:sz w:val="26"/>
          <w:szCs w:val="26"/>
        </w:rPr>
        <w:t>Methodology</w:t>
      </w:r>
    </w:p>
    <w:p w14:paraId="046B76DF" w14:textId="77777777" w:rsidR="00EF5F94" w:rsidRDefault="00000000">
      <w:pPr>
        <w:spacing w:after="160" w:line="300" w:lineRule="auto"/>
      </w:pPr>
      <w:r>
        <w:rPr>
          <w:rFonts w:ascii="Calibri" w:eastAsia="Calibri" w:hAnsi="Calibri" w:cs="Calibri"/>
          <w:color w:val="1A1A22"/>
          <w:sz w:val="21"/>
          <w:szCs w:val="21"/>
        </w:rPr>
        <w:t>Per the task brief, valid credentials were first recovered by inspecting the login page's client-side source code. The exploitation itself combines two pages: an internal directory search that discloses a target EmpID, and a profile page that trusts a client-supplied ID with no ownership check.</w:t>
      </w:r>
    </w:p>
    <w:p w14:paraId="29BBF705" w14:textId="77777777" w:rsidR="00EF5F94" w:rsidRDefault="00000000">
      <w:pPr>
        <w:spacing w:before="260" w:after="100"/>
      </w:pPr>
      <w:r>
        <w:rPr>
          <w:rFonts w:ascii="Calibri" w:eastAsia="Calibri" w:hAnsi="Calibri" w:cs="Calibri"/>
          <w:b/>
          <w:bCs/>
          <w:color w:val="7A1F23"/>
          <w:sz w:val="21"/>
          <w:szCs w:val="21"/>
        </w:rPr>
        <w:t xml:space="preserve">Step 1 — </w:t>
      </w:r>
      <w:r>
        <w:rPr>
          <w:rFonts w:ascii="Calibri" w:eastAsia="Calibri" w:hAnsi="Calibri" w:cs="Calibri"/>
          <w:b/>
          <w:bCs/>
          <w:color w:val="12121B"/>
          <w:sz w:val="21"/>
          <w:szCs w:val="21"/>
        </w:rPr>
        <w:t>Authenticated directory search</w:t>
      </w:r>
    </w:p>
    <w:p w14:paraId="2B004286" w14:textId="77777777" w:rsidR="00EF5F94" w:rsidRDefault="00000000">
      <w:pPr>
        <w:spacing w:after="160" w:line="300" w:lineRule="auto"/>
      </w:pPr>
      <w:r>
        <w:rPr>
          <w:rFonts w:ascii="Calibri" w:eastAsia="Calibri" w:hAnsi="Calibri" w:cs="Calibri"/>
          <w:color w:val="1A1A22"/>
          <w:sz w:val="21"/>
          <w:szCs w:val="21"/>
        </w:rPr>
        <w:t>Logged in with the recovered credentials and opened the Directory tab (search.php) — an internal employee search facility.</w:t>
      </w:r>
    </w:p>
    <w:p w14:paraId="4404E200" w14:textId="77777777" w:rsidR="00EF5F94" w:rsidRDefault="00000000">
      <w:pPr>
        <w:pBdr>
          <w:bottom w:val="single" w:sz="4" w:space="6" w:color="D9D3D3"/>
        </w:pBdr>
        <w:spacing w:before="120" w:after="40"/>
        <w:jc w:val="center"/>
      </w:pPr>
      <w:r>
        <w:rPr>
          <w:noProof/>
        </w:rPr>
        <w:lastRenderedPageBreak/>
        <w:drawing>
          <wp:inline distT="0" distB="0" distL="0" distR="0" wp14:anchorId="4ECF47F1" wp14:editId="0107D786">
            <wp:extent cx="5905500" cy="2409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409825"/>
                    </a:xfrm>
                    <a:prstGeom prst="rect">
                      <a:avLst/>
                    </a:prstGeom>
                  </pic:spPr>
                </pic:pic>
              </a:graphicData>
            </a:graphic>
          </wp:inline>
        </w:drawing>
      </w:r>
    </w:p>
    <w:p w14:paraId="0A5EF33E" w14:textId="77777777" w:rsidR="00EF5F94" w:rsidRDefault="00000000">
      <w:pPr>
        <w:spacing w:before="80" w:after="260"/>
      </w:pPr>
      <w:r>
        <w:rPr>
          <w:rFonts w:ascii="Calibri" w:eastAsia="Calibri" w:hAnsi="Calibri" w:cs="Calibri"/>
          <w:i/>
          <w:iCs/>
          <w:color w:val="5B5B66"/>
          <w:sz w:val="18"/>
          <w:szCs w:val="18"/>
        </w:rPr>
        <w:t>Fig. 1 — Employee Directory search page, unauthenticated-looking but reachable only post-login.</w:t>
      </w:r>
    </w:p>
    <w:p w14:paraId="77A651CF" w14:textId="77777777" w:rsidR="00EF5F94" w:rsidRDefault="00000000">
      <w:pPr>
        <w:spacing w:before="260" w:after="100"/>
      </w:pPr>
      <w:r>
        <w:rPr>
          <w:rFonts w:ascii="Calibri" w:eastAsia="Calibri" w:hAnsi="Calibri" w:cs="Calibri"/>
          <w:b/>
          <w:bCs/>
          <w:color w:val="7A1F23"/>
          <w:sz w:val="21"/>
          <w:szCs w:val="21"/>
        </w:rPr>
        <w:t xml:space="preserve">Step 2 — </w:t>
      </w:r>
      <w:r>
        <w:rPr>
          <w:rFonts w:ascii="Calibri" w:eastAsia="Calibri" w:hAnsi="Calibri" w:cs="Calibri"/>
          <w:b/>
          <w:bCs/>
          <w:color w:val="12121B"/>
          <w:sz w:val="21"/>
          <w:szCs w:val="21"/>
        </w:rPr>
        <w:t>Enumerating the admin account</w:t>
      </w:r>
    </w:p>
    <w:p w14:paraId="429D6C8F" w14:textId="77777777" w:rsidR="00EF5F94" w:rsidRDefault="00000000">
      <w:pPr>
        <w:spacing w:after="160" w:line="300" w:lineRule="auto"/>
      </w:pPr>
      <w:r>
        <w:rPr>
          <w:rFonts w:ascii="Calibri" w:eastAsia="Calibri" w:hAnsi="Calibri" w:cs="Calibri"/>
          <w:color w:val="1A1A22"/>
          <w:sz w:val="21"/>
          <w:szCs w:val="21"/>
        </w:rPr>
        <w:t>Searched the directory for “admin”. The result card revealed the account's job title (CEO) and, critically, its internal identifier — EmpID SID10001.</w:t>
      </w:r>
    </w:p>
    <w:p w14:paraId="2C5A7541" w14:textId="77777777" w:rsidR="00EF5F94" w:rsidRDefault="00000000">
      <w:pPr>
        <w:pBdr>
          <w:bottom w:val="single" w:sz="4" w:space="6" w:color="D9D3D3"/>
        </w:pBdr>
        <w:spacing w:before="120" w:after="40"/>
        <w:jc w:val="center"/>
      </w:pPr>
      <w:r>
        <w:rPr>
          <w:noProof/>
        </w:rPr>
        <w:drawing>
          <wp:inline distT="0" distB="0" distL="0" distR="0" wp14:anchorId="24E3E388" wp14:editId="559CA68E">
            <wp:extent cx="5905500" cy="2762250"/>
            <wp:effectExtent l="0" t="0" r="0" b="0"/>
            <wp:docPr id="1324243397" name="Picture 1324243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762250"/>
                    </a:xfrm>
                    <a:prstGeom prst="rect">
                      <a:avLst/>
                    </a:prstGeom>
                  </pic:spPr>
                </pic:pic>
              </a:graphicData>
            </a:graphic>
          </wp:inline>
        </w:drawing>
      </w:r>
    </w:p>
    <w:p w14:paraId="25510725" w14:textId="77777777" w:rsidR="00EF5F94" w:rsidRDefault="00000000">
      <w:pPr>
        <w:spacing w:before="80" w:after="260"/>
      </w:pPr>
      <w:r>
        <w:rPr>
          <w:rFonts w:ascii="Calibri" w:eastAsia="Calibri" w:hAnsi="Calibri" w:cs="Calibri"/>
          <w:i/>
          <w:iCs/>
          <w:color w:val="5B5B66"/>
          <w:sz w:val="18"/>
          <w:szCs w:val="18"/>
        </w:rPr>
        <w:t>Fig. 2 — Admin located via directory search; EmpID exposed directly in the result card.</w:t>
      </w:r>
    </w:p>
    <w:p w14:paraId="308BE9B0" w14:textId="77777777" w:rsidR="00EF5F94" w:rsidRDefault="00000000">
      <w:pPr>
        <w:spacing w:before="260" w:after="100"/>
      </w:pPr>
      <w:r>
        <w:rPr>
          <w:rFonts w:ascii="Calibri" w:eastAsia="Calibri" w:hAnsi="Calibri" w:cs="Calibri"/>
          <w:b/>
          <w:bCs/>
          <w:color w:val="7A1F23"/>
          <w:sz w:val="21"/>
          <w:szCs w:val="21"/>
        </w:rPr>
        <w:t xml:space="preserve">Step 3 — </w:t>
      </w:r>
      <w:r>
        <w:rPr>
          <w:rFonts w:ascii="Calibri" w:eastAsia="Calibri" w:hAnsi="Calibri" w:cs="Calibri"/>
          <w:b/>
          <w:bCs/>
          <w:color w:val="12121B"/>
          <w:sz w:val="21"/>
          <w:szCs w:val="21"/>
        </w:rPr>
        <w:t>IDOR exploitation via URL parameter tampering</w:t>
      </w:r>
    </w:p>
    <w:p w14:paraId="0290D736" w14:textId="77777777" w:rsidR="00EF5F94" w:rsidRDefault="00000000">
      <w:pPr>
        <w:spacing w:after="160" w:line="300" w:lineRule="auto"/>
      </w:pPr>
      <w:r>
        <w:rPr>
          <w:rFonts w:ascii="Calibri" w:eastAsia="Calibri" w:hAnsi="Calibri" w:cs="Calibri"/>
          <w:color w:val="1A1A22"/>
          <w:sz w:val="21"/>
          <w:szCs w:val="21"/>
        </w:rPr>
        <w:t>On my own “My Profile” page, the URL followed the pattern profile.php?id=&lt;MyEmpID&gt;. Replacing the EmpID in that URL with the admin's EmpID (SID10001) from Step 2 returned the admin's (“Akshay Admin”) complete profile — including Payroll Information (Current Salary: $500,000) and an Internal Security Notes panel — with no authorization check performed by the server.</w:t>
      </w:r>
    </w:p>
    <w:p w14:paraId="099CF708" w14:textId="77777777" w:rsidR="00EF5F94" w:rsidRDefault="00000000">
      <w:pPr>
        <w:pBdr>
          <w:bottom w:val="single" w:sz="4" w:space="6" w:color="D9D3D3"/>
        </w:pBdr>
        <w:spacing w:before="120" w:after="40"/>
        <w:jc w:val="center"/>
      </w:pPr>
      <w:r>
        <w:rPr>
          <w:noProof/>
        </w:rPr>
        <w:lastRenderedPageBreak/>
        <w:drawing>
          <wp:inline distT="0" distB="0" distL="0" distR="0" wp14:anchorId="75AE8C3B" wp14:editId="4446B882">
            <wp:extent cx="5905500" cy="3048000"/>
            <wp:effectExtent l="0" t="0" r="0" b="0"/>
            <wp:docPr id="1722715732" name="Picture 172271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048000"/>
                    </a:xfrm>
                    <a:prstGeom prst="rect">
                      <a:avLst/>
                    </a:prstGeom>
                  </pic:spPr>
                </pic:pic>
              </a:graphicData>
            </a:graphic>
          </wp:inline>
        </w:drawing>
      </w:r>
    </w:p>
    <w:p w14:paraId="65BD9B2A" w14:textId="77777777" w:rsidR="00EF5F94" w:rsidRDefault="00000000">
      <w:pPr>
        <w:spacing w:before="80" w:after="260"/>
      </w:pPr>
      <w:r>
        <w:rPr>
          <w:rFonts w:ascii="Calibri" w:eastAsia="Calibri" w:hAnsi="Calibri" w:cs="Calibri"/>
          <w:i/>
          <w:iCs/>
          <w:color w:val="5B5B66"/>
          <w:sz w:val="18"/>
          <w:szCs w:val="18"/>
        </w:rPr>
        <w:t>Fig. 3 — Admin profile rendered via a tampered id parameter, exposing salary data and the flag.</w:t>
      </w:r>
    </w:p>
    <w:p w14:paraId="35F68001" w14:textId="77777777" w:rsidR="00EF5F94" w:rsidRDefault="00000000">
      <w:pPr>
        <w:spacing w:before="260" w:after="100"/>
      </w:pPr>
      <w:r>
        <w:rPr>
          <w:rFonts w:ascii="Calibri" w:eastAsia="Calibri" w:hAnsi="Calibri" w:cs="Calibri"/>
          <w:b/>
          <w:bCs/>
          <w:color w:val="7A1F23"/>
          <w:sz w:val="21"/>
          <w:szCs w:val="21"/>
        </w:rPr>
        <w:t xml:space="preserve">Step 4 — </w:t>
      </w:r>
      <w:r>
        <w:rPr>
          <w:rFonts w:ascii="Calibri" w:eastAsia="Calibri" w:hAnsi="Calibri" w:cs="Calibri"/>
          <w:b/>
          <w:bCs/>
          <w:color w:val="12121B"/>
          <w:sz w:val="21"/>
          <w:szCs w:val="21"/>
        </w:rPr>
        <w:t>Flag capture</w:t>
      </w:r>
    </w:p>
    <w:p w14:paraId="4C99642E" w14:textId="77777777" w:rsidR="00EF5F94" w:rsidRDefault="00000000">
      <w:pPr>
        <w:spacing w:after="160" w:line="300" w:lineRule="auto"/>
      </w:pPr>
      <w:r>
        <w:rPr>
          <w:rFonts w:ascii="Calibri" w:eastAsia="Calibri" w:hAnsi="Calibri" w:cs="Calibri"/>
          <w:color w:val="1A1A22"/>
          <w:sz w:val="21"/>
          <w:szCs w:val="21"/>
        </w:rPr>
        <w:t>Submitted the captured flag on the TryHackMe room.</w:t>
      </w:r>
    </w:p>
    <w:p w14:paraId="33A50CEE" w14:textId="77777777" w:rsidR="00EF5F94" w:rsidRDefault="00000000">
      <w:pPr>
        <w:pBdr>
          <w:bottom w:val="single" w:sz="4" w:space="6" w:color="D9D3D3"/>
        </w:pBdr>
        <w:spacing w:before="120" w:after="40"/>
        <w:jc w:val="center"/>
      </w:pPr>
      <w:r>
        <w:rPr>
          <w:noProof/>
        </w:rPr>
        <w:drawing>
          <wp:inline distT="0" distB="0" distL="0" distR="0" wp14:anchorId="68211D7A" wp14:editId="5974D1BF">
            <wp:extent cx="5905500" cy="476250"/>
            <wp:effectExtent l="0" t="0" r="0" b="0"/>
            <wp:docPr id="324340910" name="Picture 32434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476250"/>
                    </a:xfrm>
                    <a:prstGeom prst="rect">
                      <a:avLst/>
                    </a:prstGeom>
                  </pic:spPr>
                </pic:pic>
              </a:graphicData>
            </a:graphic>
          </wp:inline>
        </w:drawing>
      </w:r>
    </w:p>
    <w:p w14:paraId="5DEDE698" w14:textId="77777777" w:rsidR="00EF5F94" w:rsidRDefault="00000000">
      <w:pPr>
        <w:spacing w:before="80" w:after="260"/>
      </w:pPr>
      <w:r>
        <w:rPr>
          <w:rFonts w:ascii="Calibri" w:eastAsia="Calibri" w:hAnsi="Calibri" w:cs="Calibri"/>
          <w:i/>
          <w:iCs/>
          <w:color w:val="5B5B66"/>
          <w:sz w:val="18"/>
          <w:szCs w:val="18"/>
        </w:rPr>
        <w:t>Fig. 4 — Flag accepted as the correct answer.</w:t>
      </w:r>
    </w:p>
    <w:p w14:paraId="0AB430C9" w14:textId="77777777" w:rsidR="00EF5F94" w:rsidRDefault="00000000">
      <w:pPr>
        <w:pBdr>
          <w:bottom w:val="single" w:sz="6" w:space="4" w:color="7A1F23"/>
        </w:pBdr>
        <w:spacing w:before="380" w:after="160"/>
      </w:pPr>
      <w:r>
        <w:rPr>
          <w:rFonts w:ascii="Cambria" w:eastAsia="Cambria" w:hAnsi="Cambria" w:cs="Cambria"/>
          <w:b/>
          <w:bCs/>
          <w:color w:val="7A1F23"/>
        </w:rPr>
        <w:t xml:space="preserve">4.  </w:t>
      </w:r>
      <w:r>
        <w:rPr>
          <w:rFonts w:ascii="Cambria" w:eastAsia="Cambria" w:hAnsi="Cambria" w:cs="Cambria"/>
          <w:b/>
          <w:bCs/>
          <w:color w:val="12121B"/>
          <w:sz w:val="26"/>
          <w:szCs w:val="26"/>
        </w:rPr>
        <w:t>Root Cause Analysis</w:t>
      </w:r>
    </w:p>
    <w:p w14:paraId="3DC04126" w14:textId="77777777" w:rsidR="00EF5F94" w:rsidRDefault="00000000">
      <w:pPr>
        <w:pStyle w:val="ListParagraph"/>
        <w:numPr>
          <w:ilvl w:val="0"/>
          <w:numId w:val="2"/>
        </w:numPr>
        <w:spacing w:after="100" w:line="290" w:lineRule="auto"/>
      </w:pPr>
      <w:r>
        <w:rPr>
          <w:rFonts w:ascii="Calibri" w:eastAsia="Calibri" w:hAnsi="Calibri" w:cs="Calibri"/>
          <w:color w:val="1A1A22"/>
          <w:sz w:val="21"/>
          <w:szCs w:val="21"/>
        </w:rPr>
        <w:t>Sensitive identifier disclosure — the directory search returns each employee's EmpID in plain, copyable text, including for privileged accounts. This hands an attacker the exact key needed to target another user's record; if the admin's EmpID weren't surfaced here, the IDOR would be significantly harder to pull off.</w:t>
      </w:r>
    </w:p>
    <w:p w14:paraId="13901624" w14:textId="77777777" w:rsidR="00EF5F94" w:rsidRDefault="00000000">
      <w:pPr>
        <w:pStyle w:val="ListParagraph"/>
        <w:numPr>
          <w:ilvl w:val="0"/>
          <w:numId w:val="2"/>
        </w:numPr>
        <w:spacing w:after="100" w:line="290" w:lineRule="auto"/>
      </w:pPr>
      <w:r>
        <w:rPr>
          <w:rFonts w:ascii="Calibri" w:eastAsia="Calibri" w:hAnsi="Calibri" w:cs="Calibri"/>
          <w:color w:val="1A1A22"/>
          <w:sz w:val="21"/>
          <w:szCs w:val="21"/>
        </w:rPr>
        <w:t>Client-controlled object reference — profile.php decides whose data to render purely from a client-supplied id parameter in the URL, with no indirection (session-bound token, opaque reference) tying the request back to the logged-in user.</w:t>
      </w:r>
    </w:p>
    <w:p w14:paraId="19AE138F" w14:textId="77777777" w:rsidR="00EF5F94" w:rsidRDefault="00000000">
      <w:pPr>
        <w:pStyle w:val="ListParagraph"/>
        <w:numPr>
          <w:ilvl w:val="0"/>
          <w:numId w:val="2"/>
        </w:numPr>
        <w:spacing w:after="100" w:line="290" w:lineRule="auto"/>
      </w:pPr>
      <w:r>
        <w:rPr>
          <w:rFonts w:ascii="Calibri" w:eastAsia="Calibri" w:hAnsi="Calibri" w:cs="Calibri"/>
          <w:color w:val="1A1A22"/>
          <w:sz w:val="21"/>
          <w:szCs w:val="21"/>
        </w:rPr>
        <w:t>Missing server-side authorization — the backend never verifies that the requested EmpID belongs to, or is permitted for, the current session before returning the record.</w:t>
      </w:r>
    </w:p>
    <w:p w14:paraId="46311C6E" w14:textId="77777777" w:rsidR="00EF5F94" w:rsidRDefault="00000000">
      <w:pPr>
        <w:pStyle w:val="ListParagraph"/>
        <w:numPr>
          <w:ilvl w:val="0"/>
          <w:numId w:val="2"/>
        </w:numPr>
        <w:spacing w:after="100" w:line="290" w:lineRule="auto"/>
      </w:pPr>
      <w:r>
        <w:rPr>
          <w:rFonts w:ascii="Calibri" w:eastAsia="Calibri" w:hAnsi="Calibri" w:cs="Calibri"/>
          <w:color w:val="1A1A22"/>
          <w:sz w:val="21"/>
          <w:szCs w:val="21"/>
        </w:rPr>
        <w:t>Client-side checks aren't a fix — even a JavaScript-only check would be trivially bypassable by replaying the request through Burp Suite's Repeater, since the server itself doesn't enforce ownership.</w:t>
      </w:r>
    </w:p>
    <w:p w14:paraId="651C8CBD" w14:textId="77777777" w:rsidR="00EF5F94" w:rsidRDefault="00000000">
      <w:pPr>
        <w:pBdr>
          <w:bottom w:val="single" w:sz="6" w:space="4" w:color="7A1F23"/>
        </w:pBdr>
        <w:spacing w:before="380" w:after="160"/>
      </w:pPr>
      <w:r>
        <w:rPr>
          <w:rFonts w:ascii="Cambria" w:eastAsia="Cambria" w:hAnsi="Cambria" w:cs="Cambria"/>
          <w:b/>
          <w:bCs/>
          <w:color w:val="7A1F23"/>
        </w:rPr>
        <w:t xml:space="preserve">5.  </w:t>
      </w:r>
      <w:r>
        <w:rPr>
          <w:rFonts w:ascii="Cambria" w:eastAsia="Cambria" w:hAnsi="Cambria" w:cs="Cambria"/>
          <w:b/>
          <w:bCs/>
          <w:color w:val="12121B"/>
          <w:sz w:val="26"/>
          <w:szCs w:val="26"/>
        </w:rPr>
        <w:t>Impact</w:t>
      </w:r>
    </w:p>
    <w:p w14:paraId="13501444" w14:textId="77777777" w:rsidR="00EF5F94" w:rsidRDefault="00000000">
      <w:pPr>
        <w:spacing w:after="160" w:line="300" w:lineRule="auto"/>
      </w:pPr>
      <w:r>
        <w:rPr>
          <w:rFonts w:ascii="Calibri" w:eastAsia="Calibri" w:hAnsi="Calibri" w:cs="Calibri"/>
          <w:color w:val="1A1A22"/>
          <w:sz w:val="21"/>
          <w:szCs w:val="21"/>
        </w:rPr>
        <w:t>Any authenticated employee, regardless of privilege level, can view another employee's full profile — including salary and internal security notes — by supplying their EmpID. Because EmpIDs follow a predictable sequential format (SID#####), an attacker could enumerate the entire employee database by iterating the identifier directly, without even relying on the directory search feature.</w:t>
      </w:r>
    </w:p>
    <w:p w14:paraId="022633DF" w14:textId="77777777" w:rsidR="00EF5F94" w:rsidRDefault="00000000">
      <w:pPr>
        <w:pBdr>
          <w:bottom w:val="single" w:sz="6" w:space="4" w:color="7A1F23"/>
        </w:pBdr>
        <w:spacing w:before="380" w:after="160"/>
      </w:pPr>
      <w:r>
        <w:rPr>
          <w:rFonts w:ascii="Cambria" w:eastAsia="Cambria" w:hAnsi="Cambria" w:cs="Cambria"/>
          <w:b/>
          <w:bCs/>
          <w:color w:val="7A1F23"/>
        </w:rPr>
        <w:t xml:space="preserve">6.  </w:t>
      </w:r>
      <w:r>
        <w:rPr>
          <w:rFonts w:ascii="Cambria" w:eastAsia="Cambria" w:hAnsi="Cambria" w:cs="Cambria"/>
          <w:b/>
          <w:bCs/>
          <w:color w:val="12121B"/>
          <w:sz w:val="26"/>
          <w:szCs w:val="26"/>
        </w:rPr>
        <w:t>Remediation Recommendations</w:t>
      </w:r>
    </w:p>
    <w:p w14:paraId="0EA0AA36" w14:textId="77777777" w:rsidR="00EF5F94" w:rsidRDefault="00000000">
      <w:pPr>
        <w:pStyle w:val="ListParagraph"/>
        <w:numPr>
          <w:ilvl w:val="0"/>
          <w:numId w:val="3"/>
        </w:numPr>
        <w:spacing w:after="100" w:line="290" w:lineRule="auto"/>
      </w:pPr>
      <w:r>
        <w:rPr>
          <w:rFonts w:ascii="Calibri" w:eastAsia="Calibri" w:hAnsi="Calibri" w:cs="Calibri"/>
          <w:color w:val="1A1A22"/>
          <w:sz w:val="21"/>
          <w:szCs w:val="21"/>
        </w:rPr>
        <w:lastRenderedPageBreak/>
        <w:t>Enforce server-side authorization on profile.php and every similar endpoint: confirm the session user matches the requested record, or holds an explicit admin/HR role, before returning another user's data.</w:t>
      </w:r>
    </w:p>
    <w:p w14:paraId="44AE95F0" w14:textId="77777777" w:rsidR="00EF5F94" w:rsidRDefault="00000000">
      <w:pPr>
        <w:pStyle w:val="ListParagraph"/>
        <w:numPr>
          <w:ilvl w:val="0"/>
          <w:numId w:val="3"/>
        </w:numPr>
        <w:spacing w:after="100" w:line="290" w:lineRule="auto"/>
      </w:pPr>
      <w:r>
        <w:rPr>
          <w:rFonts w:ascii="Calibri" w:eastAsia="Calibri" w:hAnsi="Calibri" w:cs="Calibri"/>
          <w:color w:val="1A1A22"/>
          <w:sz w:val="21"/>
          <w:szCs w:val="21"/>
        </w:rPr>
        <w:t>Avoid exposing internal identifiers in a guessable, sequential format on client-visible surfaces. Resolve “My Profile” from the session itself rather than a client-supplied ID, or use non-sequential opaque identifiers.</w:t>
      </w:r>
    </w:p>
    <w:p w14:paraId="78BAEB21" w14:textId="77777777" w:rsidR="00EF5F94" w:rsidRDefault="00000000">
      <w:pPr>
        <w:pStyle w:val="ListParagraph"/>
        <w:numPr>
          <w:ilvl w:val="0"/>
          <w:numId w:val="3"/>
        </w:numPr>
        <w:spacing w:after="100" w:line="290" w:lineRule="auto"/>
      </w:pPr>
      <w:r>
        <w:rPr>
          <w:rFonts w:ascii="Calibri" w:eastAsia="Calibri" w:hAnsi="Calibri" w:cs="Calibri"/>
          <w:color w:val="1A1A22"/>
          <w:sz w:val="21"/>
          <w:szCs w:val="21"/>
        </w:rPr>
        <w:t>Restrict the fields returned by directory search (e.g. name and title only); don't surface an identifier that's also used as an authorization key elsewhere.</w:t>
      </w:r>
    </w:p>
    <w:p w14:paraId="35DB541D" w14:textId="77777777" w:rsidR="00EF5F94" w:rsidRDefault="00000000">
      <w:pPr>
        <w:pStyle w:val="ListParagraph"/>
        <w:numPr>
          <w:ilvl w:val="0"/>
          <w:numId w:val="3"/>
        </w:numPr>
        <w:spacing w:after="100" w:line="290" w:lineRule="auto"/>
      </w:pPr>
      <w:r>
        <w:rPr>
          <w:rFonts w:ascii="Calibri" w:eastAsia="Calibri" w:hAnsi="Calibri" w:cs="Calibri"/>
          <w:color w:val="1A1A22"/>
          <w:sz w:val="21"/>
          <w:szCs w:val="21"/>
        </w:rPr>
        <w:t>Apply authorization checks consistently across UI and API — never rely on a client-side control alone.</w:t>
      </w:r>
    </w:p>
    <w:p w14:paraId="3A36B194" w14:textId="77777777" w:rsidR="00EF5F94" w:rsidRDefault="00000000">
      <w:pPr>
        <w:pStyle w:val="ListParagraph"/>
        <w:numPr>
          <w:ilvl w:val="0"/>
          <w:numId w:val="3"/>
        </w:numPr>
        <w:spacing w:after="100" w:line="290" w:lineRule="auto"/>
      </w:pPr>
      <w:r>
        <w:rPr>
          <w:rFonts w:ascii="Calibri" w:eastAsia="Calibri" w:hAnsi="Calibri" w:cs="Calibri"/>
          <w:color w:val="1A1A22"/>
          <w:sz w:val="21"/>
          <w:szCs w:val="21"/>
        </w:rPr>
        <w:t>Add logging and rate-limiting for repeated or sequential profile-ID access attempts to catch enumeration in progress.</w:t>
      </w:r>
    </w:p>
    <w:p w14:paraId="5F475AD2" w14:textId="77777777" w:rsidR="00EF5F94" w:rsidRDefault="00000000">
      <w:pPr>
        <w:pBdr>
          <w:bottom w:val="single" w:sz="6" w:space="4" w:color="7A1F23"/>
        </w:pBdr>
        <w:spacing w:before="380" w:after="160"/>
      </w:pPr>
      <w:r>
        <w:rPr>
          <w:rFonts w:ascii="Cambria" w:eastAsia="Cambria" w:hAnsi="Cambria" w:cs="Cambria"/>
          <w:b/>
          <w:bCs/>
          <w:color w:val="7A1F23"/>
        </w:rPr>
        <w:t xml:space="preserve">7.  </w:t>
      </w:r>
      <w:r>
        <w:rPr>
          <w:rFonts w:ascii="Cambria" w:eastAsia="Cambria" w:hAnsi="Cambria" w:cs="Cambria"/>
          <w:b/>
          <w:bCs/>
          <w:color w:val="12121B"/>
          <w:sz w:val="26"/>
          <w:szCs w:val="26"/>
        </w:rPr>
        <w:t>Captured Flag</w:t>
      </w:r>
    </w:p>
    <w:tbl>
      <w:tblPr>
        <w:tblW w:w="5000" w:type="dxa"/>
        <w:tblBorders>
          <w:top w:val="single" w:sz="6" w:space="0" w:color="7A1F23"/>
          <w:left w:val="single" w:sz="6" w:space="0" w:color="7A1F23"/>
          <w:bottom w:val="single" w:sz="6" w:space="0" w:color="7A1F23"/>
          <w:right w:val="single" w:sz="6" w:space="0" w:color="7A1F23"/>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EF5F94" w14:paraId="35C5BE80" w14:textId="77777777">
        <w:tblPrEx>
          <w:tblCellMar>
            <w:top w:w="0" w:type="dxa"/>
            <w:bottom w:w="0" w:type="dxa"/>
          </w:tblCellMar>
        </w:tblPrEx>
        <w:tc>
          <w:tcPr>
            <w:tcW w:w="0" w:type="auto"/>
            <w:shd w:val="clear" w:color="auto" w:fill="F4E7E7"/>
            <w:tcMar>
              <w:top w:w="160" w:type="dxa"/>
              <w:left w:w="220" w:type="dxa"/>
              <w:bottom w:w="160" w:type="dxa"/>
              <w:right w:w="220" w:type="dxa"/>
            </w:tcMar>
          </w:tcPr>
          <w:p w14:paraId="4F74253F" w14:textId="77777777" w:rsidR="00EF5F94" w:rsidRDefault="00000000">
            <w:pPr>
              <w:jc w:val="center"/>
            </w:pPr>
            <w:r>
              <w:rPr>
                <w:rFonts w:ascii="Consolas" w:eastAsia="Consolas" w:hAnsi="Consolas" w:cs="Consolas"/>
                <w:b/>
                <w:bCs/>
                <w:color w:val="7A1F23"/>
                <w:sz w:val="26"/>
                <w:szCs w:val="26"/>
              </w:rPr>
              <w:t>FLAG{IDOR_SENSITIVE_LEAK}</w:t>
            </w:r>
          </w:p>
        </w:tc>
      </w:tr>
    </w:tbl>
    <w:p w14:paraId="7E29FB74" w14:textId="77777777" w:rsidR="00EF5F94" w:rsidRDefault="00EF5F94">
      <w:pPr>
        <w:spacing w:after="160"/>
      </w:pPr>
    </w:p>
    <w:p w14:paraId="2BA091DE" w14:textId="77777777" w:rsidR="00EF5F94" w:rsidRDefault="00000000">
      <w:pPr>
        <w:pBdr>
          <w:bottom w:val="single" w:sz="6" w:space="4" w:color="7A1F23"/>
        </w:pBdr>
        <w:spacing w:before="380" w:after="160"/>
      </w:pPr>
      <w:r>
        <w:rPr>
          <w:rFonts w:ascii="Cambria" w:eastAsia="Cambria" w:hAnsi="Cambria" w:cs="Cambria"/>
          <w:b/>
          <w:bCs/>
          <w:color w:val="7A1F23"/>
        </w:rPr>
        <w:t xml:space="preserve">8.  </w:t>
      </w:r>
      <w:r>
        <w:rPr>
          <w:rFonts w:ascii="Cambria" w:eastAsia="Cambria" w:hAnsi="Cambria" w:cs="Cambria"/>
          <w:b/>
          <w:bCs/>
          <w:color w:val="12121B"/>
          <w:sz w:val="26"/>
          <w:szCs w:val="26"/>
        </w:rPr>
        <w:t>Conclusion</w:t>
      </w:r>
    </w:p>
    <w:p w14:paraId="4A08CDE3" w14:textId="77777777" w:rsidR="00EF5F94" w:rsidRDefault="00000000">
      <w:pPr>
        <w:spacing w:after="160" w:line="300" w:lineRule="auto"/>
      </w:pPr>
      <w:r>
        <w:rPr>
          <w:rFonts w:ascii="Calibri" w:eastAsia="Calibri" w:hAnsi="Calibri" w:cs="Calibri"/>
          <w:color w:val="1A1A22"/>
          <w:sz w:val="21"/>
          <w:szCs w:val="21"/>
        </w:rPr>
        <w:t>This exercise demonstrates a textbook Broken Access Control (IDOR) vulnerability caused by the combination of a disclosed, predictable identifier and the total absence of a server-side ownership check. It reinforces that access control must be enforced on every request, server-side, regardless of what the UI does or doesn't show.</w:t>
      </w:r>
    </w:p>
    <w:sectPr w:rsidR="00EF5F94">
      <w:footerReference w:type="default" r:id="rId11"/>
      <w:pgSz w:w="11906" w:h="16838"/>
      <w:pgMar w:top="900" w:right="1100" w:bottom="9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31207" w14:textId="77777777" w:rsidR="00961E33" w:rsidRDefault="00961E33">
      <w:r>
        <w:separator/>
      </w:r>
    </w:p>
  </w:endnote>
  <w:endnote w:type="continuationSeparator" w:id="0">
    <w:p w14:paraId="0646A678" w14:textId="77777777" w:rsidR="00961E33" w:rsidRDefault="00961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77D2" w14:textId="77777777" w:rsidR="00EF5F94" w:rsidRDefault="00000000">
    <w:pPr>
      <w:pBdr>
        <w:top w:val="single" w:sz="4" w:space="6" w:color="D9D3D3"/>
      </w:pBdr>
      <w:jc w:val="center"/>
    </w:pPr>
    <w:r>
      <w:rPr>
        <w:rFonts w:ascii="Calibri" w:eastAsia="Calibri" w:hAnsi="Calibri" w:cs="Calibri"/>
        <w:color w:val="5B5B66"/>
        <w:sz w:val="16"/>
        <w:szCs w:val="16"/>
      </w:rPr>
      <w:t xml:space="preserve">CyberSecurity Task 8 · IDOR  ·  Page </w:t>
    </w:r>
    <w:r>
      <w:rPr>
        <w:rFonts w:ascii="Calibri" w:eastAsia="Calibri" w:hAnsi="Calibri" w:cs="Calibri"/>
        <w:color w:val="5B5B66"/>
        <w:sz w:val="16"/>
        <w:szCs w:val="16"/>
      </w:rPr>
      <w:fldChar w:fldCharType="begin"/>
    </w:r>
    <w:r>
      <w:rPr>
        <w:rFonts w:ascii="Calibri" w:eastAsia="Calibri" w:hAnsi="Calibri" w:cs="Calibri"/>
        <w:color w:val="5B5B66"/>
        <w:sz w:val="16"/>
        <w:szCs w:val="16"/>
      </w:rPr>
      <w:instrText>PAGE</w:instrText>
    </w:r>
    <w:r>
      <w:rPr>
        <w:rFonts w:ascii="Calibri" w:eastAsia="Calibri" w:hAnsi="Calibri" w:cs="Calibri"/>
        <w:color w:val="5B5B66"/>
        <w:sz w:val="16"/>
        <w:szCs w:val="16"/>
      </w:rPr>
      <w:fldChar w:fldCharType="separate"/>
    </w:r>
    <w:r w:rsidR="00A27D79">
      <w:rPr>
        <w:rFonts w:ascii="Calibri" w:eastAsia="Calibri" w:hAnsi="Calibri" w:cs="Calibri"/>
        <w:noProof/>
        <w:color w:val="5B5B66"/>
        <w:sz w:val="16"/>
        <w:szCs w:val="16"/>
      </w:rPr>
      <w:t>1</w:t>
    </w:r>
    <w:r>
      <w:rPr>
        <w:rFonts w:ascii="Calibri" w:eastAsia="Calibri" w:hAnsi="Calibri" w:cs="Calibri"/>
        <w:color w:val="5B5B66"/>
        <w:sz w:val="16"/>
        <w:szCs w:val="16"/>
      </w:rPr>
      <w:fldChar w:fldCharType="end"/>
    </w:r>
    <w:r>
      <w:rPr>
        <w:rFonts w:ascii="Calibri" w:eastAsia="Calibri" w:hAnsi="Calibri" w:cs="Calibri"/>
        <w:color w:val="5B5B66"/>
        <w:sz w:val="16"/>
        <w:szCs w:val="16"/>
      </w:rPr>
      <w:t xml:space="preserve"> of </w:t>
    </w:r>
    <w:r>
      <w:rPr>
        <w:rFonts w:ascii="Calibri" w:eastAsia="Calibri" w:hAnsi="Calibri" w:cs="Calibri"/>
        <w:color w:val="5B5B66"/>
        <w:sz w:val="16"/>
        <w:szCs w:val="16"/>
      </w:rPr>
      <w:fldChar w:fldCharType="begin"/>
    </w:r>
    <w:r>
      <w:rPr>
        <w:rFonts w:ascii="Calibri" w:eastAsia="Calibri" w:hAnsi="Calibri" w:cs="Calibri"/>
        <w:color w:val="5B5B66"/>
        <w:sz w:val="16"/>
        <w:szCs w:val="16"/>
      </w:rPr>
      <w:instrText>NUMPAGES</w:instrText>
    </w:r>
    <w:r>
      <w:rPr>
        <w:rFonts w:ascii="Calibri" w:eastAsia="Calibri" w:hAnsi="Calibri" w:cs="Calibri"/>
        <w:color w:val="5B5B66"/>
        <w:sz w:val="16"/>
        <w:szCs w:val="16"/>
      </w:rPr>
      <w:fldChar w:fldCharType="separate"/>
    </w:r>
    <w:r w:rsidR="00A27D79">
      <w:rPr>
        <w:rFonts w:ascii="Calibri" w:eastAsia="Calibri" w:hAnsi="Calibri" w:cs="Calibri"/>
        <w:noProof/>
        <w:color w:val="5B5B66"/>
        <w:sz w:val="16"/>
        <w:szCs w:val="16"/>
      </w:rPr>
      <w:t>2</w:t>
    </w:r>
    <w:r>
      <w:rPr>
        <w:rFonts w:ascii="Calibri" w:eastAsia="Calibri" w:hAnsi="Calibri" w:cs="Calibri"/>
        <w:color w:val="5B5B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42E05" w14:textId="77777777" w:rsidR="00961E33" w:rsidRDefault="00961E33">
      <w:r>
        <w:separator/>
      </w:r>
    </w:p>
  </w:footnote>
  <w:footnote w:type="continuationSeparator" w:id="0">
    <w:p w14:paraId="6D1780F6" w14:textId="77777777" w:rsidR="00961E33" w:rsidRDefault="00961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6B8E"/>
    <w:multiLevelType w:val="hybridMultilevel"/>
    <w:tmpl w:val="E4E82A24"/>
    <w:lvl w:ilvl="0" w:tplc="2A265560">
      <w:start w:val="1"/>
      <w:numFmt w:val="bullet"/>
      <w:lvlText w:val="●"/>
      <w:lvlJc w:val="left"/>
      <w:pPr>
        <w:ind w:left="720" w:hanging="360"/>
      </w:pPr>
    </w:lvl>
    <w:lvl w:ilvl="1" w:tplc="D098CEA0">
      <w:start w:val="1"/>
      <w:numFmt w:val="bullet"/>
      <w:lvlText w:val="○"/>
      <w:lvlJc w:val="left"/>
      <w:pPr>
        <w:ind w:left="1440" w:hanging="360"/>
      </w:pPr>
    </w:lvl>
    <w:lvl w:ilvl="2" w:tplc="8F0EA710">
      <w:start w:val="1"/>
      <w:numFmt w:val="bullet"/>
      <w:lvlText w:val="■"/>
      <w:lvlJc w:val="left"/>
      <w:pPr>
        <w:ind w:left="2160" w:hanging="360"/>
      </w:pPr>
    </w:lvl>
    <w:lvl w:ilvl="3" w:tplc="81565F9A">
      <w:start w:val="1"/>
      <w:numFmt w:val="bullet"/>
      <w:lvlText w:val="●"/>
      <w:lvlJc w:val="left"/>
      <w:pPr>
        <w:ind w:left="2880" w:hanging="360"/>
      </w:pPr>
    </w:lvl>
    <w:lvl w:ilvl="4" w:tplc="F38E2764">
      <w:start w:val="1"/>
      <w:numFmt w:val="bullet"/>
      <w:lvlText w:val="○"/>
      <w:lvlJc w:val="left"/>
      <w:pPr>
        <w:ind w:left="3600" w:hanging="360"/>
      </w:pPr>
    </w:lvl>
    <w:lvl w:ilvl="5" w:tplc="A7307A70">
      <w:start w:val="1"/>
      <w:numFmt w:val="bullet"/>
      <w:lvlText w:val="■"/>
      <w:lvlJc w:val="left"/>
      <w:pPr>
        <w:ind w:left="4320" w:hanging="360"/>
      </w:pPr>
    </w:lvl>
    <w:lvl w:ilvl="6" w:tplc="82F2E1E0">
      <w:start w:val="1"/>
      <w:numFmt w:val="bullet"/>
      <w:lvlText w:val="●"/>
      <w:lvlJc w:val="left"/>
      <w:pPr>
        <w:ind w:left="5040" w:hanging="360"/>
      </w:pPr>
    </w:lvl>
    <w:lvl w:ilvl="7" w:tplc="CCAEC6D0">
      <w:start w:val="1"/>
      <w:numFmt w:val="bullet"/>
      <w:lvlText w:val="●"/>
      <w:lvlJc w:val="left"/>
      <w:pPr>
        <w:ind w:left="5760" w:hanging="360"/>
      </w:pPr>
    </w:lvl>
    <w:lvl w:ilvl="8" w:tplc="D786E334">
      <w:start w:val="1"/>
      <w:numFmt w:val="bullet"/>
      <w:lvlText w:val="●"/>
      <w:lvlJc w:val="left"/>
      <w:pPr>
        <w:ind w:left="6480" w:hanging="360"/>
      </w:pPr>
    </w:lvl>
  </w:abstractNum>
  <w:abstractNum w:abstractNumId="1" w15:restartNumberingAfterBreak="0">
    <w:nsid w:val="48BC18AE"/>
    <w:multiLevelType w:val="hybridMultilevel"/>
    <w:tmpl w:val="18AE2912"/>
    <w:lvl w:ilvl="0" w:tplc="DE367BE0">
      <w:start w:val="1"/>
      <w:numFmt w:val="decimal"/>
      <w:lvlText w:val="%1."/>
      <w:lvlJc w:val="left"/>
      <w:pPr>
        <w:ind w:left="420" w:hanging="260"/>
      </w:pPr>
    </w:lvl>
    <w:lvl w:ilvl="1" w:tplc="C06A32FE">
      <w:numFmt w:val="decimal"/>
      <w:lvlText w:val=""/>
      <w:lvlJc w:val="left"/>
    </w:lvl>
    <w:lvl w:ilvl="2" w:tplc="AAAC029A">
      <w:numFmt w:val="decimal"/>
      <w:lvlText w:val=""/>
      <w:lvlJc w:val="left"/>
    </w:lvl>
    <w:lvl w:ilvl="3" w:tplc="2702E276">
      <w:numFmt w:val="decimal"/>
      <w:lvlText w:val=""/>
      <w:lvlJc w:val="left"/>
    </w:lvl>
    <w:lvl w:ilvl="4" w:tplc="535681E4">
      <w:numFmt w:val="decimal"/>
      <w:lvlText w:val=""/>
      <w:lvlJc w:val="left"/>
    </w:lvl>
    <w:lvl w:ilvl="5" w:tplc="71EE1B02">
      <w:numFmt w:val="decimal"/>
      <w:lvlText w:val=""/>
      <w:lvlJc w:val="left"/>
    </w:lvl>
    <w:lvl w:ilvl="6" w:tplc="644AF40A">
      <w:numFmt w:val="decimal"/>
      <w:lvlText w:val=""/>
      <w:lvlJc w:val="left"/>
    </w:lvl>
    <w:lvl w:ilvl="7" w:tplc="E71476D2">
      <w:numFmt w:val="decimal"/>
      <w:lvlText w:val=""/>
      <w:lvlJc w:val="left"/>
    </w:lvl>
    <w:lvl w:ilvl="8" w:tplc="F2DA606E">
      <w:numFmt w:val="decimal"/>
      <w:lvlText w:val=""/>
      <w:lvlJc w:val="left"/>
    </w:lvl>
  </w:abstractNum>
  <w:abstractNum w:abstractNumId="2" w15:restartNumberingAfterBreak="0">
    <w:nsid w:val="787E5E78"/>
    <w:multiLevelType w:val="hybridMultilevel"/>
    <w:tmpl w:val="C8225844"/>
    <w:lvl w:ilvl="0" w:tplc="B8621E78">
      <w:start w:val="1"/>
      <w:numFmt w:val="bullet"/>
      <w:lvlText w:val="—"/>
      <w:lvlJc w:val="left"/>
      <w:pPr>
        <w:ind w:left="420" w:hanging="260"/>
      </w:pPr>
    </w:lvl>
    <w:lvl w:ilvl="1" w:tplc="38348560">
      <w:numFmt w:val="decimal"/>
      <w:lvlText w:val=""/>
      <w:lvlJc w:val="left"/>
    </w:lvl>
    <w:lvl w:ilvl="2" w:tplc="235A955A">
      <w:numFmt w:val="decimal"/>
      <w:lvlText w:val=""/>
      <w:lvlJc w:val="left"/>
    </w:lvl>
    <w:lvl w:ilvl="3" w:tplc="07768EC8">
      <w:numFmt w:val="decimal"/>
      <w:lvlText w:val=""/>
      <w:lvlJc w:val="left"/>
    </w:lvl>
    <w:lvl w:ilvl="4" w:tplc="3120197C">
      <w:numFmt w:val="decimal"/>
      <w:lvlText w:val=""/>
      <w:lvlJc w:val="left"/>
    </w:lvl>
    <w:lvl w:ilvl="5" w:tplc="25326930">
      <w:numFmt w:val="decimal"/>
      <w:lvlText w:val=""/>
      <w:lvlJc w:val="left"/>
    </w:lvl>
    <w:lvl w:ilvl="6" w:tplc="C52CB81C">
      <w:numFmt w:val="decimal"/>
      <w:lvlText w:val=""/>
      <w:lvlJc w:val="left"/>
    </w:lvl>
    <w:lvl w:ilvl="7" w:tplc="BC8E3AE0">
      <w:numFmt w:val="decimal"/>
      <w:lvlText w:val=""/>
      <w:lvlJc w:val="left"/>
    </w:lvl>
    <w:lvl w:ilvl="8" w:tplc="FAB23C94">
      <w:numFmt w:val="decimal"/>
      <w:lvlText w:val=""/>
      <w:lvlJc w:val="left"/>
    </w:lvl>
  </w:abstractNum>
  <w:num w:numId="1" w16cid:durableId="10575115">
    <w:abstractNumId w:val="0"/>
    <w:lvlOverride w:ilvl="0">
      <w:startOverride w:val="1"/>
    </w:lvlOverride>
  </w:num>
  <w:num w:numId="2" w16cid:durableId="1614435811">
    <w:abstractNumId w:val="2"/>
    <w:lvlOverride w:ilvl="0">
      <w:startOverride w:val="1"/>
    </w:lvlOverride>
  </w:num>
  <w:num w:numId="3" w16cid:durableId="19434859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F94"/>
    <w:rsid w:val="00961E33"/>
    <w:rsid w:val="00A27D79"/>
    <w:rsid w:val="00CE0844"/>
    <w:rsid w:val="00EF5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CF62"/>
  <w15:docId w15:val="{58EA5339-1ED5-43D9-99F1-7F2A4BA7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Shaikh,Farhan</cp:lastModifiedBy>
  <cp:revision>2</cp:revision>
  <dcterms:created xsi:type="dcterms:W3CDTF">2026-08-16T10:04:00Z</dcterms:created>
  <dcterms:modified xsi:type="dcterms:W3CDTF">2026-08-16T10:11:00Z</dcterms:modified>
</cp:coreProperties>
</file>