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color w:val="8C1D2B"/>
          <w:sz w:val="17"/>
          <w:szCs w:val="17"/>
        </w:rPr>
        <w:t xml:space="preserve">TryHackMe  ·  Tutedude Cybersecurity Track  ·  Task 11</w:t>
      </w:r>
    </w:p>
    <w:p>
      <w:pPr>
        <w:spacing w:after="60"/>
      </w:pPr>
      <w:r>
        <w:rPr>
          <w:rFonts w:ascii="Cambria" w:cs="Cambria" w:eastAsia="Cambria" w:hAnsi="Cambria"/>
          <w:b/>
          <w:bCs/>
          <w:color w:val="1F1F1F"/>
          <w:sz w:val="64"/>
          <w:szCs w:val="64"/>
        </w:rPr>
        <w:t xml:space="preserve">SQL Injection</w:t>
      </w:r>
    </w:p>
    <w:p>
      <w:pPr>
        <w:pBdr>
          <w:bottom w:val="single" w:color="8C1D2B" w:sz="12" w:space="8"/>
        </w:pBdr>
        <w:spacing w:after="220"/>
      </w:pPr>
      <w:r>
        <w:rPr>
          <w:rFonts w:ascii="Calibri" w:cs="Calibri" w:eastAsia="Calibri" w:hAnsi="Calibri"/>
          <w:i/>
          <w:iCs/>
          <w:color w:val="595959"/>
          <w:sz w:val="26"/>
          <w:szCs w:val="26"/>
        </w:rPr>
        <w:t xml:space="preserve">Automated Blind/Union SQL Injection — Database Enumeration &amp; Data Exfiltration</w:t>
      </w:r>
    </w:p>
    <w:p>
      <w:pPr>
        <w:spacing w:after="40"/>
      </w:pPr>
      <w:r>
        <w:rPr>
          <w:rFonts w:ascii="Calibri" w:cs="Calibri" w:eastAsia="Calibri" w:hAnsi="Calibri"/>
          <w:b/>
          <w:bCs/>
          <w:color w:val="1F1F1F"/>
          <w:sz w:val="20"/>
          <w:szCs w:val="20"/>
        </w:rPr>
        <w:t xml:space="preserve">Platform:  </w:t>
      </w:r>
      <w:r>
        <w:rPr>
          <w:rFonts w:ascii="Calibri" w:cs="Calibri" w:eastAsia="Calibri" w:hAnsi="Calibri"/>
          <w:color w:val="595959"/>
          <w:sz w:val="20"/>
          <w:szCs w:val="20"/>
        </w:rPr>
        <w:t xml:space="preserve">TryHackMe      </w:t>
      </w:r>
      <w:r>
        <w:rPr>
          <w:rFonts w:ascii="Calibri" w:cs="Calibri" w:eastAsia="Calibri" w:hAnsi="Calibri"/>
          <w:b/>
          <w:bCs/>
          <w:color w:val="1F1F1F"/>
          <w:sz w:val="20"/>
          <w:szCs w:val="20"/>
        </w:rPr>
        <w:t xml:space="preserve">Room:  </w:t>
      </w:r>
      <w:r>
        <w:rPr>
          <w:rFonts w:ascii="Calibri" w:cs="Calibri" w:eastAsia="Calibri" w:hAnsi="Calibri"/>
          <w:color w:val="595959"/>
          <w:sz w:val="20"/>
          <w:szCs w:val="20"/>
        </w:rPr>
        <w:t xml:space="preserve">tutedude-cybersec      </w:t>
      </w:r>
      <w:r>
        <w:rPr>
          <w:rFonts w:ascii="Calibri" w:cs="Calibri" w:eastAsia="Calibri" w:hAnsi="Calibri"/>
          <w:b/>
          <w:bCs/>
          <w:color w:val="1F1F1F"/>
          <w:sz w:val="20"/>
          <w:szCs w:val="20"/>
        </w:rPr>
        <w:t xml:space="preserve">Category:  </w:t>
      </w:r>
      <w:r>
        <w:rPr>
          <w:rFonts w:ascii="Calibri" w:cs="Calibri" w:eastAsia="Calibri" w:hAnsi="Calibri"/>
          <w:color w:val="595959"/>
          <w:sz w:val="20"/>
          <w:szCs w:val="20"/>
        </w:rPr>
        <w:t xml:space="preserve">SQL Injection</w:t>
      </w:r>
    </w:p>
    <w:p>
      <w:pPr>
        <w:spacing w:after="260"/>
      </w:pPr>
      <w:r>
        <w:rPr>
          <w:rFonts w:ascii="Calibri" w:cs="Calibri" w:eastAsia="Calibri" w:hAnsi="Calibri"/>
          <w:b/>
          <w:bCs/>
          <w:color w:val="1F1F1F"/>
          <w:sz w:val="20"/>
          <w:szCs w:val="20"/>
        </w:rPr>
        <w:t xml:space="preserve">Prepared by:  </w:t>
      </w:r>
      <w:r>
        <w:rPr>
          <w:rFonts w:ascii="Calibri" w:cs="Calibri" w:eastAsia="Calibri" w:hAnsi="Calibri"/>
          <w:color w:val="595959"/>
          <w:sz w:val="20"/>
          <w:szCs w:val="20"/>
        </w:rPr>
        <w:t xml:space="preserve">Farhan      </w:t>
      </w:r>
      <w:r>
        <w:rPr>
          <w:rFonts w:ascii="Calibri" w:cs="Calibri" w:eastAsia="Calibri" w:hAnsi="Calibri"/>
          <w:b/>
          <w:bCs/>
          <w:color w:val="1F1F1F"/>
          <w:sz w:val="20"/>
          <w:szCs w:val="20"/>
        </w:rPr>
        <w:t xml:space="preserve">Date:  </w:t>
      </w:r>
      <w:r>
        <w:rPr>
          <w:rFonts w:ascii="Calibri" w:cs="Calibri" w:eastAsia="Calibri" w:hAnsi="Calibri"/>
          <w:color w:val="595959"/>
          <w:sz w:val="20"/>
          <w:szCs w:val="20"/>
        </w:rPr>
        <w:t xml:space="preserve">August 16,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1D2B" w:sz="8"/>
              <w:left w:val="single" w:color="8C1D2B" w:sz="8"/>
              <w:bottom w:val="single" w:color="8C1D2B" w:sz="8"/>
              <w:right w:val="single" w:color="8C1D2B" w:sz="8"/>
            </w:tcBorders>
            <w:shd w:fill="FBEAEA" w:color="auto" w:val="clear"/>
            <w:tcMar>
              <w:top w:type="dxa" w:w="180"/>
              <w:left w:type="dxa" w:w="200"/>
              <w:bottom w:type="dxa" w:w="180"/>
              <w:right w:type="dxa" w:w="200"/>
            </w:tcMar>
          </w:tcPr>
          <w:p>
            <w:pPr>
              <w:jc w:val="center"/>
            </w:pPr>
            <w:r>
              <w:rPr>
                <w:rFonts w:ascii="Calibri" w:cs="Calibri" w:eastAsia="Calibri" w:hAnsi="Calibri"/>
                <w:b/>
                <w:bCs/>
                <w:caps/>
                <w:color w:val="8C1D2B"/>
                <w:sz w:val="18"/>
                <w:szCs w:val="18"/>
              </w:rPr>
              <w:t xml:space="preserve">FLAG CAPTURED</w:t>
            </w:r>
          </w:p>
          <w:p>
            <w:pPr>
              <w:spacing w:before="90"/>
              <w:jc w:val="center"/>
            </w:pPr>
            <w:r>
              <w:rPr>
                <w:rFonts w:ascii="Consolas" w:cs="Consolas" w:eastAsia="Consolas" w:hAnsi="Consolas"/>
                <w:b/>
                <w:bCs/>
                <w:color w:val="1F1F1F"/>
                <w:sz w:val="32"/>
                <w:szCs w:val="32"/>
              </w:rPr>
              <w:t xml:space="preserve">Flag{SQLI_EXFILTRATION_SUCCESSFUL}</w:t>
            </w:r>
          </w:p>
        </w:tc>
      </w:tr>
    </w:tbl>
    <w:p>
      <w:pPr>
        <w:spacing w:before="300"/>
      </w:pPr>
    </w:p>
    <w:p>
      <w:pPr>
        <w:pBdr>
          <w:bottom w:val="single" w:color="D9D9D9" w:sz="4" w:space="6"/>
        </w:pBdr>
        <w:spacing w:after="160" w:before="380"/>
      </w:pPr>
      <w:r>
        <w:rPr>
          <w:rFonts w:ascii="Cambria" w:cs="Cambria" w:eastAsia="Cambria" w:hAnsi="Cambria"/>
          <w:b/>
          <w:bCs/>
          <w:color w:val="8C1D2B"/>
          <w:sz w:val="30"/>
          <w:szCs w:val="30"/>
        </w:rPr>
        <w:t xml:space="preserve">Objective</w:t>
      </w:r>
    </w:p>
    <w:p>
      <w:pPr>
        <w:spacing w:after="160" w:line="280"/>
        <w:jc w:val="both"/>
      </w:pPr>
      <w:r>
        <w:rPr>
          <w:rFonts w:ascii="Calibri" w:cs="Calibri" w:eastAsia="Calibri" w:hAnsi="Calibri"/>
          <w:color w:val="262626"/>
          <w:sz w:val="21"/>
          <w:szCs w:val="21"/>
        </w:rPr>
        <w:t xml:space="preserve">This task targets the SecureCorp Portal, a TryHackMe lab application, with the goal of locating and exploiting a SQL Injection vulnerability in the internal employee directory search feature (search.php). The objective is to move from a simple, unsanitized search parameter to full database enumeration and exfiltration of a protected table using automated tooling, culminating in retrieval of the task flag.</w:t>
      </w:r>
    </w:p>
    <w:p>
      <w:pPr>
        <w:pBdr>
          <w:bottom w:val="single" w:color="D9D9D9" w:sz="4" w:space="6"/>
        </w:pBdr>
        <w:spacing w:after="160" w:before="380"/>
      </w:pPr>
      <w:r>
        <w:rPr>
          <w:rFonts w:ascii="Cambria" w:cs="Cambria" w:eastAsia="Cambria" w:hAnsi="Cambria"/>
          <w:b/>
          <w:bCs/>
          <w:color w:val="8C1D2B"/>
          <w:sz w:val="30"/>
          <w:szCs w:val="30"/>
        </w:rPr>
        <w:t xml:space="preserve">Environment &amp; Tools</w:t>
      </w:r>
    </w:p>
    <w:tbl>
      <w:tblPr>
        <w:tblW w:type="dxa" w:w="9360"/>
        <w:tblBorders>
          <w:top w:val="single" w:color="D9D9D9" w:sz="4"/>
          <w:left w:val="single" w:color="D9D9D9" w:sz="4"/>
          <w:bottom w:val="single" w:color="D9D9D9" w:sz="4"/>
          <w:right w:val="single" w:color="D9D9D9" w:sz="4"/>
          <w:insideH w:val="single" w:color="D9D9D9" w:sz="4"/>
          <w:insideV w:val="none" w:color="FFFFFF" w:sz="0"/>
        </w:tblBorders>
      </w:tblPr>
      <w:tblGrid>
        <w:gridCol w:w="2505"/>
        <w:gridCol w:w="6854"/>
      </w:tblGrid>
      <w:tr>
        <w:tc>
          <w:tcPr>
            <w:tcW w:type="dxa" w:w="2505"/>
            <w:shd w:fill="F7EDEE"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Target</w:t>
            </w:r>
          </w:p>
        </w:tc>
        <w:tc>
          <w:tcPr>
            <w:tcW w:type="dxa" w:w="6854"/>
            <w:tcMar>
              <w:top w:type="dxa" w:w="110"/>
              <w:left w:type="dxa" w:w="180"/>
              <w:bottom w:type="dxa" w:w="110"/>
              <w:right w:type="dxa" w:w="120"/>
            </w:tcMar>
            <w:vAlign w:val="center"/>
          </w:tcPr>
          <w:p>
            <w:r>
              <w:rPr>
                <w:rFonts w:ascii="Calibri" w:cs="Calibri" w:eastAsia="Calibri" w:hAnsi="Calibri"/>
                <w:color w:val="262626"/>
                <w:sz w:val="20"/>
                <w:szCs w:val="20"/>
              </w:rPr>
              <w:t xml:space="preserve">SecureCorp Portal — http://192.168.155.129/ (TryHackMe lab instance)</w:t>
            </w:r>
          </w:p>
        </w:tc>
      </w:tr>
      <w:tr>
        <w:tc>
          <w:tcPr>
            <w:tcW w:type="dxa" w:w="2505"/>
            <w:shd w:fill="FBF6F6"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Platform</w:t>
            </w:r>
          </w:p>
        </w:tc>
        <w:tc>
          <w:tcPr>
            <w:tcW w:type="dxa" w:w="6854"/>
            <w:tcMar>
              <w:top w:type="dxa" w:w="110"/>
              <w:left w:type="dxa" w:w="180"/>
              <w:bottom w:type="dxa" w:w="110"/>
              <w:right w:type="dxa" w:w="120"/>
            </w:tcMar>
            <w:vAlign w:val="center"/>
          </w:tcPr>
          <w:p>
            <w:r>
              <w:rPr>
                <w:rFonts w:ascii="Calibri" w:cs="Calibri" w:eastAsia="Calibri" w:hAnsi="Calibri"/>
                <w:color w:val="262626"/>
                <w:sz w:val="20"/>
                <w:szCs w:val="20"/>
              </w:rPr>
              <w:t xml:space="preserve">TryHackMe — tutedude-cybersec room</w:t>
            </w:r>
          </w:p>
        </w:tc>
      </w:tr>
      <w:tr>
        <w:tc>
          <w:tcPr>
            <w:tcW w:type="dxa" w:w="2505"/>
            <w:shd w:fill="F7EDEE"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Vulnerable Endpoint</w:t>
            </w:r>
          </w:p>
        </w:tc>
        <w:tc>
          <w:tcPr>
            <w:tcW w:type="dxa" w:w="6854"/>
            <w:tcMar>
              <w:top w:type="dxa" w:w="110"/>
              <w:left w:type="dxa" w:w="180"/>
              <w:bottom w:type="dxa" w:w="110"/>
              <w:right w:type="dxa" w:w="120"/>
            </w:tcMar>
            <w:vAlign w:val="center"/>
          </w:tcPr>
          <w:p>
            <w:r>
              <w:rPr>
                <w:rFonts w:ascii="Calibri" w:cs="Calibri" w:eastAsia="Calibri" w:hAnsi="Calibri"/>
                <w:color w:val="262626"/>
                <w:sz w:val="20"/>
                <w:szCs w:val="20"/>
              </w:rPr>
              <w:t xml:space="preserve">GET /search.php?q=</w:t>
            </w:r>
          </w:p>
        </w:tc>
      </w:tr>
      <w:tr>
        <w:tc>
          <w:tcPr>
            <w:tcW w:type="dxa" w:w="2505"/>
            <w:shd w:fill="FBF6F6"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Tools Used</w:t>
            </w:r>
          </w:p>
        </w:tc>
        <w:tc>
          <w:tcPr>
            <w:tcW w:type="dxa" w:w="6854"/>
            <w:tcMar>
              <w:top w:type="dxa" w:w="110"/>
              <w:left w:type="dxa" w:w="180"/>
              <w:bottom w:type="dxa" w:w="110"/>
              <w:right w:type="dxa" w:w="120"/>
            </w:tcMar>
            <w:vAlign w:val="center"/>
          </w:tcPr>
          <w:p>
            <w:r>
              <w:rPr>
                <w:rFonts w:ascii="Calibri" w:cs="Calibri" w:eastAsia="Calibri" w:hAnsi="Calibri"/>
                <w:color w:val="262626"/>
                <w:sz w:val="20"/>
                <w:szCs w:val="20"/>
              </w:rPr>
              <w:t xml:space="preserve">Burp Suite (Proxy / Repeater), sqlmap v1.10.8, Chromium-based browser</w:t>
            </w:r>
          </w:p>
        </w:tc>
      </w:tr>
      <w:tr>
        <w:tc>
          <w:tcPr>
            <w:tcW w:type="dxa" w:w="2505"/>
            <w:shd w:fill="F7EDEE"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Back-end DBMS</w:t>
            </w:r>
          </w:p>
        </w:tc>
        <w:tc>
          <w:tcPr>
            <w:tcW w:type="dxa" w:w="6854"/>
            <w:tcMar>
              <w:top w:type="dxa" w:w="110"/>
              <w:left w:type="dxa" w:w="180"/>
              <w:bottom w:type="dxa" w:w="110"/>
              <w:right w:type="dxa" w:w="120"/>
            </w:tcMar>
            <w:vAlign w:val="center"/>
          </w:tcPr>
          <w:p>
            <w:r>
              <w:rPr>
                <w:rFonts w:ascii="Calibri" w:cs="Calibri" w:eastAsia="Calibri" w:hAnsi="Calibri"/>
                <w:color w:val="262626"/>
                <w:sz w:val="20"/>
                <w:szCs w:val="20"/>
              </w:rPr>
              <w:t xml:space="preserve">MySQL / MariaDB ≥ 5.6 (confirmed via sqlmap fingerprinting)</w:t>
            </w:r>
          </w:p>
        </w:tc>
      </w:tr>
    </w:tbl>
    <w:p>
      <w:pPr>
        <w:pBdr>
          <w:bottom w:val="single" w:color="D9D9D9" w:sz="4" w:space="6"/>
        </w:pBdr>
        <w:spacing w:after="160" w:before="380"/>
      </w:pPr>
      <w:r>
        <w:rPr>
          <w:rFonts w:ascii="Cambria" w:cs="Cambria" w:eastAsia="Cambria" w:hAnsi="Cambria"/>
          <w:b/>
          <w:bCs/>
          <w:color w:val="8C1D2B"/>
          <w:sz w:val="30"/>
          <w:szCs w:val="30"/>
        </w:rPr>
        <w:t xml:space="preserve">Methodology</w:t>
      </w:r>
    </w:p>
    <w:p>
      <w:pPr>
        <w:spacing w:after="120" w:before="260"/>
      </w:pPr>
      <w:r>
        <w:rPr>
          <w:rFonts w:ascii="Cambria" w:cs="Cambria" w:eastAsia="Cambria" w:hAnsi="Cambria"/>
          <w:b/>
          <w:bCs/>
          <w:color w:val="1F1F1F"/>
          <w:sz w:val="24"/>
          <w:szCs w:val="24"/>
        </w:rPr>
        <w:t xml:space="preserve">Step 1 — Authentication &amp; Locating the Search Feature</w:t>
      </w:r>
    </w:p>
    <w:p>
      <w:pPr>
        <w:spacing w:after="160" w:line="280"/>
        <w:jc w:val="both"/>
      </w:pPr>
      <w:r>
        <w:rPr>
          <w:rFonts w:ascii="Calibri" w:cs="Calibri" w:eastAsia="Calibri" w:hAnsi="Calibri"/>
          <w:color w:val="262626"/>
          <w:sz w:val="21"/>
          <w:szCs w:val="21"/>
        </w:rPr>
        <w:t xml:space="preserve">Using the low-privileged account for user ‘john’ (credentials previously recovered from the login page’s client-side source), the portal was accessed and the Directory section was opened. The page exposes a free-text “Search the internal global directory by employee name” field, backed by search.php, which queries the database directly with the supplied term — an immediate candidate for injection testing given the footer’s disclosure of the back-end stack (MySQL / MariaDB) and a legacy front-end library.</w:t>
      </w:r>
    </w:p>
    <w:p>
      <w:pPr>
        <w:spacing w:after="60" w:before="160"/>
        <w:jc w:val="center"/>
      </w:pPr>
      <w:r>
        <w:drawing>
          <wp:inline distT="0" distB="0" distL="0" distR="0">
            <wp:extent cx="539496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4960" cy="265176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 Employee Directory search page, querying search.php with the term “admin”.</w:t>
      </w:r>
    </w:p>
    <w:p>
      <w:pPr>
        <w:spacing w:after="120" w:before="260"/>
      </w:pPr>
      <w:r>
        <w:rPr>
          <w:rFonts w:ascii="Cambria" w:cs="Cambria" w:eastAsia="Cambria" w:hAnsi="Cambria"/>
          <w:b/>
          <w:bCs/>
          <w:color w:val="1F1F1F"/>
          <w:sz w:val="24"/>
          <w:szCs w:val="24"/>
        </w:rPr>
        <w:t xml:space="preserve">Step 2 — Intercepting the Search Request in Burp Suite</w:t>
      </w:r>
    </w:p>
    <w:p>
      <w:pPr>
        <w:spacing w:after="160" w:line="280"/>
        <w:jc w:val="both"/>
      </w:pPr>
      <w:r>
        <w:rPr>
          <w:rFonts w:ascii="Calibri" w:cs="Calibri" w:eastAsia="Calibri" w:hAnsi="Calibri"/>
          <w:color w:val="262626"/>
          <w:sz w:val="21"/>
          <w:szCs w:val="21"/>
        </w:rPr>
        <w:t xml:space="preserve">With Burp Suite’s proxy active, the search request was captured. The request confirmed the vulnerable parameter as the GET query string q, submitted alongside the standard PHPSESSID session cookie and a plaintext user_role cookie: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60"/>
      </w:tblGrid>
      <w:tr>
        <w:tc>
          <w:tcPr>
            <w:tcW w:type="dxa" w:w="9360"/>
            <w:tcBorders>
              <w:top w:val="single" w:color="D9D9D9" w:sz="4"/>
              <w:left w:val="single" w:color="D9D9D9" w:sz="4"/>
              <w:bottom w:val="single" w:color="D9D9D9" w:sz="4"/>
              <w:right w:val="single" w:color="D9D9D9" w:sz="4"/>
            </w:tcBorders>
            <w:shd w:fill="F5F5F5" w:color="auto" w:val="clear"/>
            <w:tcMar>
              <w:top w:type="dxa" w:w="160"/>
              <w:left w:type="dxa" w:w="220"/>
              <w:bottom w:type="dxa" w:w="160"/>
              <w:right w:type="dxa" w:w="220"/>
            </w:tcMar>
          </w:tcPr>
          <w:p>
            <w:pPr>
              <w:spacing w:after="40"/>
            </w:pPr>
            <w:r>
              <w:rPr>
                <w:rFonts w:ascii="Consolas" w:cs="Consolas" w:eastAsia="Consolas" w:hAnsi="Consolas"/>
                <w:color w:val="1F1F1F"/>
                <w:sz w:val="19"/>
                <w:szCs w:val="19"/>
              </w:rPr>
              <w:t xml:space="preserve">GET /search.php?q=admin* HTTP/1.1</w:t>
            </w:r>
          </w:p>
          <w:p>
            <w:pPr>
              <w:spacing w:after="40"/>
            </w:pPr>
            <w:r>
              <w:rPr>
                <w:rFonts w:ascii="Consolas" w:cs="Consolas" w:eastAsia="Consolas" w:hAnsi="Consolas"/>
                <w:color w:val="1F1F1F"/>
                <w:sz w:val="19"/>
                <w:szCs w:val="19"/>
              </w:rPr>
              <w:t xml:space="preserve">Host: 192.168.155.129</w:t>
            </w:r>
          </w:p>
          <w:p>
            <w:pPr>
              <w:spacing w:after="40"/>
            </w:pPr>
            <w:r>
              <w:rPr>
                <w:rFonts w:ascii="Consolas" w:cs="Consolas" w:eastAsia="Consolas" w:hAnsi="Consolas"/>
                <w:color w:val="1F1F1F"/>
                <w:sz w:val="19"/>
                <w:szCs w:val="19"/>
              </w:rPr>
              <w:t xml:space="preserve">Cookie: PHPSESSID=4ougrdo3o8qro128p6tni899vk; user_role=employee</w:t>
            </w:r>
          </w:p>
        </w:tc>
      </w:tr>
    </w:tbl>
    <w:p>
      <w:pPr>
        <w:spacing w:after="60" w:before="160"/>
        <w:jc w:val="center"/>
      </w:pPr>
      <w:r>
        <w:drawing>
          <wp:inline distT="0" distB="0" distL="0" distR="0">
            <wp:extent cx="5394960" cy="20299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4960" cy="2029968"/>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 Burp Suite Proxy: intercepted GET /search.php?q= request used as the injection point.</w:t>
      </w:r>
    </w:p>
    <w:p>
      <w:pPr>
        <w:spacing w:after="160" w:line="280"/>
        <w:jc w:val="both"/>
      </w:pPr>
      <w:r>
        <w:rPr>
          <w:rFonts w:ascii="Calibri" w:cs="Calibri" w:eastAsia="Calibri" w:hAnsi="Calibri"/>
          <w:color w:val="262626"/>
          <w:sz w:val="21"/>
          <w:szCs w:val="21"/>
        </w:rPr>
        <w:t xml:space="preserve">An asterisk (*) was appended to the search term inside the intercepted request. In sqlmap, an asterisk marks the exact position where injection payloads should be inserted when a request is supplied via the -r (request file) option, rather than relying on sqlmap to auto-detect every parameter.</w:t>
      </w:r>
    </w:p>
    <w:p>
      <w:pPr>
        <w:spacing w:after="120" w:before="260"/>
      </w:pPr>
      <w:r>
        <w:rPr>
          <w:rFonts w:ascii="Cambria" w:cs="Cambria" w:eastAsia="Cambria" w:hAnsi="Cambria"/>
          <w:b/>
          <w:bCs/>
          <w:color w:val="1F1F1F"/>
          <w:sz w:val="24"/>
          <w:szCs w:val="24"/>
        </w:rPr>
        <w:t xml:space="preserve">Step 3 — Exporting the Request for sqlmap</w:t>
      </w:r>
    </w:p>
    <w:p>
      <w:pPr>
        <w:spacing w:after="160" w:line="280"/>
        <w:jc w:val="both"/>
      </w:pPr>
      <w:r>
        <w:rPr>
          <w:rFonts w:ascii="Calibri" w:cs="Calibri" w:eastAsia="Calibri" w:hAnsi="Calibri"/>
          <w:color w:val="262626"/>
          <w:sz w:val="21"/>
          <w:szCs w:val="21"/>
        </w:rPr>
        <w:t xml:space="preserve">Rather than re-typing the request, the intercepted and marked request was exported directly from Burp Suite as a raw HTTP request file, which sqlmap can consume with the -r flag.</w:t>
      </w:r>
    </w:p>
    <w:p>
      <w:pPr>
        <w:spacing w:after="60" w:before="160"/>
        <w:jc w:val="center"/>
      </w:pPr>
      <w:r>
        <w:drawing>
          <wp:inline distT="0" distB="0" distL="0" distR="0">
            <wp:extent cx="5394960" cy="30358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4960" cy="3035808"/>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 Burp Suite: ‘Save selected text to file’ used to export the marked request.</w:t>
      </w:r>
    </w:p>
    <w:p>
      <w:pPr>
        <w:spacing w:after="60" w:before="160"/>
        <w:jc w:val="center"/>
      </w:pPr>
      <w:r>
        <w:drawing>
          <wp:inline distT="0" distB="0" distL="0" distR="0">
            <wp:extent cx="5029200" cy="15179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1517904"/>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 Request saved locally as sqlinjection.txt for use with sqlmap -r.</w:t>
      </w:r>
    </w:p>
    <w:p>
      <w:pPr>
        <w:spacing w:after="120" w:before="260"/>
      </w:pPr>
      <w:r>
        <w:rPr>
          <w:rFonts w:ascii="Cambria" w:cs="Cambria" w:eastAsia="Cambria" w:hAnsi="Cambria"/>
          <w:b/>
          <w:bCs/>
          <w:color w:val="1F1F1F"/>
          <w:sz w:val="24"/>
          <w:szCs w:val="24"/>
        </w:rPr>
        <w:t xml:space="preserve">Step 4 — Enumerating Available Databases</w:t>
      </w:r>
    </w:p>
    <w:p>
      <w:pPr>
        <w:spacing w:after="160" w:line="280"/>
        <w:jc w:val="both"/>
      </w:pPr>
      <w:r>
        <w:rPr>
          <w:rFonts w:ascii="Calibri" w:cs="Calibri" w:eastAsia="Calibri" w:hAnsi="Calibri"/>
          <w:color w:val="262626"/>
          <w:sz w:val="21"/>
          <w:szCs w:val="21"/>
        </w:rPr>
        <w:t xml:space="preserve">sqlmap was pointed at the saved request file and run with --dbs to confirm the injection and enumerate all databases visible to the current database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60"/>
      </w:tblGrid>
      <w:tr>
        <w:tc>
          <w:tcPr>
            <w:tcW w:type="dxa" w:w="9360"/>
            <w:tcBorders>
              <w:top w:val="single" w:color="D9D9D9" w:sz="4"/>
              <w:left w:val="single" w:color="D9D9D9" w:sz="4"/>
              <w:bottom w:val="single" w:color="D9D9D9" w:sz="4"/>
              <w:right w:val="single" w:color="D9D9D9" w:sz="4"/>
            </w:tcBorders>
            <w:shd w:fill="F5F5F5" w:color="auto" w:val="clear"/>
            <w:tcMar>
              <w:top w:type="dxa" w:w="160"/>
              <w:left w:type="dxa" w:w="220"/>
              <w:bottom w:type="dxa" w:w="160"/>
              <w:right w:type="dxa" w:w="220"/>
            </w:tcMar>
          </w:tcPr>
          <w:p>
            <w:pPr>
              <w:spacing w:after="40"/>
            </w:pPr>
            <w:r>
              <w:rPr>
                <w:rFonts w:ascii="Consolas" w:cs="Consolas" w:eastAsia="Consolas" w:hAnsi="Consolas"/>
                <w:color w:val="1F1F1F"/>
                <w:sz w:val="19"/>
                <w:szCs w:val="19"/>
              </w:rPr>
              <w:t xml:space="preserve">sqlmap -r sqlinjection.txt --dbs --random-agent</w:t>
            </w:r>
          </w:p>
        </w:tc>
      </w:tr>
    </w:tbl>
    <w:p>
      <w:pPr>
        <w:spacing w:after="60" w:before="160"/>
        <w:jc w:val="center"/>
      </w:pPr>
      <w:r>
        <w:drawing>
          <wp:inline distT="0" distB="0" distL="0" distR="0">
            <wp:extent cx="5394960" cy="2103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4960" cy="210312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 sqlmap launched against the saved request, using a randomized User-Agent.</w:t>
      </w:r>
    </w:p>
    <w:p>
      <w:pPr>
        <w:spacing w:after="60" w:before="160"/>
        <w:jc w:val="center"/>
      </w:pPr>
      <w:r>
        <w:drawing>
          <wp:inline distT="0" distB="0" distL="0" distR="0">
            <wp:extent cx="5394960" cy="13533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4960" cy="1353312"/>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 Back-end confirmed as MySQL on Linux/Apache; three databases enumerated, including securecorp.</w:t>
      </w:r>
    </w:p>
    <w:p>
      <w:pPr>
        <w:spacing w:after="160" w:line="280"/>
        <w:jc w:val="both"/>
      </w:pPr>
      <w:r>
        <w:rPr>
          <w:rFonts w:ascii="Calibri" w:cs="Calibri" w:eastAsia="Calibri" w:hAnsi="Calibri"/>
          <w:color w:val="262626"/>
          <w:sz w:val="21"/>
          <w:szCs w:val="21"/>
        </w:rPr>
        <w:t xml:space="preserve">sqlmap fingerprinted the back end as MySQL ≥ 5.6 on a Linux Ubuntu host running Apache 2.4.58, and returned three databases: information_schema, performance_schema, and securecorp — the application’s own database and the clear target for further enumeration.</w:t>
      </w:r>
    </w:p>
    <w:p>
      <w:pPr>
        <w:spacing w:after="120" w:before="260"/>
      </w:pPr>
      <w:r>
        <w:rPr>
          <w:rFonts w:ascii="Cambria" w:cs="Cambria" w:eastAsia="Cambria" w:hAnsi="Cambria"/>
          <w:b/>
          <w:bCs/>
          <w:color w:val="1F1F1F"/>
          <w:sz w:val="24"/>
          <w:szCs w:val="24"/>
        </w:rPr>
        <w:t xml:space="preserve">Step 5 — Enumerating Tables in securecorp</w:t>
      </w:r>
    </w:p>
    <w:p>
      <w:pPr>
        <w:spacing w:after="160" w:line="280"/>
        <w:jc w:val="both"/>
      </w:pPr>
      <w:r>
        <w:rPr>
          <w:rFonts w:ascii="Calibri" w:cs="Calibri" w:eastAsia="Calibri" w:hAnsi="Calibri"/>
          <w:color w:val="262626"/>
          <w:sz w:val="21"/>
          <w:szCs w:val="21"/>
        </w:rPr>
        <w:t xml:space="preserve">With the target database identified, sqlmap was re-run against the same injection point to list its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60"/>
      </w:tblGrid>
      <w:tr>
        <w:tc>
          <w:tcPr>
            <w:tcW w:type="dxa" w:w="9360"/>
            <w:tcBorders>
              <w:top w:val="single" w:color="D9D9D9" w:sz="4"/>
              <w:left w:val="single" w:color="D9D9D9" w:sz="4"/>
              <w:bottom w:val="single" w:color="D9D9D9" w:sz="4"/>
              <w:right w:val="single" w:color="D9D9D9" w:sz="4"/>
            </w:tcBorders>
            <w:shd w:fill="F5F5F5" w:color="auto" w:val="clear"/>
            <w:tcMar>
              <w:top w:type="dxa" w:w="160"/>
              <w:left w:type="dxa" w:w="220"/>
              <w:bottom w:type="dxa" w:w="160"/>
              <w:right w:type="dxa" w:w="220"/>
            </w:tcMar>
          </w:tcPr>
          <w:p>
            <w:pPr>
              <w:spacing w:after="40"/>
            </w:pPr>
            <w:r>
              <w:rPr>
                <w:rFonts w:ascii="Consolas" w:cs="Consolas" w:eastAsia="Consolas" w:hAnsi="Consolas"/>
                <w:color w:val="1F1F1F"/>
                <w:sz w:val="19"/>
                <w:szCs w:val="19"/>
              </w:rPr>
              <w:t xml:space="preserve">sqlmap -r sqlinjection.txt -D securecorp --tables --random-agent</w:t>
            </w:r>
          </w:p>
        </w:tc>
      </w:tr>
    </w:tbl>
    <w:p>
      <w:pPr>
        <w:spacing w:after="60" w:before="160"/>
        <w:jc w:val="center"/>
      </w:pPr>
      <w:r>
        <w:drawing>
          <wp:inline distT="0" distB="0" distL="0" distR="0">
            <wp:extent cx="5394960" cy="25328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4960" cy="2532888"/>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 sqlmap resuming the stored injection session against the securecorp database.</w:t>
      </w:r>
    </w:p>
    <w:p>
      <w:pPr>
        <w:spacing w:after="60" w:before="160"/>
        <w:jc w:val="center"/>
      </w:pPr>
      <w:r>
        <w:drawing>
          <wp:inline distT="0" distB="0" distL="0" distR="0">
            <wp:extent cx="5394960" cy="16093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4960" cy="1609344"/>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 — Two tables recovered: secret_flags and users. secret_flags is the clear target for the task flag.</w:t>
      </w:r>
    </w:p>
    <w:p>
      <w:pPr>
        <w:spacing w:after="120" w:before="260"/>
      </w:pPr>
      <w:r>
        <w:rPr>
          <w:rFonts w:ascii="Cambria" w:cs="Cambria" w:eastAsia="Cambria" w:hAnsi="Cambria"/>
          <w:b/>
          <w:bCs/>
          <w:color w:val="1F1F1F"/>
          <w:sz w:val="24"/>
          <w:szCs w:val="24"/>
        </w:rPr>
        <w:t xml:space="preserve">Step 6 — Dumping the secret_flags Table</w:t>
      </w:r>
    </w:p>
    <w:p>
      <w:pPr>
        <w:spacing w:after="160" w:line="280"/>
        <w:jc w:val="both"/>
      </w:pPr>
      <w:r>
        <w:rPr>
          <w:rFonts w:ascii="Calibri" w:cs="Calibri" w:eastAsia="Calibri" w:hAnsi="Calibri"/>
          <w:color w:val="262626"/>
          <w:sz w:val="21"/>
          <w:szCs w:val="21"/>
        </w:rPr>
        <w:t xml:space="preserve">The secret_flags table was dumped in full using sqlmap’s -T and --dump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60"/>
      </w:tblGrid>
      <w:tr>
        <w:tc>
          <w:tcPr>
            <w:tcW w:type="dxa" w:w="9360"/>
            <w:tcBorders>
              <w:top w:val="single" w:color="D9D9D9" w:sz="4"/>
              <w:left w:val="single" w:color="D9D9D9" w:sz="4"/>
              <w:bottom w:val="single" w:color="D9D9D9" w:sz="4"/>
              <w:right w:val="single" w:color="D9D9D9" w:sz="4"/>
            </w:tcBorders>
            <w:shd w:fill="F5F5F5" w:color="auto" w:val="clear"/>
            <w:tcMar>
              <w:top w:type="dxa" w:w="160"/>
              <w:left w:type="dxa" w:w="220"/>
              <w:bottom w:type="dxa" w:w="160"/>
              <w:right w:type="dxa" w:w="220"/>
            </w:tcMar>
          </w:tcPr>
          <w:p>
            <w:pPr>
              <w:spacing w:after="40"/>
            </w:pPr>
            <w:r>
              <w:rPr>
                <w:rFonts w:ascii="Consolas" w:cs="Consolas" w:eastAsia="Consolas" w:hAnsi="Consolas"/>
                <w:color w:val="1F1F1F"/>
                <w:sz w:val="19"/>
                <w:szCs w:val="19"/>
              </w:rPr>
              <w:t xml:space="preserve">sqlmap -r sqlinjection.txt -D securecorp -T secret_flags --dump --random-agent</w:t>
            </w:r>
          </w:p>
        </w:tc>
      </w:tr>
    </w:tbl>
    <w:p>
      <w:pPr>
        <w:spacing w:after="60" w:before="160"/>
        <w:jc w:val="center"/>
      </w:pPr>
      <w:r>
        <w:drawing>
          <wp:inline distT="0" distB="0" distL="0" distR="0">
            <wp:extent cx="5394960" cy="23591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4960" cy="2359152"/>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9 — sqlmap dumping secret_flags, resuming the previously fingerprinted injection point.</w:t>
      </w:r>
    </w:p>
    <w:p>
      <w:pPr>
        <w:spacing w:after="60" w:before="160"/>
        <w:jc w:val="center"/>
      </w:pPr>
      <w:r>
        <w:drawing>
          <wp:inline distT="0" distB="0" distL="0" distR="0">
            <wp:extent cx="539496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4960" cy="3429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10 — Dumped contents of secret_flags: a single row containing the task flag in the flag_hash column.</w:t>
      </w:r>
    </w:p>
    <w:p>
      <w:pPr>
        <w:spacing w:after="160" w:line="280"/>
        <w:jc w:val="both"/>
      </w:pPr>
      <w:r>
        <w:rPr>
          <w:rFonts w:ascii="Calibri" w:cs="Calibri" w:eastAsia="Calibri" w:hAnsi="Calibri"/>
          <w:color w:val="262626"/>
          <w:sz w:val="21"/>
          <w:szCs w:val="21"/>
        </w:rPr>
        <w:t xml:space="preserve">The dump returned one row from secret_flags, containing an id, a flag_name of ROOT_ACCESS_FLAG, and a flag_hash value of Flag{SQLI_EXFILTRATION_SUCCESSFUL} — the objective flag for this task.</w:t>
      </w:r>
    </w:p>
    <w:p>
      <w:pPr>
        <w:spacing w:after="120" w:before="260"/>
      </w:pPr>
      <w:r>
        <w:rPr>
          <w:rFonts w:ascii="Cambria" w:cs="Cambria" w:eastAsia="Cambria" w:hAnsi="Cambria"/>
          <w:b/>
          <w:bCs/>
          <w:color w:val="1F1F1F"/>
          <w:sz w:val="24"/>
          <w:szCs w:val="24"/>
        </w:rPr>
        <w:t xml:space="preserve">Step 7 — Flag Submission &amp; Validation</w:t>
      </w:r>
    </w:p>
    <w:p>
      <w:pPr>
        <w:spacing w:after="60" w:before="160"/>
        <w:jc w:val="center"/>
      </w:pPr>
      <w:r>
        <w:drawing>
          <wp:inline distT="0" distB="0" distL="0" distR="0">
            <wp:extent cx="5394960" cy="4206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4960" cy="420624"/>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 — Flag{SQLI_EXFILTRATION_SUCCESSFUL} submitted and accepted as the correct answer on TryHackMe.</w:t>
      </w:r>
    </w:p>
    <w:p>
      <w:pPr>
        <w:pBdr>
          <w:bottom w:val="single" w:color="D9D9D9" w:sz="4" w:space="6"/>
        </w:pBdr>
        <w:spacing w:after="160" w:before="380"/>
      </w:pPr>
      <w:r>
        <w:rPr>
          <w:rFonts w:ascii="Cambria" w:cs="Cambria" w:eastAsia="Cambria" w:hAnsi="Cambria"/>
          <w:b/>
          <w:bCs/>
          <w:color w:val="8C1D2B"/>
          <w:sz w:val="30"/>
          <w:szCs w:val="30"/>
        </w:rPr>
        <w:t xml:space="preserve">Vulnerability Analysis</w:t>
      </w:r>
    </w:p>
    <w:tbl>
      <w:tblPr>
        <w:tblW w:type="dxa" w:w="9360"/>
        <w:tblBorders>
          <w:top w:val="single" w:color="D9D9D9" w:sz="4"/>
          <w:left w:val="single" w:color="D9D9D9" w:sz="4"/>
          <w:bottom w:val="single" w:color="D9D9D9" w:sz="4"/>
          <w:right w:val="single" w:color="D9D9D9" w:sz="4"/>
          <w:insideH w:val="single" w:color="D9D9D9" w:sz="4"/>
          <w:insideV w:val="none" w:color="FFFFFF" w:sz="0"/>
        </w:tblBorders>
      </w:tblPr>
      <w:tblGrid>
        <w:gridCol w:w="2505"/>
        <w:gridCol w:w="6854"/>
      </w:tblGrid>
      <w:tr>
        <w:tc>
          <w:tcPr>
            <w:tcW w:type="dxa" w:w="2505"/>
            <w:shd w:fill="F7EDEE"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Vulnerability</w:t>
            </w:r>
          </w:p>
        </w:tc>
        <w:tc>
          <w:tcPr>
            <w:tcW w:type="dxa" w:w="6854"/>
            <w:tcMar>
              <w:top w:type="dxa" w:w="110"/>
              <w:left w:type="dxa" w:w="180"/>
              <w:bottom w:type="dxa" w:w="110"/>
              <w:right w:type="dxa" w:w="120"/>
            </w:tcMar>
            <w:vAlign w:val="center"/>
          </w:tcPr>
          <w:p>
            <w:r>
              <w:rPr>
                <w:rFonts w:ascii="Calibri" w:cs="Calibri" w:eastAsia="Calibri" w:hAnsi="Calibri"/>
                <w:color w:val="262626"/>
                <w:sz w:val="20"/>
                <w:szCs w:val="20"/>
              </w:rPr>
              <w:t xml:space="preserve">SQL Injection — unsanitized user input concatenated directly into a back-end SQL query</w:t>
            </w:r>
          </w:p>
        </w:tc>
      </w:tr>
      <w:tr>
        <w:tc>
          <w:tcPr>
            <w:tcW w:type="dxa" w:w="2505"/>
            <w:shd w:fill="FBF6F6"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OWASP Category</w:t>
            </w:r>
          </w:p>
        </w:tc>
        <w:tc>
          <w:tcPr>
            <w:tcW w:type="dxa" w:w="6854"/>
            <w:tcMar>
              <w:top w:type="dxa" w:w="110"/>
              <w:left w:type="dxa" w:w="180"/>
              <w:bottom w:type="dxa" w:w="110"/>
              <w:right w:type="dxa" w:w="120"/>
            </w:tcMar>
            <w:vAlign w:val="center"/>
          </w:tcPr>
          <w:p>
            <w:r>
              <w:rPr>
                <w:rFonts w:ascii="Calibri" w:cs="Calibri" w:eastAsia="Calibri" w:hAnsi="Calibri"/>
                <w:color w:val="262626"/>
                <w:sz w:val="20"/>
                <w:szCs w:val="20"/>
              </w:rPr>
              <w:t xml:space="preserve">A03:2021 — Injection</w:t>
            </w:r>
          </w:p>
        </w:tc>
      </w:tr>
      <w:tr>
        <w:tc>
          <w:tcPr>
            <w:tcW w:type="dxa" w:w="2505"/>
            <w:shd w:fill="F7EDEE"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Weakness (CWE)</w:t>
            </w:r>
          </w:p>
        </w:tc>
        <w:tc>
          <w:tcPr>
            <w:tcW w:type="dxa" w:w="6854"/>
            <w:tcMar>
              <w:top w:type="dxa" w:w="110"/>
              <w:left w:type="dxa" w:w="180"/>
              <w:bottom w:type="dxa" w:w="110"/>
              <w:right w:type="dxa" w:w="120"/>
            </w:tcMar>
            <w:vAlign w:val="center"/>
          </w:tcPr>
          <w:p>
            <w:r>
              <w:rPr>
                <w:rFonts w:ascii="Calibri" w:cs="Calibri" w:eastAsia="Calibri" w:hAnsi="Calibri"/>
                <w:color w:val="262626"/>
                <w:sz w:val="20"/>
                <w:szCs w:val="20"/>
              </w:rPr>
              <w:t xml:space="preserve">CWE-89: Improper Neutralization of Special Elements used in an SQL Command</w:t>
            </w:r>
          </w:p>
        </w:tc>
      </w:tr>
      <w:tr>
        <w:tc>
          <w:tcPr>
            <w:tcW w:type="dxa" w:w="2505"/>
            <w:shd w:fill="FBF6F6" w:color="auto" w:val="clear"/>
            <w:tcMar>
              <w:top w:type="dxa" w:w="110"/>
              <w:left w:type="dxa" w:w="180"/>
              <w:bottom w:type="dxa" w:w="110"/>
              <w:right w:type="dxa" w:w="120"/>
            </w:tcMar>
            <w:vAlign w:val="center"/>
          </w:tcPr>
          <w:p>
            <w:r>
              <w:rPr>
                <w:rFonts w:ascii="Calibri" w:cs="Calibri" w:eastAsia="Calibri" w:hAnsi="Calibri"/>
                <w:b/>
                <w:bCs/>
                <w:color w:val="8C1D2B"/>
                <w:sz w:val="20"/>
                <w:szCs w:val="20"/>
              </w:rPr>
              <w:t xml:space="preserve">Severity</w:t>
            </w:r>
          </w:p>
        </w:tc>
        <w:tc>
          <w:tcPr>
            <w:tcW w:type="dxa" w:w="6854"/>
            <w:tcMar>
              <w:top w:type="dxa" w:w="110"/>
              <w:left w:type="dxa" w:w="180"/>
              <w:bottom w:type="dxa" w:w="110"/>
              <w:right w:type="dxa" w:w="120"/>
            </w:tcMar>
            <w:vAlign w:val="center"/>
          </w:tcPr>
          <w:p>
            <w:r>
              <w:rPr>
                <w:rFonts w:ascii="Calibri" w:cs="Calibri" w:eastAsia="Calibri" w:hAnsi="Calibri"/>
                <w:color w:val="262626"/>
                <w:sz w:val="20"/>
                <w:szCs w:val="20"/>
              </w:rPr>
              <w:t xml:space="preserve">Critical — full database read access via automated exploitation, no authentication of the DB layer required beyond a low-privilege app session</w:t>
            </w:r>
          </w:p>
        </w:tc>
      </w:tr>
    </w:tbl>
    <w:p>
      <w:pPr>
        <w:spacing w:after="160" w:line="280"/>
        <w:jc w:val="both"/>
      </w:pPr>
      <w:r>
        <w:rPr>
          <w:rFonts w:ascii="Calibri" w:cs="Calibri" w:eastAsia="Calibri" w:hAnsi="Calibri"/>
          <w:color w:val="262626"/>
          <w:sz w:val="21"/>
          <w:szCs w:val="21"/>
        </w:rPr>
        <w:t xml:space="preserve">The root cause is that search.php passes the q parameter into a SQL query without parameterization, input validation, or output encoding. Because the query string is interpreted as executable SQL rather than as inert data, an attacker-controlled value can alter the query’s logic — enabling boolean-, error-, or UNION-based extraction of arbitrary data from any database and table the application’s database user can read, entirely independent of the role enforced at the application layer.</w:t>
      </w:r>
    </w:p>
    <w:p>
      <w:pPr>
        <w:pBdr>
          <w:bottom w:val="single" w:color="D9D9D9" w:sz="4" w:space="6"/>
        </w:pBdr>
        <w:spacing w:after="160" w:before="380"/>
      </w:pPr>
      <w:r>
        <w:rPr>
          <w:rFonts w:ascii="Cambria" w:cs="Cambria" w:eastAsia="Cambria" w:hAnsi="Cambria"/>
          <w:b/>
          <w:bCs/>
          <w:color w:val="8C1D2B"/>
          <w:sz w:val="30"/>
          <w:szCs w:val="30"/>
        </w:rPr>
        <w:t xml:space="preserve">Impact</w:t>
      </w:r>
    </w:p>
    <w:p>
      <w:pPr>
        <w:pStyle w:val="ListParagraph"/>
        <w:numPr>
          <w:ilvl w:val="0"/>
          <w:numId w:val="1"/>
        </w:numPr>
        <w:spacing w:after="90" w:line="270"/>
      </w:pPr>
      <w:r>
        <w:rPr>
          <w:rFonts w:ascii="Calibri" w:cs="Calibri" w:eastAsia="Calibri" w:hAnsi="Calibri"/>
          <w:color w:val="262626"/>
          <w:sz w:val="21"/>
          <w:szCs w:val="21"/>
        </w:rPr>
        <w:t xml:space="preserve">Full read access to the securecorp database, including a dedicated secret_flags table never exposed through any legitimate application feature.</w:t>
      </w:r>
    </w:p>
    <w:p>
      <w:pPr>
        <w:pStyle w:val="ListParagraph"/>
        <w:numPr>
          <w:ilvl w:val="0"/>
          <w:numId w:val="1"/>
        </w:numPr>
        <w:spacing w:after="90" w:line="270"/>
      </w:pPr>
      <w:r>
        <w:rPr>
          <w:rFonts w:ascii="Calibri" w:cs="Calibri" w:eastAsia="Calibri" w:hAnsi="Calibri"/>
          <w:color w:val="262626"/>
          <w:sz w:val="21"/>
          <w:szCs w:val="21"/>
        </w:rPr>
        <w:t xml:space="preserve">Automated, low-effort exploitation — a single marked request file and three sqlmap commands were sufficient to enumerate databases, tables, and dump table contents end-to-end.</w:t>
      </w:r>
    </w:p>
    <w:p>
      <w:pPr>
        <w:pStyle w:val="ListParagraph"/>
        <w:numPr>
          <w:ilvl w:val="0"/>
          <w:numId w:val="1"/>
        </w:numPr>
        <w:spacing w:after="90" w:line="270"/>
      </w:pPr>
      <w:r>
        <w:rPr>
          <w:rFonts w:ascii="Calibri" w:cs="Calibri" w:eastAsia="Calibri" w:hAnsi="Calibri"/>
          <w:color w:val="262626"/>
          <w:sz w:val="21"/>
          <w:szCs w:val="21"/>
        </w:rPr>
        <w:t xml:space="preserve">The same injection point would equally allow enumeration of the users table, and depending on the database account’s privileges, could extend to reading arbitrary files or other databases on the host.</w:t>
      </w:r>
    </w:p>
    <w:p>
      <w:pPr>
        <w:pStyle w:val="ListParagraph"/>
        <w:numPr>
          <w:ilvl w:val="0"/>
          <w:numId w:val="1"/>
        </w:numPr>
        <w:spacing w:after="90" w:line="270"/>
      </w:pPr>
      <w:r>
        <w:rPr>
          <w:rFonts w:ascii="Calibri" w:cs="Calibri" w:eastAsia="Calibri" w:hAnsi="Calibri"/>
          <w:color w:val="262626"/>
          <w:sz w:val="21"/>
          <w:szCs w:val="21"/>
        </w:rPr>
        <w:t xml:space="preserve">Because the flaw sits at the data layer, it bypasses any application-level authorization checks (e.g. role cookies) entirely — a low-privileged employee session was sufficient to reach data with no corresponding UI exposure.</w:t>
      </w:r>
    </w:p>
    <w:p>
      <w:pPr>
        <w:pBdr>
          <w:bottom w:val="single" w:color="D9D9D9" w:sz="4" w:space="6"/>
        </w:pBdr>
        <w:spacing w:after="160" w:before="380"/>
      </w:pPr>
      <w:r>
        <w:rPr>
          <w:rFonts w:ascii="Cambria" w:cs="Cambria" w:eastAsia="Cambria" w:hAnsi="Cambria"/>
          <w:b/>
          <w:bCs/>
          <w:color w:val="8C1D2B"/>
          <w:sz w:val="30"/>
          <w:szCs w:val="30"/>
        </w:rPr>
        <w:t xml:space="preserve">Remediation Recommendations</w:t>
      </w:r>
    </w:p>
    <w:p>
      <w:pPr>
        <w:pStyle w:val="ListParagraph"/>
        <w:numPr>
          <w:ilvl w:val="0"/>
          <w:numId w:val="1"/>
        </w:numPr>
        <w:spacing w:after="90" w:line="270"/>
      </w:pPr>
      <w:r>
        <w:rPr>
          <w:rFonts w:ascii="Calibri" w:cs="Calibri" w:eastAsia="Calibri" w:hAnsi="Calibri"/>
          <w:color w:val="262626"/>
          <w:sz w:val="21"/>
          <w:szCs w:val="21"/>
        </w:rPr>
        <w:t xml:space="preserve">Use parameterized queries / prepared statements (or a vetted ORM) for every database call that incorporates user input — never build SQL via string concatenation.</w:t>
      </w:r>
    </w:p>
    <w:p>
      <w:pPr>
        <w:pStyle w:val="ListParagraph"/>
        <w:numPr>
          <w:ilvl w:val="0"/>
          <w:numId w:val="1"/>
        </w:numPr>
        <w:spacing w:after="90" w:line="270"/>
      </w:pPr>
      <w:r>
        <w:rPr>
          <w:rFonts w:ascii="Calibri" w:cs="Calibri" w:eastAsia="Calibri" w:hAnsi="Calibri"/>
          <w:color w:val="262626"/>
          <w:sz w:val="21"/>
          <w:szCs w:val="21"/>
        </w:rPr>
        <w:t xml:space="preserve">Apply strict server-side input validation on the search parameter (expected character set, length limits) as defense in depth, not as the primary control.</w:t>
      </w:r>
    </w:p>
    <w:p>
      <w:pPr>
        <w:pStyle w:val="ListParagraph"/>
        <w:numPr>
          <w:ilvl w:val="0"/>
          <w:numId w:val="1"/>
        </w:numPr>
        <w:spacing w:after="90" w:line="270"/>
      </w:pPr>
      <w:r>
        <w:rPr>
          <w:rFonts w:ascii="Calibri" w:cs="Calibri" w:eastAsia="Calibri" w:hAnsi="Calibri"/>
          <w:color w:val="262626"/>
          <w:sz w:val="21"/>
          <w:szCs w:val="21"/>
        </w:rPr>
        <w:t xml:space="preserve">Run the application’s database account under the principle of least privilege, so even a successful injection cannot read tables unrelated to the feature being served.</w:t>
      </w:r>
    </w:p>
    <w:p>
      <w:pPr>
        <w:pStyle w:val="ListParagraph"/>
        <w:numPr>
          <w:ilvl w:val="0"/>
          <w:numId w:val="1"/>
        </w:numPr>
        <w:spacing w:after="90" w:line="270"/>
      </w:pPr>
      <w:r>
        <w:rPr>
          <w:rFonts w:ascii="Calibri" w:cs="Calibri" w:eastAsia="Calibri" w:hAnsi="Calibri"/>
          <w:color w:val="262626"/>
          <w:sz w:val="21"/>
          <w:szCs w:val="21"/>
        </w:rPr>
        <w:t xml:space="preserve">Remove or strictly limit verbose SQL error output returned to the client, which materially speeds up error-based and blind injection techniques.</w:t>
      </w:r>
    </w:p>
    <w:p>
      <w:pPr>
        <w:pStyle w:val="ListParagraph"/>
        <w:numPr>
          <w:ilvl w:val="0"/>
          <w:numId w:val="1"/>
        </w:numPr>
        <w:spacing w:after="90" w:line="270"/>
      </w:pPr>
      <w:r>
        <w:rPr>
          <w:rFonts w:ascii="Calibri" w:cs="Calibri" w:eastAsia="Calibri" w:hAnsi="Calibri"/>
          <w:color w:val="262626"/>
          <w:sz w:val="21"/>
          <w:szCs w:val="21"/>
        </w:rPr>
        <w:t xml:space="preserve">Add a web application firewall (WAF) rule set as a compensating control while the underlying query layer is remediated, and monitor for sqlmap-characteristic request patterns.</w:t>
      </w:r>
    </w:p>
    <w:p>
      <w:pPr>
        <w:pStyle w:val="ListParagraph"/>
        <w:numPr>
          <w:ilvl w:val="0"/>
          <w:numId w:val="1"/>
        </w:numPr>
        <w:spacing w:after="90" w:line="270"/>
      </w:pPr>
      <w:r>
        <w:rPr>
          <w:rFonts w:ascii="Calibri" w:cs="Calibri" w:eastAsia="Calibri" w:hAnsi="Calibri"/>
          <w:color w:val="262626"/>
          <w:sz w:val="21"/>
          <w:szCs w:val="21"/>
        </w:rPr>
        <w:t xml:space="preserve">Extend automated security testing (e.g. sqlmap, Burp Scanner) to every user-input endpoint as part of the CI/CD pipeline to catch regressions.</w:t>
      </w:r>
    </w:p>
    <w:p>
      <w:pPr>
        <w:pBdr>
          <w:bottom w:val="single" w:color="D9D9D9" w:sz="4" w:space="6"/>
        </w:pBdr>
        <w:spacing w:after="160" w:before="380"/>
      </w:pPr>
      <w:r>
        <w:rPr>
          <w:rFonts w:ascii="Cambria" w:cs="Cambria" w:eastAsia="Cambria" w:hAnsi="Cambria"/>
          <w:b/>
          <w:bCs/>
          <w:color w:val="8C1D2B"/>
          <w:sz w:val="30"/>
          <w:szCs w:val="30"/>
        </w:rPr>
        <w:t xml:space="preserve">Conclusion</w:t>
      </w:r>
    </w:p>
    <w:p>
      <w:pPr>
        <w:spacing w:after="160" w:line="280"/>
        <w:jc w:val="both"/>
      </w:pPr>
      <w:r>
        <w:rPr>
          <w:rFonts w:ascii="Calibri" w:cs="Calibri" w:eastAsia="Calibri" w:hAnsi="Calibri"/>
          <w:color w:val="262626"/>
          <w:sz w:val="21"/>
          <w:szCs w:val="21"/>
        </w:rPr>
        <w:t xml:space="preserve">This task demonstrates a textbook SQL Injection vulnerability (OWASP A03:2021): user-supplied input reaching a back-end SQL query without sanitization or parameterization. Marking the injection point in Burp Suite and driving exploitation through sqlmap was sufficient to fingerprint the database, enumerate its schema, and exfiltrate a protected table end-to-end, retrieving Flag{SQLI_EXFILTRATION_SUCCESSFUL}. The exercise reinforces a core secure-coding principle: user input must never be treated as trusted, executable code, and query construction must be handled through parameterization at every layer of the application.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1D2B" w:sz="8"/>
              <w:left w:val="single" w:color="8C1D2B" w:sz="8"/>
              <w:bottom w:val="single" w:color="8C1D2B" w:sz="8"/>
              <w:right w:val="single" w:color="8C1D2B" w:sz="8"/>
            </w:tcBorders>
            <w:shd w:fill="FBEAEA" w:color="auto" w:val="clear"/>
            <w:tcMar>
              <w:top w:type="dxa" w:w="180"/>
              <w:left w:type="dxa" w:w="200"/>
              <w:bottom w:type="dxa" w:w="180"/>
              <w:right w:type="dxa" w:w="200"/>
            </w:tcMar>
          </w:tcPr>
          <w:p>
            <w:pPr>
              <w:jc w:val="center"/>
            </w:pPr>
            <w:r>
              <w:rPr>
                <w:rFonts w:ascii="Calibri" w:cs="Calibri" w:eastAsia="Calibri" w:hAnsi="Calibri"/>
                <w:b/>
                <w:bCs/>
                <w:caps/>
                <w:color w:val="8C1D2B"/>
                <w:sz w:val="18"/>
                <w:szCs w:val="18"/>
              </w:rPr>
              <w:t xml:space="preserve">FLAG CAPTURED</w:t>
            </w:r>
          </w:p>
          <w:p>
            <w:pPr>
              <w:spacing w:before="90"/>
              <w:jc w:val="center"/>
            </w:pPr>
            <w:r>
              <w:rPr>
                <w:rFonts w:ascii="Consolas" w:cs="Consolas" w:eastAsia="Consolas" w:hAnsi="Consolas"/>
                <w:b/>
                <w:bCs/>
                <w:color w:val="1F1F1F"/>
                <w:sz w:val="32"/>
                <w:szCs w:val="32"/>
              </w:rPr>
              <w:t xml:space="preserve">Flag{SQLI_EXFILTRATION_SUCCESSFUL}</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8A8A8A"/>
        <w:sz w:val="16"/>
        <w:szCs w:val="16"/>
      </w:rPr>
      <w:t xml:space="preserve">Task 11 — SQL Injection  |  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39892ff8e54d0eb46821b919bc456112cf1159.png"/><Relationship Id="rId9" Type="http://schemas.openxmlformats.org/officeDocument/2006/relationships/image" Target="media/24bc8bda79c107d3cdcdccfa0753e882afd5dbbf.png"/><Relationship Id="rId10" Type="http://schemas.openxmlformats.org/officeDocument/2006/relationships/image" Target="media/c89bd60e7e8d32ac983e87998cc0e026ae39da6b.png"/><Relationship Id="rId11" Type="http://schemas.openxmlformats.org/officeDocument/2006/relationships/image" Target="media/2923a700fc7ae37a2cf2ffa61f441c3e65fa819e.png"/><Relationship Id="rId12" Type="http://schemas.openxmlformats.org/officeDocument/2006/relationships/image" Target="media/498d66c5e346d2919c7bc5eaf9bcc087bc674640.png"/><Relationship Id="rId13" Type="http://schemas.openxmlformats.org/officeDocument/2006/relationships/image" Target="media/b5cedb8ee74420200856fc95cdf47d3935696186.png"/><Relationship Id="rId14" Type="http://schemas.openxmlformats.org/officeDocument/2006/relationships/image" Target="media/515a0b863c636ea7cc33e361f8732ace1251f1a5.png"/><Relationship Id="rId15" Type="http://schemas.openxmlformats.org/officeDocument/2006/relationships/image" Target="media/181465b221fbab7b13db8b9ab0bc9a1336fdd7c1.png"/><Relationship Id="rId16" Type="http://schemas.openxmlformats.org/officeDocument/2006/relationships/image" Target="media/5f9bae847aa46099c0266ff411e545f7a9cbc970.png"/><Relationship Id="rId17" Type="http://schemas.openxmlformats.org/officeDocument/2006/relationships/image" Target="media/0588954c68f62d1e9cf05ff435714897761845e3.png"/><Relationship Id="rId18" Type="http://schemas.openxmlformats.org/officeDocument/2006/relationships/image" Target="media/fb766501262cb9bd41c607ee9dc3f98a37389d3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2026-08-16T09:42:03.597Z</dcterms:created>
  <dcterms:modified xsi:type="dcterms:W3CDTF">2026-08-16T09:42:03.611Z</dcterms:modified>
</cp:coreProperties>
</file>

<file path=docProps/custom.xml><?xml version="1.0" encoding="utf-8"?>
<Properties xmlns="http://schemas.openxmlformats.org/officeDocument/2006/custom-properties" xmlns:vt="http://schemas.openxmlformats.org/officeDocument/2006/docPropsVTypes"/>
</file>