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pBdr>
          <w:bottom w:val="single" w:color="4A0404" w:sz="24" w:space="1"/>
        </w:pBdr>
        <w:spacing w:after="24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6B0F1A"/>
          <w:sz w:val="18"/>
          <w:szCs w:val="18"/>
        </w:rPr>
        <w:t xml:space="preserve">Vulnerability Assessment &amp; Penetration Testing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4A0404"/>
          <w:sz w:val="72"/>
          <w:szCs w:val="72"/>
        </w:rPr>
        <w:t xml:space="preserve">ADVANCED NMAP</w:t>
      </w:r>
    </w:p>
    <w:p>
      <w:pPr>
        <w:spacing w:after="300"/>
        <w:jc w:val="center"/>
      </w:pPr>
      <w:r>
        <w:rPr>
          <w:rFonts w:ascii="Cambria" w:cs="Cambria" w:eastAsia="Cambria" w:hAnsi="Cambria"/>
          <w:i/>
          <w:iCs/>
          <w:color w:val="5A5A5A"/>
          <w:sz w:val="26"/>
          <w:szCs w:val="26"/>
        </w:rPr>
        <w:t xml:space="preserve">High-Port Reconnaissance &amp; Service Banner Grabbing</w:t>
      </w:r>
    </w:p>
    <w:p>
      <w:pPr>
        <w:pBdr>
          <w:bottom w:val="single" w:color="4A0404" w:sz="24" w:space="1"/>
        </w:pBdr>
        <w:spacing w:after="240"/>
      </w:pPr>
    </w:p>
    <w:p>
      <w:pPr>
        <w:spacing w:after="200" w:before="400"/>
      </w:pPr>
    </w:p>
    <w:tbl>
      <w:tblPr>
        <w:tblW w:type="dxa" w:w="9026"/>
        <w:tblBorders>
          <w:top w:val="single" w:color="D8B9B9" w:sz="4"/>
          <w:left w:val="single" w:color="D8B9B9" w:sz="4"/>
          <w:bottom w:val="single" w:color="D8B9B9" w:sz="4"/>
          <w:right w:val="single" w:color="D8B9B9" w:sz="4"/>
          <w:insideH w:val="single" w:color="D8B9B9" w:sz="4"/>
          <w:insideV w:val="single" w:color="D8B9B9" w:sz="4"/>
        </w:tblBorders>
        <w:tblLayout w:type="fixed"/>
      </w:tblPr>
      <w:tblGrid>
        <w:gridCol w:w="2600"/>
        <w:gridCol w:w="6426"/>
      </w:tblGrid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Advanced Nmap — High-Port Reconnaissance &amp; Banner Grabbing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Farhan Shaikh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Course / Track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TuteDude Cybersecurity Track (TryHackMe)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Room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tryhackme.com/jr/tutedude-cybersec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Target Host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192.168.155.129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Scan Date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16 August 2026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Report Compiled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 August 2026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Status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✅ Confirmed — Flag Captured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0F1A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4A0404"/>
          <w:sz w:val="32"/>
          <w:szCs w:val="32"/>
        </w:rPr>
        <w:t xml:space="preserve">1.  Objective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engagement targets host 192.168.155.129 within the TryHackMe TuteDude Cybersecurity track. The objective is to perform a full-spectrum Nmap reconnaissance sweep, identify every listening TCP service — including non-standard high ports — and recover a flag disclosed through active service banner grabbing.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exercise reinforces a core recon principle: scanning only the default top-1000 ports is not enough. Services (and, in this case, sensitive data) are frequently relocated to unconventional high ports, and only a complete 0–65535 sweep will reveal them.</w:t>
      </w:r>
    </w:p>
    <w:p>
      <w:pPr>
        <w:pStyle w:val="Heading1"/>
        <w:pBdr>
          <w:bottom w:val="single" w:color="6B0F1A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4A0404"/>
          <w:sz w:val="32"/>
          <w:szCs w:val="32"/>
        </w:rPr>
        <w:t xml:space="preserve">2.  Scope &amp; Target Information</w:t>
      </w:r>
    </w:p>
    <w:tbl>
      <w:tblPr>
        <w:tblW w:type="dxa" w:w="9026"/>
        <w:tblBorders>
          <w:top w:val="single" w:color="D8B9B9" w:sz="4"/>
          <w:left w:val="single" w:color="D8B9B9" w:sz="4"/>
          <w:bottom w:val="single" w:color="D8B9B9" w:sz="4"/>
          <w:right w:val="single" w:color="D8B9B9" w:sz="4"/>
          <w:insideH w:val="single" w:color="D8B9B9" w:sz="4"/>
          <w:insideV w:val="single" w:color="D8B9B9" w:sz="4"/>
        </w:tblBorders>
        <w:tblLayout w:type="fixed"/>
      </w:tblPr>
      <w:tblGrid>
        <w:gridCol w:w="2600"/>
        <w:gridCol w:w="6426"/>
      </w:tblGrid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Target Host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192.168.155.129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Attacking Host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Windows attack machine (PowerShell)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Tooling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Nmap 7.99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TryHackMe lab / AttackBox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0F1A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426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In-scope, authorized TryHackMe training lab only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0F1A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4A0404"/>
          <w:sz w:val="32"/>
          <w:szCs w:val="32"/>
        </w:rPr>
        <w:t xml:space="preserve">3.  Methodology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8B1A1A"/>
          <w:sz w:val="25"/>
          <w:szCs w:val="25"/>
        </w:rPr>
        <w:t xml:space="preserve">3.1  Full TCP Port Enumeration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complete sweep of all 65,535 TCP ports was run against the target, skipping host-discovery (the box does not reliably answer ICMP) and using aggressive timing for a responsive lab host:</w:t>
      </w:r>
    </w:p>
    <w:tbl>
      <w:tblPr>
        <w:tblW w:type="dxa" w:w="9026"/>
        <w:tblBorders>
          <w:top w:val="single" w:color="8B1A1A" w:sz="6"/>
          <w:left w:val="single" w:color="8B1A1A" w:sz="6"/>
          <w:bottom w:val="single" w:color="8B1A1A" w:sz="6"/>
          <w:right w:val="single" w:color="8B1A1A" w:sz="6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nmap -Pn -p- -T4 192.168.155.129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Flags used: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-Pn  —  treat host as online, skip ping discovery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-p-  —  scan the full port range (1–65535), not just the default top 1000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-T4  —  aggressive timing template for faster results on a stable lab network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Result: seven open ports were identified, including an unusual high port, 65534/tcp, running an unidentified (“unknown”) service — flagged for deeper inspection.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8B1A1A"/>
          <w:sz w:val="25"/>
          <w:szCs w:val="25"/>
        </w:rPr>
        <w:t xml:space="preserve">3.2  Targeted Service Detection &amp; Banner Grab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Port 65534 was re-scanned with version detection and Nmap's banner NSE script, which connects and records whatever the service prints immediately on connection — a fast way to unmask services that leak data pre-authentication:</w:t>
      </w:r>
    </w:p>
    <w:tbl>
      <w:tblPr>
        <w:tblW w:type="dxa" w:w="9026"/>
        <w:tblBorders>
          <w:top w:val="single" w:color="8B1A1A" w:sz="6"/>
          <w:left w:val="single" w:color="8B1A1A" w:sz="6"/>
          <w:bottom w:val="single" w:color="8B1A1A" w:sz="6"/>
          <w:right w:val="single" w:color="8B1A1A" w:sz="6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nmap -Pn -sV --script=banner -p65534 192.168.155.129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Result: the banner script's probes (GenericLines, HTTPOptions, NULL) each returned the same string — the flag itself — straight from the service response, with no authentication or exploitation required.</w:t>
      </w:r>
    </w:p>
    <w:p>
      <w:pPr>
        <w:pStyle w:val="Heading1"/>
        <w:pBdr>
          <w:bottom w:val="single" w:color="6B0F1A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4A0404"/>
          <w:sz w:val="32"/>
          <w:szCs w:val="32"/>
        </w:rPr>
        <w:t xml:space="preserve">4.  Findings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8B1A1A"/>
          <w:sz w:val="25"/>
          <w:szCs w:val="25"/>
        </w:rPr>
        <w:t xml:space="preserve">4.1  Open Port Summary</w:t>
      </w:r>
    </w:p>
    <w:tbl>
      <w:tblPr>
        <w:tblW w:type="dxa" w:w="9026"/>
        <w:tblBorders>
          <w:top w:val="single" w:color="D8B9B9" w:sz="4"/>
          <w:left w:val="single" w:color="D8B9B9" w:sz="4"/>
          <w:bottom w:val="single" w:color="D8B9B9" w:sz="4"/>
          <w:right w:val="single" w:color="D8B9B9" w:sz="4"/>
          <w:insideH w:val="single" w:color="D8B9B9" w:sz="4"/>
          <w:insideV w:val="single" w:color="D8B9B9" w:sz="4"/>
        </w:tblBorders>
        <w:tblLayout w:type="fixed"/>
      </w:tblPr>
      <w:tblGrid>
        <w:gridCol w:w="2100"/>
        <w:gridCol w:w="1800"/>
        <w:gridCol w:w="5126"/>
      </w:tblGrid>
      <w:tr>
        <w:trPr>
          <w:tblHeader/>
        </w:trPr>
        <w:tc>
          <w:tcPr>
            <w:tcW w:type="dxa" w:w="2100"/>
            <w:shd w:fill="4A040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shd w:fill="4A040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5126"/>
            <w:shd w:fill="4A040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21/tcp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open</w:t>
            </w:r>
          </w:p>
        </w:tc>
        <w:tc>
          <w:tcPr>
            <w:tcW w:type="dxa" w:w="5126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ftp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22/tcp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open</w:t>
            </w:r>
          </w:p>
        </w:tc>
        <w:tc>
          <w:tcPr>
            <w:tcW w:type="dxa" w:w="5126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ssh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80/tcp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open</w:t>
            </w:r>
          </w:p>
        </w:tc>
        <w:tc>
          <w:tcPr>
            <w:tcW w:type="dxa" w:w="5126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139/tcp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open</w:t>
            </w:r>
          </w:p>
        </w:tc>
        <w:tc>
          <w:tcPr>
            <w:tcW w:type="dxa" w:w="5126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netbios-ssn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445/tcp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open</w:t>
            </w:r>
          </w:p>
        </w:tc>
        <w:tc>
          <w:tcPr>
            <w:tcW w:type="dxa" w:w="5126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microsoft-ds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0"/>
                <w:szCs w:val="20"/>
              </w:rPr>
              <w:t xml:space="preserve">8080/tcp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open</w:t>
            </w:r>
          </w:p>
        </w:tc>
        <w:tc>
          <w:tcPr>
            <w:tcW w:type="dxa" w:w="5126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http-proxy</w:t>
            </w:r>
          </w:p>
        </w:tc>
      </w:tr>
      <w:tr>
        <w:tc>
          <w:tcPr>
            <w:tcW w:type="dxa" w:w="2100"/>
            <w:shd w:fill="FBEA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20"/>
                <w:szCs w:val="20"/>
              </w:rPr>
              <w:t xml:space="preserve">65534/tcp</w:t>
            </w:r>
          </w:p>
        </w:tc>
        <w:tc>
          <w:tcPr>
            <w:tcW w:type="dxa" w:w="1800"/>
            <w:shd w:fill="FBEA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open</w:t>
            </w:r>
          </w:p>
        </w:tc>
        <w:tc>
          <w:tcPr>
            <w:tcW w:type="dxa" w:w="5126"/>
            <w:shd w:fill="FBEAE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unknown → flag disclosed via banner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8B1A1A"/>
          <w:sz w:val="25"/>
          <w:szCs w:val="25"/>
        </w:rPr>
        <w:t xml:space="preserve">4.2  Flag Disclosure Analysis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Port 65534 is a randomized, non-standard high port — the kind of placement often mistaken for a security control. In practice it is not: the service still answers unauthenticated probes, and the banner script proved it by returning the flag on first contact, with no credentials, exploit, or handshake needed.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Raw NSE output (transcribed):</w:t>
      </w:r>
    </w:p>
    <w:tbl>
      <w:tblPr>
        <w:tblW w:type="dxa" w:w="9026"/>
        <w:tblBorders>
          <w:top w:val="single" w:color="8B1A1A" w:sz="6"/>
          <w:left w:val="single" w:color="8B1A1A" w:sz="6"/>
          <w:bottom w:val="single" w:color="8B1A1A" w:sz="6"/>
          <w:right w:val="single" w:color="8B1A1A" w:sz="6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4F4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65534/tcp open  unknown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| fingerprint-strings: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|   GenericLines, HTTPOptions, NULL: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|_    FLAG{HIGH_PORT_RECON_SUCCESS}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|_banner: FLAG{HIGH_PORT_RECON_SUCCESS}</w:t>
            </w:r>
          </w:p>
        </w:tc>
      </w:tr>
    </w:tbl>
    <w:p>
      <w:pPr>
        <w:pStyle w:val="Heading1"/>
        <w:pBdr>
          <w:bottom w:val="single" w:color="6B0F1A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4A0404"/>
          <w:sz w:val="32"/>
          <w:szCs w:val="32"/>
        </w:rPr>
        <w:t xml:space="preserve">5.  Evidence</w:t>
      </w:r>
    </w:p>
    <w:p>
      <w:pPr>
        <w:spacing w:after="16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Figure 1 — full 65,535-port sweep locating the non-standard high port.</w:t>
      </w:r>
    </w:p>
    <w:p>
      <w:pPr>
        <w:spacing w:after="100" w:before="120"/>
        <w:jc w:val="center"/>
      </w:pPr>
      <w:r>
        <w:drawing>
          <wp:inline distT="0" distB="0" distL="0" distR="0">
            <wp:extent cx="53340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Figure 1: nmap -Pn -p- -T4 192.168.155.129 — full port sweep, port 65534/tcp discovered.</w:t>
      </w:r>
    </w:p>
    <w:p>
      <w:pPr>
        <w:spacing w:after="16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Figure 2 — targeted banner grab on port 65534, flag visible in terminal output.</w:t>
      </w:r>
    </w:p>
    <w:p>
      <w:pPr>
        <w:spacing w:after="100" w:before="120"/>
        <w:jc w:val="center"/>
      </w:pPr>
      <w:r>
        <w:drawing>
          <wp:inline distT="0" distB="0" distL="0" distR="0">
            <wp:extent cx="5334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Figure 2: nmap -Pn -sV --script=banner -p65534 192.168.155.129 — flag captured via NSE banner script.</w:t>
      </w:r>
    </w:p>
    <w:p>
      <w:pPr>
        <w:spacing w:after="16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Figure 3 — TryHackMe question answered and verified correct.</w:t>
      </w:r>
    </w:p>
    <w:p>
      <w:pPr>
        <w:spacing w:after="100" w:before="120"/>
        <w:jc w:val="center"/>
      </w:pPr>
      <w:r>
        <w:drawing>
          <wp:inline distT="0" distB="0" distL="0" distR="0">
            <wp:extent cx="53340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Figure 3: TryHackMe room — submitted flag confirmed correct.</w:t>
      </w:r>
    </w:p>
    <w:p>
      <w:pPr>
        <w:pStyle w:val="Heading1"/>
        <w:pBdr>
          <w:bottom w:val="single" w:color="6B0F1A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4A0404"/>
          <w:sz w:val="32"/>
          <w:szCs w:val="32"/>
        </w:rPr>
        <w:t xml:space="preserve">6.  Security Observations &amp; Recommendations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Although this was a reconnaissance training exercise, the pattern it demonstrates maps directly onto real information-disclosure findings (CWE-200 — exposure of sensitive information to an unauthorized actor):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Don't rely on high or “random” ports as an obfuscation control — port choice is not authentication. Anything reachable will eventually be found by a full-range scan.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Disable or strip verbose service banners in production; unauthenticated connections should not receive version strings, hostnames, or other identifying data pre-handshake.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Scan the full 65,535-port range on both external and internal hosts during routine audits, not just the default top-1000 — attackers certainly will.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Review the other open services in scope (FTP 21, SMB 445) and disable or firewall any that aren't business-critical to reduce overall attack surface.</w:t>
      </w:r>
    </w:p>
    <w:p>
      <w:pPr>
        <w:pStyle w:val="Heading1"/>
        <w:pBdr>
          <w:bottom w:val="single" w:color="6B0F1A" w:sz="8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4A0404"/>
          <w:sz w:val="32"/>
          <w:szCs w:val="32"/>
        </w:rPr>
        <w:t xml:space="preserve">7.  Conclusion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complete port sweep followed by a targeted banner grab successfully uncovered a service hidden on a non-standard high port and extracted its flag directly from an unauthenticated response — no exploitation needed, only thorough enumeration.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Finding Status: Confirmed — corroborated by live terminal output (Figures 1–2) and a verified correct-answer submission on the TryHackMe platform (Figure 3).</w:t>
      </w:r>
    </w:p>
    <w:p>
      <w:pPr>
        <w:spacing w:after="100" w:before="200"/>
      </w:pPr>
    </w:p>
    <w:tbl>
      <w:tblPr>
        <w:tblW w:type="dxa" w:w="9026"/>
        <w:tblBorders>
          <w:top w:val="single" w:color="4A0404" w:sz="18"/>
          <w:left w:val="single" w:color="4A0404" w:sz="18"/>
          <w:bottom w:val="single" w:color="4A0404" w:sz="18"/>
          <w:right w:val="single" w:color="4A0404" w:sz="18"/>
          <w:insideH w:val="single" w:color="4A0404" w:sz="4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4A0404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FLAG CAPTURED  ✅</w:t>
            </w:r>
          </w:p>
        </w:tc>
      </w:tr>
      <w:tr>
        <w:tc>
          <w:tcPr>
            <w:tcW w:type="dxa" w:w="9026"/>
            <w:shd w:fill="FBEAEA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4A0404"/>
                <w:sz w:val="30"/>
                <w:szCs w:val="30"/>
              </w:rPr>
              <w:t xml:space="preserve">FLAG{HIGH_PORT_RECON_SUCCESS}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B9B9" w:sz="4" w:space="4"/>
      </w:pBdr>
      <w:spacing w:before="100"/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Confidential — Training Use  •  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0F1A" w:sz="6" w:space="4"/>
      </w:pBdr>
      <w:spacing w:after="120"/>
    </w:pPr>
    <w:r>
      <w:rPr>
        <w:rFonts w:ascii="Calibri" w:cs="Calibri" w:eastAsia="Calibri" w:hAnsi="Calibri"/>
        <w:b/>
        <w:bCs/>
        <w:caps/>
        <w:color w:val="6B0F1A"/>
        <w:sz w:val="15"/>
        <w:szCs w:val="15"/>
      </w:rPr>
      <w:t xml:space="preserve">TUTEDUDE CYBERSECURITY — ADVANCED NMAP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89c9dbb7417b931828a333bcf7f55d159961ab.png"/><Relationship Id="rId10" Type="http://schemas.openxmlformats.org/officeDocument/2006/relationships/image" Target="media/3b8b6926919d7c692ff7b9fc24fb24904989c21c.png"/><Relationship Id="rId11" Type="http://schemas.openxmlformats.org/officeDocument/2006/relationships/image" Target="media/c220ef2550dde7b7080384c8fb0b366ca6b883c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2026-08-19T10:53:12.351Z</dcterms:created>
  <dcterms:modified xsi:type="dcterms:W3CDTF">2026-08-19T10:53:12.351Z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