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6"/>
          <w:szCs w:val="36"/>
        </w:rPr>
        <w:t xml:space="preserve">YUAN FANG</w:t>
      </w:r>
    </w:p>
    <w:p>
      <w:pPr>
        <w:spacing w:after="80"/>
        <w:jc w:val="center"/>
      </w:pPr>
      <w:r>
        <w:rPr>
          <w:rFonts w:ascii="Calibri" w:cs="Calibri" w:eastAsia="Calibri" w:hAnsi="Calibri"/>
          <w:color w:val="444444"/>
          <w:sz w:val="18"/>
          <w:szCs w:val="18"/>
        </w:rPr>
        <w:t xml:space="preserve">(+61) 415 216 668  ·  seasand.cocoyan@hotmail.com  ·  Melbourne, VIC 3000</w:t>
      </w:r>
    </w:p>
    <w:p>
      <w:pPr>
        <w:spacing w:after="40" w:before="200"/>
      </w:pPr>
      <w:r>
        <w:rPr>
          <w:rFonts w:ascii="Calibri" w:cs="Calibri" w:eastAsia="Calibri" w:hAnsi="Calibri"/>
          <w:b/>
          <w:bCs/>
          <w:color w:val="1F3864"/>
          <w:sz w:val="22"/>
          <w:szCs w:val="22"/>
        </w:rPr>
        <w:t xml:space="preserve">SUMMARY</w:t>
      </w:r>
    </w:p>
    <w:p>
      <w:pPr>
        <w:pBdr>
          <w:bottom w:val="single" w:color="2E75B6" w:sz="4" w:space="1"/>
        </w:pBdr>
        <w:spacing w:after="100" w:before="0"/>
      </w:pPr>
    </w:p>
    <w:p>
      <w:pPr>
        <w:spacing w:after="80"/>
      </w:pPr>
      <w:r>
        <w:rPr>
          <w:rFonts w:ascii="Calibri" w:cs="Calibri" w:eastAsia="Calibri" w:hAnsi="Calibri"/>
          <w:color w:val="222222"/>
          <w:sz w:val="20"/>
          <w:szCs w:val="20"/>
        </w:rPr>
        <w:t xml:space="preserve">A UNSW-qualified Landscape Architect with 9+ years of demonstrated experience leading open space, public realm and urban design projects across Australia and Asia. Proven leadership in coordinating multi-disciplinary consultant teams, managing procurement and project briefs, and engaging councils, government agencies and communities across concurrent capital works portfolios. Experienced in contributing to open space strategies, masterplans and community infrastructure planning, with a track record of delivering outcomes from concept through to construction handover.</w:t>
      </w:r>
    </w:p>
    <w:p>
      <w:pPr>
        <w:spacing w:after="40" w:before="200"/>
      </w:pPr>
      <w:r>
        <w:rPr>
          <w:rFonts w:ascii="Calibri" w:cs="Calibri" w:eastAsia="Calibri" w:hAnsi="Calibri"/>
          <w:b/>
          <w:bCs/>
          <w:color w:val="1F3864"/>
          <w:sz w:val="22"/>
          <w:szCs w:val="22"/>
        </w:rPr>
        <w:t xml:space="preserve">EDUCATION</w:t>
      </w:r>
    </w:p>
    <w:p>
      <w:pPr>
        <w:pBdr>
          <w:bottom w:val="single" w:color="2E75B6" w:sz="4" w:space="1"/>
        </w:pBdr>
        <w:spacing w:after="100" w:before="0"/>
      </w:pPr>
    </w:p>
    <w:p>
      <w:pPr>
        <w:spacing w:after="60"/>
      </w:pPr>
      <w:r>
        <w:rPr>
          <w:rFonts w:ascii="Calibri" w:cs="Calibri" w:eastAsia="Calibri" w:hAnsi="Calibri"/>
          <w:b/>
          <w:bCs/>
          <w:color w:val="222222"/>
          <w:sz w:val="20"/>
          <w:szCs w:val="20"/>
        </w:rPr>
        <w:t xml:space="preserve">Bachelor of Landscape Architecture</w:t>
      </w:r>
      <w:r>
        <w:rPr>
          <w:rFonts w:ascii="Calibri" w:cs="Calibri" w:eastAsia="Calibri" w:hAnsi="Calibri"/>
          <w:color w:val="444444"/>
          <w:sz w:val="20"/>
          <w:szCs w:val="20"/>
        </w:rPr>
        <w:t xml:space="preserve">  ·  University of New South Wales</w:t>
      </w:r>
    </w:p>
    <w:p>
      <w:pPr>
        <w:spacing w:after="40" w:before="200"/>
      </w:pPr>
      <w:r>
        <w:rPr>
          <w:rFonts w:ascii="Calibri" w:cs="Calibri" w:eastAsia="Calibri" w:hAnsi="Calibri"/>
          <w:b/>
          <w:bCs/>
          <w:color w:val="1F3864"/>
          <w:sz w:val="22"/>
          <w:szCs w:val="22"/>
        </w:rPr>
        <w:t xml:space="preserve">WORK EXPERIENCE</w:t>
      </w:r>
    </w:p>
    <w:p>
      <w:pPr>
        <w:pBdr>
          <w:bottom w:val="single" w:color="2E75B6" w:sz="4" w:space="1"/>
        </w:pBdr>
        <w:spacing w:after="100" w:before="0"/>
      </w:pPr>
    </w:p>
    <w:p>
      <w:pPr>
        <w:spacing w:after="40" w:before="100"/>
      </w:pPr>
      <w:r>
        <w:rPr>
          <w:rFonts w:ascii="Calibri" w:cs="Calibri" w:eastAsia="Calibri" w:hAnsi="Calibri"/>
          <w:b/>
          <w:bCs/>
          <w:color w:val="1F3864"/>
          <w:sz w:val="20"/>
          <w:szCs w:val="20"/>
        </w:rPr>
        <w:t xml:space="preserve">Senior Landscape Architect / Project Coordinator</w:t>
      </w:r>
      <w:r>
        <w:rPr>
          <w:rFonts w:ascii="Calibri" w:cs="Calibri" w:eastAsia="Calibri" w:hAnsi="Calibri"/>
          <w:color w:val="888888"/>
          <w:sz w:val="20"/>
          <w:szCs w:val="20"/>
        </w:rPr>
        <w:t xml:space="preserve">  |  </w:t>
      </w:r>
      <w:r>
        <w:rPr>
          <w:rFonts w:ascii="Calibri" w:cs="Calibri" w:eastAsia="Calibri" w:hAnsi="Calibri"/>
          <w:b w:val="false"/>
          <w:bCs w:val="false"/>
          <w:color w:val="444444"/>
          <w:sz w:val="20"/>
          <w:szCs w:val="20"/>
        </w:rPr>
        <w:t xml:space="preserve">Arcadia Landscape Architecture, Melbourne</w:t>
      </w:r>
      <w:r>
        <w:rPr>
          <w:rFonts w:ascii="Calibri" w:cs="Calibri" w:eastAsia="Calibri" w:hAnsi="Calibri"/>
          <w:color w:val="888888"/>
          <w:sz w:val="20"/>
          <w:szCs w:val="20"/>
        </w:rPr>
        <w:t xml:space="preserve">  |  </w:t>
      </w:r>
      <w:r>
        <w:rPr>
          <w:rFonts w:ascii="Calibri" w:cs="Calibri" w:eastAsia="Calibri" w:hAnsi="Calibri"/>
          <w:color w:val="666666"/>
          <w:sz w:val="20"/>
          <w:szCs w:val="20"/>
        </w:rPr>
        <w:t xml:space="preserve">Sep 2022 – Jun 2025</w:t>
      </w:r>
    </w:p>
    <w:p>
      <w:pPr>
        <w:pStyle w:val="ListParagraph"/>
        <w:numPr>
          <w:ilvl w:val="0"/>
          <w:numId w:val="2"/>
        </w:numPr>
      </w:pPr>
      <w:r>
        <w:rPr>
          <w:rFonts w:ascii="Calibri" w:cs="Calibri" w:eastAsia="Calibri" w:hAnsi="Calibri"/>
          <w:color w:val="222222"/>
          <w:sz w:val="20"/>
          <w:szCs w:val="20"/>
        </w:rPr>
        <w:t xml:space="preserve">Led delivery of open space and public realm capital projects from planning through to handover, preparing and managing project briefs and coordinating multi-disciplinary consultant teams including civil, structural, hydraulic, electrical and arborist consultants across multiple concurrent projects</w:t>
      </w:r>
    </w:p>
    <w:p>
      <w:pPr>
        <w:pStyle w:val="ListParagraph"/>
        <w:numPr>
          <w:ilvl w:val="0"/>
          <w:numId w:val="2"/>
        </w:numPr>
      </w:pPr>
      <w:r>
        <w:rPr>
          <w:rFonts w:ascii="Calibri" w:cs="Calibri" w:eastAsia="Calibri" w:hAnsi="Calibri"/>
          <w:color w:val="222222"/>
          <w:sz w:val="20"/>
          <w:szCs w:val="20"/>
        </w:rPr>
        <w:t xml:space="preserve">Managed procurement processes and consultant engagement, including vendor screening, fee negotiations and service delivery evaluation; ensured compliance with project requirements and budget</w:t>
      </w:r>
    </w:p>
    <w:p>
      <w:pPr>
        <w:pStyle w:val="ListParagraph"/>
        <w:numPr>
          <w:ilvl w:val="0"/>
          <w:numId w:val="2"/>
        </w:numPr>
      </w:pPr>
      <w:r>
        <w:rPr>
          <w:rFonts w:ascii="Calibri" w:cs="Calibri" w:eastAsia="Calibri" w:hAnsi="Calibri"/>
          <w:color w:val="222222"/>
          <w:sz w:val="20"/>
          <w:szCs w:val="20"/>
        </w:rPr>
        <w:t xml:space="preserve">Monitored project progress, budgets and schedules, identifying risks and escalating issues to maintain delivery on time and within budget across a high-volume portfolio</w:t>
      </w:r>
    </w:p>
    <w:p>
      <w:pPr>
        <w:pStyle w:val="ListParagraph"/>
        <w:numPr>
          <w:ilvl w:val="0"/>
          <w:numId w:val="2"/>
        </w:numPr>
      </w:pPr>
      <w:r>
        <w:rPr>
          <w:rFonts w:ascii="Calibri" w:cs="Calibri" w:eastAsia="Calibri" w:hAnsi="Calibri"/>
          <w:color w:val="222222"/>
          <w:sz w:val="20"/>
          <w:szCs w:val="20"/>
        </w:rPr>
        <w:t xml:space="preserve">Engaged with internal and external stakeholders including councils, government agencies and community groups; facilitated community consultation activities across open space, health and infrastructure sectors</w:t>
      </w:r>
    </w:p>
    <w:p>
      <w:pPr>
        <w:pStyle w:val="ListParagraph"/>
        <w:numPr>
          <w:ilvl w:val="0"/>
          <w:numId w:val="2"/>
        </w:numPr>
        <w:spacing w:after="100"/>
      </w:pPr>
      <w:r>
        <w:rPr>
          <w:rFonts w:ascii="Calibri" w:cs="Calibri" w:eastAsia="Calibri" w:hAnsi="Calibri"/>
          <w:color w:val="222222"/>
          <w:sz w:val="20"/>
          <w:szCs w:val="20"/>
        </w:rPr>
        <w:t xml:space="preserve">Provided mentoring and day-to-day guidance to junior team members, supporting workload coordination and quality review across the project portfolio</w:t>
      </w:r>
    </w:p>
    <w:p>
      <w:pPr>
        <w:spacing w:after="40" w:before="100"/>
      </w:pPr>
      <w:r>
        <w:rPr>
          <w:rFonts w:ascii="Calibri" w:cs="Calibri" w:eastAsia="Calibri" w:hAnsi="Calibri"/>
          <w:b/>
          <w:bCs/>
          <w:color w:val="1F3864"/>
          <w:sz w:val="20"/>
          <w:szCs w:val="20"/>
        </w:rPr>
        <w:t xml:space="preserve">Senior Project Coordinator</w:t>
      </w:r>
      <w:r>
        <w:rPr>
          <w:rFonts w:ascii="Calibri" w:cs="Calibri" w:eastAsia="Calibri" w:hAnsi="Calibri"/>
          <w:color w:val="888888"/>
          <w:sz w:val="20"/>
          <w:szCs w:val="20"/>
        </w:rPr>
        <w:t xml:space="preserve">  |  </w:t>
      </w:r>
      <w:r>
        <w:rPr>
          <w:rFonts w:ascii="Calibri" w:cs="Calibri" w:eastAsia="Calibri" w:hAnsi="Calibri"/>
          <w:b w:val="false"/>
          <w:bCs w:val="false"/>
          <w:color w:val="444444"/>
          <w:sz w:val="20"/>
          <w:szCs w:val="20"/>
        </w:rPr>
        <w:t xml:space="preserve">RDA Design Associate, Shanghai, China</w:t>
      </w:r>
      <w:r>
        <w:rPr>
          <w:rFonts w:ascii="Calibri" w:cs="Calibri" w:eastAsia="Calibri" w:hAnsi="Calibri"/>
          <w:color w:val="888888"/>
          <w:sz w:val="20"/>
          <w:szCs w:val="20"/>
        </w:rPr>
        <w:t xml:space="preserve">  |  </w:t>
      </w:r>
      <w:r>
        <w:rPr>
          <w:rFonts w:ascii="Calibri" w:cs="Calibri" w:eastAsia="Calibri" w:hAnsi="Calibri"/>
          <w:color w:val="666666"/>
          <w:sz w:val="20"/>
          <w:szCs w:val="20"/>
        </w:rPr>
        <w:t xml:space="preserve">Jun 2019 – May 2022</w:t>
      </w:r>
    </w:p>
    <w:p>
      <w:pPr>
        <w:pStyle w:val="ListParagraph"/>
        <w:numPr>
          <w:ilvl w:val="0"/>
          <w:numId w:val="2"/>
        </w:numPr>
      </w:pPr>
      <w:r>
        <w:rPr>
          <w:rFonts w:ascii="Calibri" w:cs="Calibri" w:eastAsia="Calibri" w:hAnsi="Calibri"/>
          <w:color w:val="222222"/>
          <w:sz w:val="20"/>
          <w:szCs w:val="20"/>
        </w:rPr>
        <w:t xml:space="preserve">Led end-to-end delivery of large-scale landscape, urban design and community environment projects, managing budget and schedule monitoring, resource allocation and reporting to Studio Directors</w:t>
      </w:r>
    </w:p>
    <w:p>
      <w:pPr>
        <w:pStyle w:val="ListParagraph"/>
        <w:numPr>
          <w:ilvl w:val="0"/>
          <w:numId w:val="2"/>
        </w:numPr>
      </w:pPr>
      <w:r>
        <w:rPr>
          <w:rFonts w:ascii="Calibri" w:cs="Calibri" w:eastAsia="Calibri" w:hAnsi="Calibri"/>
          <w:color w:val="222222"/>
          <w:sz w:val="20"/>
          <w:szCs w:val="20"/>
        </w:rPr>
        <w:t xml:space="preserve">Led strategic procurement and project positioning, including statutory approvals, tendering, fee negotiations and contract administration in coordination with Studio Directors</w:t>
      </w:r>
    </w:p>
    <w:p>
      <w:pPr>
        <w:pStyle w:val="ListParagraph"/>
        <w:numPr>
          <w:ilvl w:val="0"/>
          <w:numId w:val="2"/>
        </w:numPr>
      </w:pPr>
      <w:r>
        <w:rPr>
          <w:rFonts w:ascii="Calibri" w:cs="Calibri" w:eastAsia="Calibri" w:hAnsi="Calibri"/>
          <w:color w:val="222222"/>
          <w:sz w:val="20"/>
          <w:szCs w:val="20"/>
        </w:rPr>
        <w:t xml:space="preserve">Coordinated multi-disciplinary consultant teams and an internal team of 4–6 members; maintained client relationships and established continuous improvement frameworks and QA protocols applied across the studio</w:t>
      </w:r>
    </w:p>
    <w:p>
      <w:pPr>
        <w:pStyle w:val="ListParagraph"/>
        <w:numPr>
          <w:ilvl w:val="0"/>
          <w:numId w:val="2"/>
        </w:numPr>
        <w:spacing w:after="100"/>
      </w:pPr>
      <w:r>
        <w:rPr>
          <w:rFonts w:ascii="Calibri" w:cs="Calibri" w:eastAsia="Calibri" w:hAnsi="Calibri"/>
          <w:color w:val="222222"/>
          <w:sz w:val="20"/>
          <w:szCs w:val="20"/>
        </w:rPr>
        <w:t xml:space="preserve">Conducted regular site visits for construction review and defect identification, coordinating remediation outcomes with contractors</w:t>
      </w:r>
    </w:p>
    <w:p>
      <w:pPr>
        <w:spacing w:after="40" w:before="100"/>
      </w:pPr>
      <w:r>
        <w:rPr>
          <w:rFonts w:ascii="Calibri" w:cs="Calibri" w:eastAsia="Calibri" w:hAnsi="Calibri"/>
          <w:b/>
          <w:bCs/>
          <w:color w:val="1F3864"/>
          <w:sz w:val="20"/>
          <w:szCs w:val="20"/>
        </w:rPr>
        <w:t xml:space="preserve">Landscape Architect / Project Coordinator</w:t>
      </w:r>
      <w:r>
        <w:rPr>
          <w:rFonts w:ascii="Calibri" w:cs="Calibri" w:eastAsia="Calibri" w:hAnsi="Calibri"/>
          <w:color w:val="888888"/>
          <w:sz w:val="20"/>
          <w:szCs w:val="20"/>
        </w:rPr>
        <w:t xml:space="preserve">  |  </w:t>
      </w:r>
      <w:r>
        <w:rPr>
          <w:rFonts w:ascii="Calibri" w:cs="Calibri" w:eastAsia="Calibri" w:hAnsi="Calibri"/>
          <w:b w:val="false"/>
          <w:bCs w:val="false"/>
          <w:color w:val="444444"/>
          <w:sz w:val="20"/>
          <w:szCs w:val="20"/>
        </w:rPr>
        <w:t xml:space="preserve">TROP: terrains + open space, Bangkok, Thailand</w:t>
      </w:r>
      <w:r>
        <w:rPr>
          <w:rFonts w:ascii="Calibri" w:cs="Calibri" w:eastAsia="Calibri" w:hAnsi="Calibri"/>
          <w:color w:val="888888"/>
          <w:sz w:val="20"/>
          <w:szCs w:val="20"/>
        </w:rPr>
        <w:t xml:space="preserve">  |  </w:t>
      </w:r>
      <w:r>
        <w:rPr>
          <w:rFonts w:ascii="Calibri" w:cs="Calibri" w:eastAsia="Calibri" w:hAnsi="Calibri"/>
          <w:color w:val="666666"/>
          <w:sz w:val="20"/>
          <w:szCs w:val="20"/>
        </w:rPr>
        <w:t xml:space="preserve">Mar 2017 – May 2018</w:t>
      </w:r>
    </w:p>
    <w:p>
      <w:pPr>
        <w:pStyle w:val="ListParagraph"/>
        <w:numPr>
          <w:ilvl w:val="0"/>
          <w:numId w:val="2"/>
        </w:numPr>
      </w:pPr>
      <w:r>
        <w:rPr>
          <w:rFonts w:ascii="Calibri" w:cs="Calibri" w:eastAsia="Calibri" w:hAnsi="Calibri"/>
          <w:color w:val="222222"/>
          <w:sz w:val="20"/>
          <w:szCs w:val="20"/>
        </w:rPr>
        <w:t xml:space="preserve">Supported project delivery from inception to handover, preparing master plans, streetscape improvements, technical drawings and specifications</w:t>
      </w:r>
    </w:p>
    <w:p>
      <w:pPr>
        <w:pStyle w:val="ListParagraph"/>
        <w:numPr>
          <w:ilvl w:val="0"/>
          <w:numId w:val="2"/>
        </w:numPr>
      </w:pPr>
      <w:r>
        <w:rPr>
          <w:rFonts w:ascii="Calibri" w:cs="Calibri" w:eastAsia="Calibri" w:hAnsi="Calibri"/>
          <w:color w:val="222222"/>
          <w:sz w:val="20"/>
          <w:szCs w:val="20"/>
        </w:rPr>
        <w:t xml:space="preserve">Coordinated multi-disciplinary consultants, contract and fee proposal preparation, and liaised with clients and local government for planning approvals</w:t>
      </w:r>
    </w:p>
    <w:p>
      <w:pPr>
        <w:pStyle w:val="ListParagraph"/>
        <w:numPr>
          <w:ilvl w:val="0"/>
          <w:numId w:val="2"/>
        </w:numPr>
        <w:spacing w:after="100"/>
      </w:pPr>
      <w:r>
        <w:rPr>
          <w:rFonts w:ascii="Calibri" w:cs="Calibri" w:eastAsia="Calibri" w:hAnsi="Calibri"/>
          <w:color w:val="222222"/>
          <w:sz w:val="20"/>
          <w:szCs w:val="20"/>
        </w:rPr>
        <w:t xml:space="preserve">Conducted material research, procurement and on-site testing; managed budgets and supported contract administration throughout project delivery</w:t>
      </w:r>
    </w:p>
    <w:p>
      <w:pPr>
        <w:spacing w:after="40" w:before="100"/>
      </w:pPr>
      <w:r>
        <w:rPr>
          <w:rFonts w:ascii="Calibri" w:cs="Calibri" w:eastAsia="Calibri" w:hAnsi="Calibri"/>
          <w:b/>
          <w:bCs/>
          <w:color w:val="1F3864"/>
          <w:sz w:val="20"/>
          <w:szCs w:val="20"/>
        </w:rPr>
        <w:t xml:space="preserve">Landscape Architect</w:t>
      </w:r>
      <w:r>
        <w:rPr>
          <w:rFonts w:ascii="Calibri" w:cs="Calibri" w:eastAsia="Calibri" w:hAnsi="Calibri"/>
          <w:color w:val="888888"/>
          <w:sz w:val="20"/>
          <w:szCs w:val="20"/>
        </w:rPr>
        <w:t xml:space="preserve">  |  </w:t>
      </w:r>
      <w:r>
        <w:rPr>
          <w:rFonts w:ascii="Calibri" w:cs="Calibri" w:eastAsia="Calibri" w:hAnsi="Calibri"/>
          <w:b w:val="false"/>
          <w:bCs w:val="false"/>
          <w:color w:val="444444"/>
          <w:sz w:val="20"/>
          <w:szCs w:val="20"/>
        </w:rPr>
        <w:t xml:space="preserve">ASPECT Studios, Shanghai, China</w:t>
      </w:r>
      <w:r>
        <w:rPr>
          <w:rFonts w:ascii="Calibri" w:cs="Calibri" w:eastAsia="Calibri" w:hAnsi="Calibri"/>
          <w:color w:val="888888"/>
          <w:sz w:val="20"/>
          <w:szCs w:val="20"/>
        </w:rPr>
        <w:t xml:space="preserve">  |  </w:t>
      </w:r>
      <w:r>
        <w:rPr>
          <w:rFonts w:ascii="Calibri" w:cs="Calibri" w:eastAsia="Calibri" w:hAnsi="Calibri"/>
          <w:color w:val="666666"/>
          <w:sz w:val="20"/>
          <w:szCs w:val="20"/>
        </w:rPr>
        <w:t xml:space="preserve">May 2014 – Oct 2016</w:t>
      </w:r>
    </w:p>
    <w:p>
      <w:pPr>
        <w:pStyle w:val="ListParagraph"/>
        <w:numPr>
          <w:ilvl w:val="0"/>
          <w:numId w:val="2"/>
        </w:numPr>
      </w:pPr>
      <w:r>
        <w:rPr>
          <w:rFonts w:ascii="Calibri" w:cs="Calibri" w:eastAsia="Calibri" w:hAnsi="Calibri"/>
          <w:color w:val="222222"/>
          <w:sz w:val="20"/>
          <w:szCs w:val="20"/>
        </w:rPr>
        <w:t xml:space="preserve">Delivered design schemes under senior oversight, liaising with consultants and clients and reporting to key stakeholders including government bodies, environmental agencies and developers</w:t>
      </w:r>
    </w:p>
    <w:p>
      <w:pPr>
        <w:pStyle w:val="ListParagraph"/>
        <w:numPr>
          <w:ilvl w:val="0"/>
          <w:numId w:val="2"/>
        </w:numPr>
        <w:spacing w:after="120"/>
      </w:pPr>
      <w:r>
        <w:rPr>
          <w:rFonts w:ascii="Calibri" w:cs="Calibri" w:eastAsia="Calibri" w:hAnsi="Calibri"/>
          <w:color w:val="222222"/>
          <w:sz w:val="20"/>
          <w:szCs w:val="20"/>
        </w:rPr>
        <w:t xml:space="preserve">Contributed to tender submissions, pre-bid proposals and pre-contract documentation as directed by Directors</w:t>
      </w:r>
    </w:p>
    <w:p>
      <w:pPr>
        <w:spacing w:after="40" w:before="200"/>
      </w:pPr>
      <w:r>
        <w:rPr>
          <w:rFonts w:ascii="Calibri" w:cs="Calibri" w:eastAsia="Calibri" w:hAnsi="Calibri"/>
          <w:b/>
          <w:bCs/>
          <w:color w:val="1F3864"/>
          <w:sz w:val="22"/>
          <w:szCs w:val="22"/>
        </w:rPr>
        <w:t xml:space="preserve">SKILLS</w:t>
      </w:r>
    </w:p>
    <w:p>
      <w:pPr>
        <w:pBdr>
          <w:bottom w:val="single" w:color="2E75B6" w:sz="4" w:space="1"/>
        </w:pBdr>
        <w:spacing w:after="100" w:before="0"/>
      </w:pPr>
    </w:p>
    <w:p>
      <w:pPr>
        <w:spacing w:after="40"/>
      </w:pPr>
      <w:r>
        <w:rPr>
          <w:rFonts w:ascii="Calibri" w:cs="Calibri" w:eastAsia="Calibri" w:hAnsi="Calibri"/>
          <w:b/>
          <w:bCs/>
          <w:color w:val="1F3864"/>
          <w:sz w:val="20"/>
          <w:szCs w:val="20"/>
        </w:rPr>
        <w:t xml:space="preserve">Project Delivery:  </w:t>
      </w:r>
      <w:r>
        <w:rPr>
          <w:rFonts w:ascii="Calibri" w:cs="Calibri" w:eastAsia="Calibri" w:hAnsi="Calibri"/>
          <w:color w:val="222222"/>
          <w:sz w:val="20"/>
          <w:szCs w:val="20"/>
        </w:rPr>
        <w:t xml:space="preserve">Open Space Capital  ·  Procurement &amp; Tender Management  ·  Budget &amp; Schedule Monitoring  ·  Risk Identification &amp; Escalation  ·  Stakeholder Consultation &amp; Delivery  ·  Multi-Project Coordination  ·  Community Infrastructure Planning  ·  Open Space Strategy  ·  Team Leadership &amp; Mentoring  ·  Continuous Improvement  ·  Community Engagement</w:t>
      </w:r>
    </w:p>
    <w:p>
      <w:pPr>
        <w:spacing w:after="120"/>
      </w:pPr>
      <w:r>
        <w:rPr>
          <w:rFonts w:ascii="Calibri" w:cs="Calibri" w:eastAsia="Calibri" w:hAnsi="Calibri"/>
          <w:b/>
          <w:bCs/>
          <w:color w:val="1F3864"/>
          <w:sz w:val="20"/>
          <w:szCs w:val="20"/>
        </w:rPr>
        <w:t xml:space="preserve">Software:  </w:t>
      </w:r>
      <w:r>
        <w:rPr>
          <w:rFonts w:ascii="Calibri" w:cs="Calibri" w:eastAsia="Calibri" w:hAnsi="Calibri"/>
          <w:color w:val="222222"/>
          <w:sz w:val="20"/>
          <w:szCs w:val="20"/>
        </w:rPr>
        <w:t xml:space="preserve">Microsoft Office Suite (Word, Excel, PowerPoint, Teams)  ·  AutoCAD  ·  Revit  ·  SketchUp  ·  Adobe Creative Suite (InDesign, Photoshop, Illustrator)  ·  Lumion  ·  AIGC Prompt Engineering</w:t>
      </w:r>
    </w:p>
    <w:p>
      <w:pPr>
        <w:spacing w:after="40" w:before="200"/>
      </w:pPr>
      <w:r>
        <w:rPr>
          <w:rFonts w:ascii="Calibri" w:cs="Calibri" w:eastAsia="Calibri" w:hAnsi="Calibri"/>
          <w:b/>
          <w:bCs/>
          <w:color w:val="1F3864"/>
          <w:sz w:val="22"/>
          <w:szCs w:val="22"/>
        </w:rPr>
        <w:t xml:space="preserve">FIELDS OF EXPERIENCE</w:t>
      </w:r>
    </w:p>
    <w:p>
      <w:pPr>
        <w:pBdr>
          <w:bottom w:val="single" w:color="2E75B6" w:sz="4" w:space="1"/>
        </w:pBdr>
        <w:spacing w:after="100" w:before="0"/>
      </w:pPr>
    </w:p>
    <w:p>
      <w:pPr>
        <w:spacing w:after="30"/>
      </w:pPr>
      <w:r>
        <w:rPr>
          <w:rFonts w:ascii="Calibri" w:cs="Calibri" w:eastAsia="Calibri" w:hAnsi="Calibri"/>
          <w:b/>
          <w:bCs/>
          <w:color w:val="1F3864"/>
          <w:sz w:val="20"/>
          <w:szCs w:val="20"/>
        </w:rPr>
        <w:t xml:space="preserve">Public Realm, Masterplan &amp; Open Space</w:t>
      </w:r>
    </w:p>
    <w:p>
      <w:pPr>
        <w:spacing w:after="80"/>
      </w:pPr>
      <w:r>
        <w:rPr>
          <w:rFonts w:ascii="Calibri" w:cs="Calibri" w:eastAsia="Calibri" w:hAnsi="Calibri"/>
          <w:b w:val="false"/>
          <w:bCs w:val="false"/>
          <w:color w:val="555555"/>
          <w:sz w:val="18"/>
          <w:szCs w:val="18"/>
        </w:rPr>
        <w:t xml:space="preserve">Argyle Reserve, Kinrade St, Hughesdale VIC 2025–Current  ·  Good News Mambourin Campus Masterplan VIC 2024  ·  La Trobe Regional Hospital Masterplan VIC 2024  ·  Warrnambool Hospital Masterplan VIC 2022–2023  ·  Dubai Creek Harbour Masterplan UAE 2014–2015  ·  Dubai Central Park Masterplan UAE 2014–2015  ·  Shanghai Vanke Anting Sports Park 2016  ·  Shanghai Dream Center District Plaza &amp; Open Space 2014–2017</w:t>
      </w:r>
    </w:p>
    <w:p>
      <w:pPr>
        <w:spacing w:after="30"/>
      </w:pPr>
      <w:r>
        <w:rPr>
          <w:rFonts w:ascii="Calibri" w:cs="Calibri" w:eastAsia="Calibri" w:hAnsi="Calibri"/>
          <w:b/>
          <w:bCs/>
          <w:color w:val="1F3864"/>
          <w:sz w:val="20"/>
          <w:szCs w:val="20"/>
        </w:rPr>
        <w:t xml:space="preserve">Infrastructure &amp; Headquarters</w:t>
      </w:r>
    </w:p>
    <w:p>
      <w:pPr>
        <w:spacing w:after="80"/>
      </w:pPr>
      <w:r>
        <w:rPr>
          <w:rFonts w:ascii="Calibri" w:cs="Calibri" w:eastAsia="Calibri" w:hAnsi="Calibri"/>
          <w:b w:val="false"/>
          <w:bCs w:val="false"/>
          <w:color w:val="555555"/>
          <w:sz w:val="18"/>
          <w:szCs w:val="18"/>
        </w:rPr>
        <w:t xml:space="preserve">Data Center MEL 64 / MEL 71 / MEL 81 / MEL 08 VIC 2022–Current  ·  Healesville Koo Wee Rup Highway Landscape As-Built VIC 2024–Current  ·  Metropolitan Roads Program – WaterGardens VIC 2024–Current  ·  Alibaba Headquarters Hangzhou China 2014–2017</w:t>
      </w:r>
    </w:p>
    <w:p>
      <w:pPr>
        <w:spacing w:after="30"/>
      </w:pPr>
      <w:r>
        <w:rPr>
          <w:rFonts w:ascii="Calibri" w:cs="Calibri" w:eastAsia="Calibri" w:hAnsi="Calibri"/>
          <w:b/>
          <w:bCs/>
          <w:color w:val="1F3864"/>
          <w:sz w:val="20"/>
          <w:szCs w:val="20"/>
        </w:rPr>
        <w:t xml:space="preserve">Commercial</w:t>
      </w:r>
    </w:p>
    <w:p>
      <w:pPr>
        <w:spacing w:after="80"/>
      </w:pPr>
      <w:r>
        <w:rPr>
          <w:rFonts w:ascii="Calibri" w:cs="Calibri" w:eastAsia="Calibri" w:hAnsi="Calibri"/>
          <w:b w:val="false"/>
          <w:bCs w:val="false"/>
          <w:color w:val="555555"/>
          <w:sz w:val="18"/>
          <w:szCs w:val="18"/>
        </w:rPr>
        <w:t xml:space="preserve">MOTW – Mall of the World UAE 2016  ·  Powerlong Jingjiang Shopping Center Renewal 2019  ·  Xuhui Yangjiang Lifestyle &amp; Sales Center Shanghai 2019–2020  ·  CRland Beer Factory Museum Renewal Wuhan 2019</w:t>
      </w:r>
    </w:p>
    <w:p>
      <w:pPr>
        <w:spacing w:after="30"/>
      </w:pPr>
      <w:r>
        <w:rPr>
          <w:rFonts w:ascii="Calibri" w:cs="Calibri" w:eastAsia="Calibri" w:hAnsi="Calibri"/>
          <w:b/>
          <w:bCs/>
          <w:color w:val="1F3864"/>
          <w:sz w:val="20"/>
          <w:szCs w:val="20"/>
        </w:rPr>
        <w:t xml:space="preserve">Residential &amp; Hospitality</w:t>
      </w:r>
    </w:p>
    <w:p>
      <w:pPr>
        <w:spacing w:after="80"/>
      </w:pPr>
      <w:r>
        <w:rPr>
          <w:rFonts w:ascii="Calibri" w:cs="Calibri" w:eastAsia="Calibri" w:hAnsi="Calibri"/>
          <w:b w:val="false"/>
          <w:bCs w:val="false"/>
          <w:color w:val="555555"/>
          <w:sz w:val="18"/>
          <w:szCs w:val="18"/>
        </w:rPr>
        <w:t xml:space="preserve">Melbourne Crown Casino VIC 2024–Current  ·  District Living Docklands VIC 2022–Current  ·  King Street Apartment / DA VIC 2023–2025  ·  Kavanagh St Apartment Southbank VIC 2024  ·  Luxelake Chengdu A3 &amp; A7 2016  ·  X Hotel Bangkok 2017  ·  One Bangkok 2017  ·  Banyan Tree Resort &amp; Residences Chengdu 2019–2022  ·  Yangjing Residential Design Shanghai 2019  ·  Zhongnan Xianfeng Residence Xian 2020</w:t>
      </w:r>
    </w:p>
    <w:p>
      <w:pPr>
        <w:spacing w:after="30"/>
      </w:pPr>
      <w:r>
        <w:rPr>
          <w:rFonts w:ascii="Calibri" w:cs="Calibri" w:eastAsia="Calibri" w:hAnsi="Calibri"/>
          <w:b/>
          <w:bCs/>
          <w:color w:val="1F3864"/>
          <w:sz w:val="20"/>
          <w:szCs w:val="20"/>
        </w:rPr>
        <w:t xml:space="preserve">Health &amp; Education</w:t>
      </w:r>
    </w:p>
    <w:p>
      <w:pPr>
        <w:spacing w:after="60"/>
      </w:pPr>
      <w:r>
        <w:rPr>
          <w:rFonts w:ascii="Calibri" w:cs="Calibri" w:eastAsia="Calibri" w:hAnsi="Calibri"/>
          <w:b w:val="false"/>
          <w:bCs w:val="false"/>
          <w:color w:val="555555"/>
          <w:sz w:val="18"/>
          <w:szCs w:val="18"/>
        </w:rPr>
        <w:t xml:space="preserve">Warrnambool First Nation Courtyard VIC 2024–Current  ·  La Trobe Regional Hospital Feasibility Study VIC 2024  ·  Opal Health Care Shade &amp; Courtyard Renewal VIC 2024–Current  ·  Good News Lutheran College Stage 1B VIC 2024  ·  Islamic College of Melbourne Playground VIC 2024  ·  Sale College Campus VIC 2022–2023  ·  Staughton College Renewal VIC 2022–Current  ·  Penola College Renewal VIC 2023–Current  ·  Ryman Kealba Retirement Village VIC 2022</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50"/>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2026-05-07T07:54:36.415Z</dcterms:created>
  <dcterms:modified xsi:type="dcterms:W3CDTF">2026-05-07T07:54:36.415Z</dcterms:modified>
</cp:coreProperties>
</file>

<file path=docProps/custom.xml><?xml version="1.0" encoding="utf-8"?>
<Properties xmlns="http://schemas.openxmlformats.org/officeDocument/2006/custom-properties" xmlns:vt="http://schemas.openxmlformats.org/officeDocument/2006/docPropsVTypes"/>
</file>