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
        <w:jc w:val="center"/>
      </w:pPr>
      <w:r>
        <w:rPr>
          <w:b/>
          <w:bCs/>
          <w:color w:val="1F4E78"/>
          <w:sz w:val="36"/>
          <w:szCs w:val="36"/>
        </w:rPr>
        <w:t xml:space="preserve">Peer Assessment</w:t>
      </w:r>
    </w:p>
    <w:p>
      <w:pPr>
        <w:spacing w:after="120" w:line="276"/>
      </w:pPr>
      <w:r>
        <w:rPr>
          <w:sz w:val="22"/>
          <w:szCs w:val="22"/>
        </w:rPr>
        <w:t xml:space="preserve">Student: Yuandong Yang</w:t>
      </w:r>
    </w:p>
    <w:p>
      <w:pPr>
        <w:spacing w:after="120" w:line="276"/>
      </w:pPr>
      <w:r>
        <w:rPr>
          <w:sz w:val="22"/>
          <w:szCs w:val="22"/>
        </w:rPr>
        <w:t xml:space="preserve">Course: CPRG-305, Section B — Software Testing and Deployment</w:t>
      </w:r>
    </w:p>
    <w:p>
      <w:pPr>
        <w:spacing w:after="120" w:line="276"/>
      </w:pPr>
      <w:r>
        <w:rPr>
          <w:sz w:val="22"/>
          <w:szCs w:val="22"/>
        </w:rPr>
        <w:t xml:space="preserve">Group: Group 12 (team G2)</w:t>
      </w:r>
    </w:p>
    <w:p>
      <w:pPr>
        <w:spacing w:after="120" w:line="276"/>
      </w:pPr>
      <w:r>
        <w:rPr>
          <w:sz w:val="22"/>
          <w:szCs w:val="22"/>
        </w:rPr>
        <w:t xml:space="preserve">Assignment: Group Assignment 2 — Developing a Testing Plan</w:t>
      </w:r>
    </w:p>
    <w:p>
      <w:pPr>
        <w:spacing w:after="240" w:line="276"/>
      </w:pPr>
      <w:r>
        <w:rPr>
          <w:sz w:val="22"/>
          <w:szCs w:val="22"/>
        </w:rPr>
        <w:t xml:space="preserve">Date: October 13, 2026</w:t>
      </w:r>
    </w:p>
    <w:p>
      <w:pPr>
        <w:pStyle w:val="Heading1"/>
        <w:spacing w:after="120" w:before="240"/>
      </w:pPr>
      <w:r>
        <w:rPr>
          <w:b/>
          <w:bCs/>
          <w:color w:val="1F4E78"/>
          <w:sz w:val="28"/>
          <w:szCs w:val="28"/>
        </w:rPr>
        <w:t xml:space="preserve">Peer ratings</w:t>
      </w:r>
    </w:p>
    <w:p>
      <w:pPr>
        <w:spacing w:after="120" w:line="276"/>
      </w:pPr>
      <w:r>
        <w:rPr>
          <w:i/>
          <w:iCs/>
          <w:sz w:val="20"/>
          <w:szCs w:val="20"/>
        </w:rPr>
        <w:t xml:space="preserve">Scale: 1 = Significant area for improvement; 2 = Acceptable but with some areas for improvement; 3 = Excellent contribution.</w:t>
      </w:r>
    </w:p>
    <w:tbl>
      <w:tblPr>
        <w:tblW w:type="dxa" w:w="9360"/>
        <w:tblBorders>
          <w:top w:val="single" w:color="B7C9D6" w:sz="4"/>
          <w:left w:val="single" w:color="B7C9D6" w:sz="4"/>
          <w:bottom w:val="single" w:color="B7C9D6" w:sz="4"/>
          <w:right w:val="single" w:color="B7C9D6" w:sz="4"/>
          <w:insideH w:val="single" w:color="D9E2F3" w:sz="2"/>
          <w:insideV w:val="single" w:color="D9E2F3" w:sz="2"/>
        </w:tblBorders>
      </w:tblPr>
      <w:tblGrid>
        <w:gridCol w:w="100"/>
        <w:gridCol w:w="100"/>
        <w:gridCol w:w="100"/>
      </w:tblGrid>
      <w:tr>
        <w:tc>
          <w:tcPr>
            <w:tcW w:type="dxa" w:w="3800"/>
            <w:shd w:fill="1F4E78" w:val="clear"/>
            <w:tcMar>
              <w:top w:type="dxa" w:w="80"/>
              <w:left w:type="dxa" w:w="100"/>
              <w:bottom w:type="dxa" w:w="80"/>
              <w:right w:type="dxa" w:w="100"/>
            </w:tcMar>
          </w:tcPr>
          <w:p>
            <w:pPr>
              <w:spacing w:after="0"/>
            </w:pPr>
            <w:r>
              <w:rPr>
                <w:b/>
                <w:bCs/>
                <w:color w:val="FFFFFF"/>
                <w:sz w:val="19"/>
                <w:szCs w:val="19"/>
              </w:rPr>
              <w:t xml:space="preserve">Assessment criterion</w:t>
            </w:r>
          </w:p>
        </w:tc>
        <w:tc>
          <w:tcPr>
            <w:tcW w:type="dxa" w:w="2780"/>
            <w:shd w:fill="1F4E78" w:val="clear"/>
            <w:tcMar>
              <w:top w:type="dxa" w:w="80"/>
              <w:left w:type="dxa" w:w="100"/>
              <w:bottom w:type="dxa" w:w="80"/>
              <w:right w:type="dxa" w:w="100"/>
            </w:tcMar>
          </w:tcPr>
          <w:p>
            <w:pPr>
              <w:spacing w:after="0"/>
            </w:pPr>
            <w:r>
              <w:rPr>
                <w:b/>
                <w:bCs/>
                <w:color w:val="FFFFFF"/>
                <w:sz w:val="19"/>
                <w:szCs w:val="19"/>
              </w:rPr>
              <w:t xml:space="preserve">Daniel Watson</w:t>
            </w:r>
          </w:p>
        </w:tc>
        <w:tc>
          <w:tcPr>
            <w:tcW w:type="dxa" w:w="2780"/>
            <w:shd w:fill="1F4E78" w:val="clear"/>
            <w:tcMar>
              <w:top w:type="dxa" w:w="80"/>
              <w:left w:type="dxa" w:w="100"/>
              <w:bottom w:type="dxa" w:w="80"/>
              <w:right w:type="dxa" w:w="100"/>
            </w:tcMar>
          </w:tcPr>
          <w:p>
            <w:pPr>
              <w:spacing w:after="0"/>
            </w:pPr>
            <w:r>
              <w:rPr>
                <w:b/>
                <w:bCs/>
                <w:color w:val="FFFFFF"/>
                <w:sz w:val="19"/>
                <w:szCs w:val="19"/>
              </w:rPr>
              <w:t xml:space="preserve">Xiaomei He</w:t>
            </w:r>
          </w:p>
        </w:tc>
      </w:tr>
      <w:tr>
        <w:trPr>
          <w:cantSplit/>
        </w:trPr>
        <w:tc>
          <w:tcPr>
            <w:tcW w:type="dxa" w:w="3800"/>
            <w:tcMar>
              <w:top w:type="dxa" w:w="80"/>
              <w:left w:type="dxa" w:w="100"/>
              <w:bottom w:type="dxa" w:w="80"/>
              <w:right w:type="dxa" w:w="100"/>
            </w:tcMar>
          </w:tcPr>
          <w:p>
            <w:pPr>
              <w:spacing w:after="0"/>
            </w:pPr>
            <w:r>
              <w:rPr>
                <w:b w:val="false"/>
                <w:bCs w:val="false"/>
                <w:color w:val="000000"/>
                <w:sz w:val="20"/>
                <w:szCs w:val="20"/>
              </w:rPr>
              <w:t xml:space="preserve">Motivation and engagement in assignment</w:t>
            </w:r>
          </w:p>
        </w:tc>
        <w:tc>
          <w:tcPr>
            <w:tcW w:type="dxa" w:w="2780"/>
            <w:tcMar>
              <w:top w:type="dxa" w:w="80"/>
              <w:left w:type="dxa" w:w="100"/>
              <w:bottom w:type="dxa" w:w="80"/>
              <w:right w:type="dxa" w:w="100"/>
            </w:tcMar>
          </w:tcPr>
          <w:p>
            <w:pPr>
              <w:spacing w:after="0"/>
            </w:pPr>
            <w:r>
              <w:rPr>
                <w:b w:val="false"/>
                <w:bCs w:val="false"/>
                <w:color w:val="000000"/>
                <w:sz w:val="20"/>
                <w:szCs w:val="20"/>
              </w:rPr>
              <w:t xml:space="preserve">3/3</w:t>
            </w:r>
          </w:p>
        </w:tc>
        <w:tc>
          <w:tcPr>
            <w:tcW w:type="dxa" w:w="2780"/>
            <w:tcMar>
              <w:top w:type="dxa" w:w="80"/>
              <w:left w:type="dxa" w:w="100"/>
              <w:bottom w:type="dxa" w:w="80"/>
              <w:right w:type="dxa" w:w="100"/>
            </w:tcMar>
          </w:tcPr>
          <w:p>
            <w:pPr>
              <w:spacing w:after="0"/>
            </w:pPr>
            <w:r>
              <w:rPr>
                <w:b w:val="false"/>
                <w:bCs w:val="false"/>
                <w:color w:val="000000"/>
                <w:sz w:val="20"/>
                <w:szCs w:val="20"/>
              </w:rPr>
              <w:t xml:space="preserve">3/3</w:t>
            </w:r>
          </w:p>
        </w:tc>
      </w:tr>
      <w:tr>
        <w:trPr>
          <w:cantSplit/>
        </w:trPr>
        <w:tc>
          <w:tcPr>
            <w:tcW w:type="dxa" w:w="3800"/>
            <w:tcMar>
              <w:top w:type="dxa" w:w="80"/>
              <w:left w:type="dxa" w:w="100"/>
              <w:bottom w:type="dxa" w:w="80"/>
              <w:right w:type="dxa" w:w="100"/>
            </w:tcMar>
          </w:tcPr>
          <w:p>
            <w:pPr>
              <w:spacing w:after="0"/>
            </w:pPr>
            <w:r>
              <w:rPr>
                <w:b w:val="false"/>
                <w:bCs w:val="false"/>
                <w:color w:val="000000"/>
                <w:sz w:val="20"/>
                <w:szCs w:val="20"/>
              </w:rPr>
              <w:t xml:space="preserve">Timely submission of deliverables</w:t>
            </w:r>
          </w:p>
        </w:tc>
        <w:tc>
          <w:tcPr>
            <w:tcW w:type="dxa" w:w="2780"/>
            <w:tcMar>
              <w:top w:type="dxa" w:w="80"/>
              <w:left w:type="dxa" w:w="100"/>
              <w:bottom w:type="dxa" w:w="80"/>
              <w:right w:type="dxa" w:w="100"/>
            </w:tcMar>
          </w:tcPr>
          <w:p>
            <w:pPr>
              <w:spacing w:after="0"/>
            </w:pPr>
            <w:r>
              <w:rPr>
                <w:b w:val="false"/>
                <w:bCs w:val="false"/>
                <w:color w:val="000000"/>
                <w:sz w:val="20"/>
                <w:szCs w:val="20"/>
              </w:rPr>
              <w:t xml:space="preserve">3/3</w:t>
            </w:r>
          </w:p>
        </w:tc>
        <w:tc>
          <w:tcPr>
            <w:tcW w:type="dxa" w:w="2780"/>
            <w:tcMar>
              <w:top w:type="dxa" w:w="80"/>
              <w:left w:type="dxa" w:w="100"/>
              <w:bottom w:type="dxa" w:w="80"/>
              <w:right w:type="dxa" w:w="100"/>
            </w:tcMar>
          </w:tcPr>
          <w:p>
            <w:pPr>
              <w:spacing w:after="0"/>
            </w:pPr>
            <w:r>
              <w:rPr>
                <w:b w:val="false"/>
                <w:bCs w:val="false"/>
                <w:color w:val="000000"/>
                <w:sz w:val="20"/>
                <w:szCs w:val="20"/>
              </w:rPr>
              <w:t xml:space="preserve">3/3</w:t>
            </w:r>
          </w:p>
        </w:tc>
      </w:tr>
      <w:tr>
        <w:trPr>
          <w:cantSplit/>
        </w:trPr>
        <w:tc>
          <w:tcPr>
            <w:tcW w:type="dxa" w:w="3800"/>
            <w:tcMar>
              <w:top w:type="dxa" w:w="80"/>
              <w:left w:type="dxa" w:w="100"/>
              <w:bottom w:type="dxa" w:w="80"/>
              <w:right w:type="dxa" w:w="100"/>
            </w:tcMar>
          </w:tcPr>
          <w:p>
            <w:pPr>
              <w:spacing w:after="0"/>
            </w:pPr>
            <w:r>
              <w:rPr>
                <w:b w:val="false"/>
                <w:bCs w:val="false"/>
                <w:color w:val="000000"/>
                <w:sz w:val="20"/>
                <w:szCs w:val="20"/>
              </w:rPr>
              <w:t xml:space="preserve">Effective communication and problem solving</w:t>
            </w:r>
          </w:p>
        </w:tc>
        <w:tc>
          <w:tcPr>
            <w:tcW w:type="dxa" w:w="2780"/>
            <w:tcMar>
              <w:top w:type="dxa" w:w="80"/>
              <w:left w:type="dxa" w:w="100"/>
              <w:bottom w:type="dxa" w:w="80"/>
              <w:right w:type="dxa" w:w="100"/>
            </w:tcMar>
          </w:tcPr>
          <w:p>
            <w:pPr>
              <w:spacing w:after="0"/>
            </w:pPr>
            <w:r>
              <w:rPr>
                <w:b w:val="false"/>
                <w:bCs w:val="false"/>
                <w:color w:val="000000"/>
                <w:sz w:val="20"/>
                <w:szCs w:val="20"/>
              </w:rPr>
              <w:t xml:space="preserve">3/3</w:t>
            </w:r>
          </w:p>
        </w:tc>
        <w:tc>
          <w:tcPr>
            <w:tcW w:type="dxa" w:w="2780"/>
            <w:tcMar>
              <w:top w:type="dxa" w:w="80"/>
              <w:left w:type="dxa" w:w="100"/>
              <w:bottom w:type="dxa" w:w="80"/>
              <w:right w:type="dxa" w:w="100"/>
            </w:tcMar>
          </w:tcPr>
          <w:p>
            <w:pPr>
              <w:spacing w:after="0"/>
            </w:pPr>
            <w:r>
              <w:rPr>
                <w:b w:val="false"/>
                <w:bCs w:val="false"/>
                <w:color w:val="000000"/>
                <w:sz w:val="20"/>
                <w:szCs w:val="20"/>
              </w:rPr>
              <w:t xml:space="preserve">3/3</w:t>
            </w:r>
          </w:p>
        </w:tc>
      </w:tr>
    </w:tbl>
    <w:p>
      <w:pPr>
        <w:pStyle w:val="Heading1"/>
        <w:spacing w:after="120" w:before="240"/>
      </w:pPr>
      <w:r>
        <w:rPr>
          <w:b/>
          <w:bCs/>
          <w:color w:val="1F4E78"/>
          <w:sz w:val="28"/>
          <w:szCs w:val="28"/>
        </w:rPr>
        <w:t xml:space="preserve">Other comments for your peers</w:t>
      </w:r>
    </w:p>
    <w:p>
      <w:pPr>
        <w:spacing w:after="120" w:line="276"/>
      </w:pPr>
      <w:r>
        <w:rPr>
          <w:sz w:val="22"/>
          <w:szCs w:val="22"/>
        </w:rPr>
        <w:t xml:space="preserve">Daniel Watson made an excellent contribution to this assignment. He led the gateway, core API, and UI workflow coverage, participated actively in group discussions, delivered his section drafts on time, and raised useful questions about tenant isolation and blocked/unavailable UI states.</w:t>
      </w:r>
    </w:p>
    <w:p>
      <w:pPr>
        <w:spacing w:after="120" w:line="276"/>
      </w:pPr>
      <w:r>
        <w:rPr>
          <w:sz w:val="22"/>
          <w:szCs w:val="22"/>
        </w:rPr>
        <w:t xml:space="preserve">Xiaomei He made an excellent contribution to this assignment. She owned the ai-service and dealer-platform coverage, documented clear prompt-boundary, timeout, and failure-safe cases, communicated well with the rest of the group, and completed her tasks on schedule.</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CPRG305 Group Assignment 2 Peer Assessment</dc:title>
  <dc:creator>Yuandong Yang</dc:creator>
  <cp:lastModifiedBy>Un-named</cp:lastModifiedBy>
  <cp:revision>1</cp:revision>
  <dcterms:created xsi:type="dcterms:W3CDTF">2026-10-13T23:12:19.600Z</dcterms:created>
  <dcterms:modified xsi:type="dcterms:W3CDTF">2026-10-13T23:12:19.601Z</dcterms:modified>
</cp:coreProperties>
</file>

<file path=docProps/custom.xml><?xml version="1.0" encoding="utf-8"?>
<Properties xmlns="http://schemas.openxmlformats.org/officeDocument/2006/custom-properties" xmlns:vt="http://schemas.openxmlformats.org/officeDocument/2006/docPropsVTypes"/>
</file>