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line="480" w:lineRule="auto"/>
      </w:pPr>
      <w:r>
        <w:t xml:space="preserve"/>
      </w:r>
    </w:p>
    <w:p>
      <w:pPr>
        <w:spacing w:after="0" w:line="480" w:lineRule="auto"/>
        <w:jc w:val="center"/>
      </w:pPr>
      <w:r>
        <w:rPr>
          <w:b/>
          <w:bCs/>
        </w:rPr>
        <w:t xml:space="preserve">Software Testing Strategy Report</w:t>
      </w:r>
    </w:p>
    <w:p>
      <w:pPr>
        <w:spacing w:after="0" w:line="480" w:lineRule="auto"/>
        <w:jc w:val="center"/>
      </w:pPr>
      <w:r>
        <w:rPr>
          <w:b/>
          <w:bCs/>
        </w:rPr>
        <w:t xml:space="preserve">DealerOps: A Multi-Tenant Dealer Operations Platform</w:t>
      </w:r>
    </w:p>
    <w:p>
      <w:pPr>
        <w:spacing w:line="480" w:lineRule="auto"/>
      </w:pPr>
      <w:r>
        <w:t xml:space="preserve"/>
      </w:r>
    </w:p>
    <w:p>
      <w:pPr>
        <w:jc w:val="center"/>
      </w:pPr>
      <w:r>
        <w:t xml:space="preserve">Yuandong Yang, Bedgel Fadhil Ndam Woukouo, Jackson Warga, and Logan Jones</w:t>
      </w:r>
    </w:p>
    <w:p>
      <w:pPr>
        <w:jc w:val="center"/>
      </w:pPr>
      <w:r>
        <w:t xml:space="preserve">Group G2</w:t>
      </w:r>
    </w:p>
    <w:p>
      <w:pPr>
        <w:jc w:val="center"/>
      </w:pPr>
      <w:r>
        <w:t xml:space="preserve">CPRG305, Section B</w:t>
      </w:r>
    </w:p>
    <w:p>
      <w:pPr>
        <w:jc w:val="center"/>
      </w:pPr>
      <w:r>
        <w:t xml:space="preserve">Southern Alberta Institute of Technology</w:t>
      </w:r>
    </w:p>
    <w:p>
      <w:pPr>
        <w:jc w:val="center"/>
      </w:pPr>
      <w:r>
        <w:t xml:space="preserve">October 13, 2026</w:t>
      </w:r>
    </w:p>
    <w:p>
      <w:r>
        <w:br w:type="page"/>
      </w:r>
    </w:p>
    <w:p>
      <w:pPr>
        <w:spacing w:after="120" w:line="480" w:lineRule="auto"/>
        <w:jc w:val="center"/>
      </w:pPr>
      <w:r>
        <w:rPr>
          <w:b/>
          <w:bCs/>
        </w:rPr>
        <w:t xml:space="preserve">Table of Contents</w:t>
      </w:r>
    </w:p>
    <w:sdt>
      <w:sdtPr>
        <w:alias w:val="Table of 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Project Overview</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Testing Strategy Objectives</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3. Risks and Risk Reduction</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3.1 Magnitude and Sources of Development Risk</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3.2 Positive and Negative Testing</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3.3 Risk Prioritization Mechanism</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4. Test Management Approach</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4.1 Roles and Responsibilities</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4.2 Test Planning and Scheduling</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4.3 Tools and Resources</w:t>
            </w:r>
            <w:r>
              <w:tab/>
            </w:r>
            <w:r>
              <w:fldChar w:fldCharType="begin" w:dirty="true"/>
              <w:instrText xml:space="preserve">PAGEREF _Toc10 \h</w:instrText>
              <w:fldChar w:fldCharType="separate"/>
              <w:fldChar w:fldCharType="end"/>
            </w:r>
          </w:hyperlink>
        </w:p>
        <w:p>
          <w:pPr>
            <w:pStyle w:val="TOC1"/>
            <w:tabs>
              <w:tab w:val="right" w:pos="9360" w:leader="dot"/>
            </w:tabs>
          </w:pPr>
          <w:hyperlink w:history="1" w:anchor="_Toc11">
            <w:r>
              <w:t xml:space="preserve">5. Testing Strategies Across the SDLC</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6. Test Execution and ROI Considerations</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6.1 Timing of Testing</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6.2 Cost of Failure Estimate</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7. Test Completion Criteria</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8. Customer Usage Analysis</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9. Overall Testing Strategy Summary</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10. References</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Appendix A: Team Contract</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Appendix B: Peer Assessment Form</w:t>
            </w:r>
            <w:r>
              <w:tab/>
            </w:r>
            <w:r>
              <w:fldChar w:fldCharType="begin" w:dirty="true"/>
              <w:instrText xml:space="preserve">PAGEREF _Toc20 \h</w:instrText>
              <w:fldChar w:fldCharType="separate"/>
              <w:fldChar w:fldCharType="end"/>
            </w:r>
          </w:hyperlink>
        </w:p>
        <w:p>
          <w:r>
            <w:fldChar w:fldCharType="end"/>
          </w:r>
        </w:p>
      </w:sdtContent>
    </w:sdt>
    <w:p>
      <w:r>
        <w:br w:type="page"/>
      </w:r>
    </w:p>
    <w:p>
      <w:pPr>
        <w:pStyle w:val="Heading1"/>
      </w:pPr>
      <w:bookmarkStart w:name="_Toc1" w:id="1"/>
      <w:r>
        <w:t xml:space="preserve">1. Project Overview</w:t>
      </w:r>
      <w:bookmarkEnd w:id="1"/>
    </w:p>
    <w:p>
      <w:r>
        <w:t xml:space="preserve">DealerOps is a multi-tenant platform for independent used-car dealerships in Ontario. A platform administrator creates dealerships and binds staff accounts; each dealer user can work only with the vehicles, customers, advertisements, audit history, and read-only assistant results belonging to that dealer. The browser reaches the Java services through a single gateway, while a Vue web application provides the staff and administrator workflows.</w:t>
      </w:r>
    </w:p>
    <w:p>
      <w:r>
        <w:t xml:space="preserve">The project goal is to support a coherent dealership workflow: maintain vehicle records in the dealer management system (DMS), link customers in the customer relationship module (CRM), check advertising copy against fixed compliance rules and a real artificial intelligence (AI) review, and export a text advertisement only when the current check has passed. The compliance rules follow Ontario’s all-in price advertising requirements, under which an advertised price must include every fee the dealer intends to collect except tax and licensing (Ontario Motor Vehicle Industry Council [OMVIC], 2023). The principal users are platform administrators and dealership staff. Stakeholders include the capstone client, the instructor, dealership staff, and the customers whose data is represented in the CRM.</w:t>
      </w:r>
    </w:p>
    <w:p>
      <w:r>
        <w:t xml:space="preserve">Software quality matters because a tenancy error can disclose another dealership’s records, an incorrect compliance result can expose the client to regulatory and reputational harm, and a stale or inaccurate vehicle record can lead to a misleading advertisement. The quality baseline is therefore measurable: 100% isolation of dealer data in acceptance cases, a 100% pass rate for critical classroom workflows, no open critical defects at release, and a 15-second maximum AI timeout.</w:t>
      </w:r>
    </w:p>
    <w:p>
      <w:pPr>
        <w:pStyle w:val="Heading1"/>
      </w:pPr>
      <w:bookmarkStart w:name="_Toc2" w:id="2"/>
      <w:r>
        <w:t xml:space="preserve">2. Testing Strategy Objectives</w:t>
      </w:r>
      <w:bookmarkEnd w:id="2"/>
    </w:p>
    <w:p>
      <w:r>
        <w:t xml:space="preserve">The strategy is a risk-based plan for finding defects early, demonstrating that the approved requirements are met, and giving the client evidence for acceptance. This follows the risk-based test strategy concept, in which the depth of testing applied to a feature is decided by the exposure that feature carries rather than by uniform effort (International Organization for Standardization [ISO], 2022). Testing will reduce the cost of late fixes by reviewing requirements and contracts before implementation, exercising high-risk paths first, and repeating a focused regression suite after each integration build.</w:t>
      </w:r>
    </w:p>
    <w:p>
      <w:pPr>
        <w:spacing w:after="0" w:before="240" w:line="240" w:lineRule="auto"/>
      </w:pPr>
      <w:r>
        <w:rPr>
          <w:b/>
          <w:bCs/>
        </w:rPr>
        <w:t xml:space="preserve">Table 1</w:t>
      </w:r>
    </w:p>
    <w:p>
      <w:pPr>
        <w:spacing w:after="120" w:before="0" w:line="240" w:lineRule="auto"/>
      </w:pPr>
      <w:r>
        <w:rPr>
          <w:i/>
          <w:iCs/>
        </w:rPr>
        <w:t xml:space="preserve">Testing Strategy Objectives and Release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Objective</w:t>
            </w:r>
          </w:p>
        </w:tc>
        <w:tc>
          <w:tcPr>
            <w:tcW w:type="dxa" w:w="33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Measure</w:t>
            </w:r>
          </w:p>
        </w:tc>
        <w:tc>
          <w:tcPr>
            <w:tcW w:type="dxa" w:w="36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Release target</w:t>
            </w:r>
          </w:p>
        </w:tc>
      </w:tr>
      <w:tr>
        <w:trPr>
          <w:tblHeader w:val="off"/>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Protect tenant and role boundaries</w:t>
            </w:r>
          </w:p>
        </w:tc>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Acceptance cases AUTH-06 to AUTH-10 and gateway-only routing</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100% pass; zero critical security defects</w:t>
            </w:r>
          </w:p>
        </w:tc>
      </w:tr>
      <w:tr>
        <w:trPr>
          <w:tblHeader w:val="off"/>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Verify required business behavior</w:t>
            </w:r>
          </w:p>
        </w:tc>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Requirements-to-test traceability for DMS, CRM, advertisements, audit, and assistant</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100% of Must requirements mapped to at least one test</w:t>
            </w:r>
          </w:p>
        </w:tc>
      </w:tr>
      <w:tr>
        <w:trPr>
          <w:tblHeader w:val="off"/>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Detect implementation defects early</w:t>
            </w:r>
          </w:p>
        </w:tc>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Unit and application programming interface (API) checks on each service build</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At least 80% line coverage for core domain services; all changed paths reviewed</w:t>
            </w:r>
          </w:p>
        </w:tc>
      </w:tr>
      <w:tr>
        <w:trPr>
          <w:tblHeader w:val="off"/>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Demonstrate usable workflows</w:t>
            </w:r>
          </w:p>
        </w:tc>
        <w:tc>
          <w:tcPr>
            <w:tcW w:type="dxa" w:w="3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Black-box cases through the gateway and the web smoke flow</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At least 95% of planned cases pass; 100% of critical cases pass</w:t>
            </w:r>
          </w:p>
        </w:tc>
      </w:tr>
      <w:tr>
        <w:trPr>
          <w:tblHeader w:val="off"/>
        </w:trPr>
        <w:tc>
          <w:tcPr>
            <w:tcW w:type="dxa" w:w="2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Control AI and performance risk</w:t>
            </w:r>
          </w:p>
        </w:tc>
        <w:tc>
          <w:tcPr>
            <w:tcW w:type="dxa" w:w="33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AI timeout, failure, privacy, and load checks</w:t>
            </w:r>
          </w:p>
        </w:tc>
        <w:tc>
          <w:tcPr>
            <w:tcW w:type="dxa" w:w="36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15-second timeout enforced; no AI failure may produce a PASSED result</w:t>
            </w:r>
          </w:p>
        </w:tc>
      </w:tr>
    </w:tbl>
    <w:p>
      <w:pPr>
        <w:pStyle w:val="Heading1"/>
      </w:pPr>
      <w:bookmarkStart w:name="_Toc3" w:id="3"/>
      <w:r>
        <w:t xml:space="preserve">3. Risks and Risk Reduction</w:t>
      </w:r>
      <w:bookmarkEnd w:id="3"/>
    </w:p>
    <w:p>
      <w:pPr>
        <w:pStyle w:val="Heading2"/>
      </w:pPr>
      <w:bookmarkStart w:name="_Toc4" w:id="4"/>
      <w:r>
        <w:t xml:space="preserve">3.1 Magnitude and Sources of Development Risk</w:t>
      </w:r>
      <w:bookmarkEnd w:id="4"/>
    </w:p>
    <w:p>
      <w:r>
        <w:t xml:space="preserve">Each risk below is scored for likelihood and impact on a 1-to-5 scale, and the product of the two scores gives the risk exposure used in Section 3.3. The register is reviewed at the start of every iteration and after any change to scope, tenancy, authentication, or the compliance rules.</w:t>
      </w:r>
    </w:p>
    <w:p>
      <w:pPr>
        <w:spacing w:after="0" w:before="240" w:line="240" w:lineRule="auto"/>
      </w:pPr>
      <w:r>
        <w:rPr>
          <w:b/>
          <w:bCs/>
        </w:rPr>
        <w:t xml:space="preserve">Table 2</w:t>
      </w:r>
    </w:p>
    <w:p>
      <w:pPr>
        <w:spacing w:after="120" w:before="0" w:line="240" w:lineRule="auto"/>
      </w:pPr>
      <w:r>
        <w:rPr>
          <w:i/>
          <w:iCs/>
        </w:rPr>
        <w:t xml:space="preserve">Development Risk Register with Exposure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850"/>
        <w:gridCol w:w="700"/>
        <w:gridCol w:w="950"/>
        <w:gridCol w:w="3560"/>
      </w:tblGrid>
      <w:tr>
        <w:trPr>
          <w:tblHeader/>
        </w:trPr>
        <w:tc>
          <w:tcPr>
            <w:tcW w:type="dxa" w:w="23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Risk</w:t>
            </w:r>
          </w:p>
        </w:tc>
        <w:tc>
          <w:tcPr>
            <w:tcW w:type="dxa" w:w="10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bCs/>
                <w:sz w:val="20"/>
                <w:szCs w:val="20"/>
              </w:rPr>
              <w:t xml:space="preserve">Likelihood</w:t>
            </w:r>
          </w:p>
        </w:tc>
        <w:tc>
          <w:tcPr>
            <w:tcW w:type="dxa" w:w="85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bCs/>
                <w:sz w:val="20"/>
                <w:szCs w:val="20"/>
              </w:rPr>
              <w:t xml:space="preserve">Impact</w:t>
            </w:r>
          </w:p>
        </w:tc>
        <w:tc>
          <w:tcPr>
            <w:tcW w:type="dxa" w:w="7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bCs/>
                <w:sz w:val="20"/>
                <w:szCs w:val="20"/>
              </w:rPr>
              <w:t xml:space="preserve">L × I</w:t>
            </w:r>
          </w:p>
        </w:tc>
        <w:tc>
          <w:tcPr>
            <w:tcW w:type="dxa" w:w="95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bCs/>
                <w:sz w:val="20"/>
                <w:szCs w:val="20"/>
              </w:rPr>
              <w:t xml:space="preserve">Priority</w:t>
            </w:r>
          </w:p>
        </w:tc>
        <w:tc>
          <w:tcPr>
            <w:tcW w:type="dxa" w:w="35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Risk reduction strategy</w:t>
            </w:r>
          </w:p>
        </w:tc>
      </w:tr>
      <w:tr>
        <w:trPr>
          <w:tblHeader w:val="off"/>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R1 Tenancy or role boundary failure exposes another dealer’s data</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2</w:t>
            </w:r>
          </w:p>
        </w:tc>
        <w:tc>
          <w:tcPr>
            <w:tcW w:type="dxa" w:w="8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5</w:t>
            </w:r>
          </w:p>
        </w:tc>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10</w:t>
            </w:r>
          </w:p>
        </w:tc>
        <w:tc>
          <w:tcPr>
            <w:tcW w:type="dxa" w:w="9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1 (promoted)</w:t>
            </w:r>
          </w:p>
        </w:tc>
        <w:tc>
          <w:tcPr>
            <w:tcW w:type="dxa" w:w="3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Repository dealerId filters, JSON Web Token role checks, cross-dealer API cases, and gateway-only routing checks</w:t>
            </w:r>
          </w:p>
        </w:tc>
      </w:tr>
      <w:tr>
        <w:trPr>
          <w:tblHeader w:val="off"/>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R2 Invalid vehicle or sale data creates incorrect inventory or profit information</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3</w:t>
            </w:r>
          </w:p>
        </w:tc>
        <w:tc>
          <w:tcPr>
            <w:tcW w:type="dxa" w:w="8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4</w:t>
            </w:r>
          </w:p>
        </w:tc>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12</w:t>
            </w:r>
          </w:p>
        </w:tc>
        <w:tc>
          <w:tcPr>
            <w:tcW w:type="dxa" w:w="9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1 (promoted)</w:t>
            </w:r>
          </w:p>
        </w:tc>
        <w:tc>
          <w:tcPr>
            <w:tcW w:type="dxa" w:w="3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Field validation, pair validation for sold date and price, sold-field lock tests, and optimistic-lock cases</w:t>
            </w:r>
          </w:p>
        </w:tc>
      </w:tr>
      <w:tr>
        <w:trPr>
          <w:tblHeader w:val="off"/>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R3 Advertisement passes with missing or stale compliance evidence</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3</w:t>
            </w:r>
          </w:p>
        </w:tc>
        <w:tc>
          <w:tcPr>
            <w:tcW w:type="dxa" w:w="8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5</w:t>
            </w:r>
          </w:p>
        </w:tc>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15</w:t>
            </w:r>
          </w:p>
        </w:tc>
        <w:tc>
          <w:tcPr>
            <w:tcW w:type="dxa" w:w="9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1</w:t>
            </w:r>
          </w:p>
        </w:tc>
        <w:tc>
          <w:tcPr>
            <w:tcW w:type="dxa" w:w="3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Static rule review, positive and negative fixtures, current-version check, and export gating</w:t>
            </w:r>
          </w:p>
        </w:tc>
      </w:tr>
      <w:tr>
        <w:trPr>
          <w:tblHeader w:val="off"/>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R4 AI timeout, prompt failure, or privacy leakage is presented as a successful result</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3</w:t>
            </w:r>
          </w:p>
        </w:tc>
        <w:tc>
          <w:tcPr>
            <w:tcW w:type="dxa" w:w="8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5</w:t>
            </w:r>
          </w:p>
        </w:tc>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15</w:t>
            </w:r>
          </w:p>
        </w:tc>
        <w:tc>
          <w:tcPr>
            <w:tcW w:type="dxa" w:w="9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1</w:t>
            </w:r>
          </w:p>
        </w:tc>
        <w:tc>
          <w:tcPr>
            <w:tcW w:type="dxa" w:w="3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15-second timeout test, failure-path test, prompt inspection, and no-contact-data assertions</w:t>
            </w:r>
          </w:p>
        </w:tc>
      </w:tr>
      <w:tr>
        <w:trPr>
          <w:tblHeader w:val="off"/>
        </w:trPr>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R5 User interface and API contracts diverge</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3</w:t>
            </w:r>
          </w:p>
        </w:tc>
        <w:tc>
          <w:tcPr>
            <w:tcW w:type="dxa" w:w="8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3</w:t>
            </w:r>
          </w:p>
        </w:tc>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9</w:t>
            </w:r>
          </w:p>
        </w:tc>
        <w:tc>
          <w:tcPr>
            <w:tcW w:type="dxa" w:w="9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2</w:t>
            </w:r>
          </w:p>
        </w:tc>
        <w:tc>
          <w:tcPr>
            <w:tcW w:type="dxa" w:w="35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OpenAPI review, gateway API checks, type and build checks, and end-to-end critical workflows</w:t>
            </w:r>
          </w:p>
        </w:tc>
      </w:tr>
      <w:tr>
        <w:trPr>
          <w:tblHeader w:val="off"/>
        </w:trPr>
        <w:tc>
          <w:tcPr>
            <w:tcW w:type="dxa" w:w="23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R6 Slow or fragile workflows reduce client confidence</w:t>
            </w:r>
          </w:p>
        </w:tc>
        <w:tc>
          <w:tcPr>
            <w:tcW w:type="dxa" w:w="10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2</w:t>
            </w:r>
          </w:p>
        </w:tc>
        <w:tc>
          <w:tcPr>
            <w:tcW w:type="dxa" w:w="85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3</w:t>
            </w:r>
          </w:p>
        </w:tc>
        <w:tc>
          <w:tcPr>
            <w:tcW w:type="dxa" w:w="7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6</w:t>
            </w:r>
          </w:p>
        </w:tc>
        <w:tc>
          <w:tcPr>
            <w:tcW w:type="dxa" w:w="95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3</w:t>
            </w:r>
          </w:p>
        </w:tc>
        <w:tc>
          <w:tcPr>
            <w:tcW w:type="dxa" w:w="35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Measured smoke timings, bounded AI wait, pagination checks, and manual browser review</w:t>
            </w:r>
          </w:p>
        </w:tc>
      </w:tr>
    </w:tbl>
    <w:p>
      <w:r>
        <w:t xml:space="preserve">R3 and R4 carry the highest exposure. An advertisement that omits a mandatory fee breaches the all-in price advertising rule, and failure to advertise an all-in price is one of the most frequently reported dealer violations in Ontario (OMVIC, 2023), so a false PASSED result transfers a regulatory liability directly to the client. R1 and R2 are promoted to Priority 1 under the rule stated in Section 3.3 because they are tenant-isolation and data-integrity risks.</w:t>
      </w:r>
    </w:p>
    <w:p>
      <w:pPr>
        <w:pStyle w:val="Heading2"/>
      </w:pPr>
      <w:bookmarkStart w:name="_Toc5" w:id="5"/>
      <w:r>
        <w:t xml:space="preserve">3.2 Positive and Negative Testing</w:t>
      </w:r>
      <w:bookmarkEnd w:id="5"/>
    </w:p>
    <w:p>
      <w:r>
        <w:t xml:space="preserve">Positive tests use valid data to prove intended behavior. The confirmed behaviors are: a dealer user signs in with a username, email address, or phone number; a valid vehicle identification number (VIN) creates a vehicle; a customer can be linked to an unbound vehicle; compliant copy reaches AI review and can become PASSED; and a current PASSED check enables the Ready state and the text export. Critical positive flows are executed for both dealerships wherever tenancy is relevant, so that a pass on one tenant is never accepted as evidence for the other.</w:t>
      </w:r>
    </w:p>
    <w:p>
      <w:r>
        <w:t xml:space="preserve">Negative tests deliberately use invalid, incomplete, stale, unauthorized, and unexpected input. The planned edge cases are:</w:t>
      </w:r>
    </w:p>
    <w:p>
      <w:pPr>
        <w:pStyle w:val="ListParagraph"/>
        <w:numPr>
          <w:ilvl w:val="0"/>
          <w:numId w:val="2"/>
        </w:numPr>
      </w:pPr>
      <w:r>
        <w:t xml:space="preserve">duplicate VIN, invalid VIN characters, and a model year outside the permitted range;</w:t>
      </w:r>
    </w:p>
    <w:p>
      <w:pPr>
        <w:pStyle w:val="ListParagraph"/>
        <w:numPr>
          <w:ilvl w:val="0"/>
          <w:numId w:val="2"/>
        </w:numPr>
      </w:pPr>
      <w:r>
        <w:t xml:space="preserve">a sale recorded with only one half of the sold date and sold price pair, and an edit to a sold field after the sale is locked;</w:t>
      </w:r>
    </w:p>
    <w:p>
      <w:pPr>
        <w:pStyle w:val="ListParagraph"/>
        <w:numPr>
          <w:ilvl w:val="0"/>
          <w:numId w:val="2"/>
        </w:numPr>
      </w:pPr>
      <w:r>
        <w:t xml:space="preserve">a write submitted against a stale record version;</w:t>
      </w:r>
    </w:p>
    <w:p>
      <w:pPr>
        <w:pStyle w:val="ListParagraph"/>
        <w:numPr>
          <w:ilvl w:val="0"/>
          <w:numId w:val="2"/>
        </w:numPr>
      </w:pPr>
      <w:r>
        <w:t xml:space="preserve">an administrator calling a business endpoint, and a dealer user reading another dealer’s identifier;</w:t>
      </w:r>
    </w:p>
    <w:p>
      <w:pPr>
        <w:pStyle w:val="ListParagraph"/>
        <w:numPr>
          <w:ilvl w:val="0"/>
          <w:numId w:val="2"/>
        </w:numPr>
      </w:pPr>
      <w:r>
        <w:t xml:space="preserve">a browser request sent directly to the core or AI service instead of the gateway;</w:t>
      </w:r>
    </w:p>
    <w:p>
      <w:pPr>
        <w:pStyle w:val="ListParagraph"/>
        <w:numPr>
          <w:ilvl w:val="0"/>
          <w:numId w:val="2"/>
        </w:numPr>
      </w:pPr>
      <w:r>
        <w:t xml:space="preserve">an AI timeout, an AI error response, and an advertisement edited after it has passed;</w:t>
      </w:r>
    </w:p>
    <w:p>
      <w:pPr>
        <w:pStyle w:val="ListParagraph"/>
        <w:numPr>
          <w:ilvl w:val="0"/>
          <w:numId w:val="2"/>
        </w:numPr>
      </w:pPr>
      <w:r>
        <w:t xml:space="preserve">a missing advertised price and a missing finance annual percentage rate.</w:t>
      </w:r>
    </w:p>
    <w:p>
      <w:r>
        <w:t xml:space="preserve">The expected result in every negative case is a precise HTTP status and error code, no data corruption, and no disclosure of sensitive data. A negative case that returns a generic error, or that leaves the record half-written, is recorded as a defect even when the request is correctly rejected.</w:t>
      </w:r>
    </w:p>
    <w:p>
      <w:pPr>
        <w:pStyle w:val="Heading2"/>
      </w:pPr>
      <w:bookmarkStart w:name="_Toc6" w:id="6"/>
      <w:r>
        <w:t xml:space="preserve">3.3 Risk Prioritization Mechanism</w:t>
      </w:r>
      <w:bookmarkEnd w:id="6"/>
    </w:p>
    <w:p>
      <w:r>
        <w:t xml:space="preserve">Each risk receives a likelihood score and an impact score from 1 to 5, and risk exposure is calculated as likelihood multiplied by impact. An exposure of 15 to 25 is Priority 1 and must be tested before an integration build is accepted; 8 to 14 is Priority 2 and is tested within the current iteration; 1 to 7 is Priority 3 and is tested before release when time permits. Any security, tenant-isolation, data-integrity, or compliance risk is promoted to Priority 1 regardless of its calculated exposure, because the cost of those failures is not proportional to their likelihood.</w:t>
      </w:r>
    </w:p>
    <w:p>
      <w:pPr>
        <w:pStyle w:val="Heading1"/>
      </w:pPr>
      <w:bookmarkStart w:name="_Toc7" w:id="7"/>
      <w:r>
        <w:t xml:space="preserve">4. Test Management Approach</w:t>
      </w:r>
      <w:bookmarkEnd w:id="7"/>
    </w:p>
    <w:p>
      <w:pPr>
        <w:pStyle w:val="Heading2"/>
      </w:pPr>
      <w:bookmarkStart w:name="_Toc8" w:id="8"/>
      <w:r>
        <w:t xml:space="preserve">4.1 Roles and Responsibilities</w:t>
      </w:r>
      <w:bookmarkEnd w:id="8"/>
    </w:p>
    <w:p>
      <w:pPr>
        <w:spacing w:after="0" w:before="240" w:line="240" w:lineRule="auto"/>
      </w:pPr>
      <w:r>
        <w:rPr>
          <w:b/>
          <w:bCs/>
        </w:rPr>
        <w:t xml:space="preserve">Table 3</w:t>
      </w:r>
    </w:p>
    <w:p>
      <w:pPr>
        <w:spacing w:after="120" w:before="0" w:line="240" w:lineRule="auto"/>
      </w:pPr>
      <w:r>
        <w:rPr>
          <w:i/>
          <w:iCs/>
        </w:rPr>
        <w:t xml:space="preserve">Testing Roles and Measurable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Role</w:t>
            </w:r>
          </w:p>
        </w:tc>
        <w:tc>
          <w:tcPr>
            <w:tcW w:type="dxa" w:w="24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Owner</w:t>
            </w:r>
          </w:p>
        </w:tc>
        <w:tc>
          <w:tcPr>
            <w:tcW w:type="dxa" w:w="43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Measurable responsibility</w:t>
            </w:r>
          </w:p>
        </w:tc>
      </w:tr>
      <w:tr>
        <w:trPr>
          <w:tblHeader w:val="off"/>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Full-stack lead and release owner</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Yuandong Yang</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Maintain traceability, review cross-service changes, and confirm that 100% of Priority 1 cases are executed before release</w:t>
            </w:r>
          </w:p>
        </w:tc>
      </w:tr>
      <w:tr>
        <w:trPr>
          <w:tblHeader w:val="off"/>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Role A: web developer</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Bedgel Fadhil Ndam Woukouo</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Review interface guards, form validation, error states, and gateway-only calls; complete the web smoke checklist for every release candidate</w:t>
            </w:r>
          </w:p>
        </w:tc>
      </w:tr>
      <w:tr>
        <w:trPr>
          <w:tblHeader w:val="off"/>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Role B: AI and platform developer</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Jackson Warga</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Verify AI prompt boundaries, timeout behavior, and read-only assistant behavior; execute at least 95% of AI-related acceptance cases</w:t>
            </w:r>
          </w:p>
        </w:tc>
      </w:tr>
      <w:tr>
        <w:trPr>
          <w:tblHeader w:val="off"/>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Role C: gateway and core developer</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Logan Jones</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Verify API contracts, tenancy filters, authorization, audit writes, and every changed backend path</w:t>
            </w:r>
          </w:p>
        </w:tc>
      </w:tr>
      <w:tr>
        <w:trPr>
          <w:tblHeader w:val="off"/>
        </w:trP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Client reviewer</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Capstone client representative</w:t>
            </w:r>
          </w:p>
        </w:tc>
        <w:tc>
          <w:tcPr>
            <w:tcW w:type="dxa" w:w="43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Run the acceptance scenarios, confirm business priorities, and sign off when all critical cases pass</w:t>
            </w:r>
          </w:p>
        </w:tc>
      </w:tr>
      <w:tr>
        <w:trPr>
          <w:tblHeader w:val="off"/>
        </w:trPr>
        <w:tc>
          <w:tcPr>
            <w:tcW w:type="dxa" w:w="26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Course reviewer</w:t>
            </w:r>
          </w:p>
        </w:tc>
        <w:tc>
          <w:tcPr>
            <w:tcW w:type="dxa" w:w="24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Instructor or peer reviewer</w:t>
            </w:r>
          </w:p>
        </w:tc>
        <w:tc>
          <w:tcPr>
            <w:tcW w:type="dxa" w:w="43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Review report completeness, test evidence, and presentation</w:t>
            </w:r>
          </w:p>
        </w:tc>
      </w:tr>
    </w:tbl>
    <w:p>
      <w:pPr>
        <w:pStyle w:val="Heading2"/>
      </w:pPr>
      <w:bookmarkStart w:name="_Toc9" w:id="9"/>
      <w:r>
        <w:t xml:space="preserve">4.2 Test Planning and Scheduling</w:t>
      </w:r>
      <w:bookmarkEnd w:id="9"/>
    </w:p>
    <w:p>
      <w:pPr>
        <w:spacing w:after="0" w:before="240" w:line="240" w:lineRule="auto"/>
      </w:pPr>
      <w:r>
        <w:rPr>
          <w:b/>
          <w:bCs/>
        </w:rPr>
        <w:t xml:space="preserve">Table 4</w:t>
      </w:r>
    </w:p>
    <w:p>
      <w:pPr>
        <w:spacing w:after="120" w:before="0" w:line="240" w:lineRule="auto"/>
      </w:pPr>
      <w:r>
        <w:rPr>
          <w:i/>
          <w:iCs/>
        </w:rPr>
        <w:t xml:space="preserve">Testing Activities and Exit Evidence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4000"/>
      </w:tblGrid>
      <w:tr>
        <w:trPr>
          <w:tblHeader/>
        </w:trPr>
        <w:tc>
          <w:tcPr>
            <w:tcW w:type="dxa" w:w="17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Stage</w:t>
            </w:r>
          </w:p>
        </w:tc>
        <w:tc>
          <w:tcPr>
            <w:tcW w:type="dxa" w:w="36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Activity</w:t>
            </w:r>
          </w:p>
        </w:tc>
        <w:tc>
          <w:tcPr>
            <w:tcW w:type="dxa" w:w="40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Exit evidence</w:t>
            </w:r>
          </w:p>
        </w:tc>
      </w:tr>
      <w:tr>
        <w:trPr>
          <w:tblHeader w:val="off"/>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Requirements</w:t>
            </w:r>
          </w:p>
        </w:tc>
        <w:tc>
          <w:tcPr>
            <w:tcW w:type="dxa" w:w="36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Review scope, roles, API contract, acceptance cases, and the risk register</w:t>
            </w:r>
          </w:p>
        </w:tc>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Traceability matrix and risk register reviewed before coding begins</w:t>
            </w:r>
          </w:p>
        </w:tc>
      </w:tr>
      <w:tr>
        <w:trPr>
          <w:tblHeader w:val="off"/>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Design</w:t>
            </w:r>
          </w:p>
        </w:tc>
        <w:tc>
          <w:tcPr>
            <w:tcW w:type="dxa" w:w="36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Static review of interface flows, security boundaries, data rules, and the AI protocol</w:t>
            </w:r>
          </w:p>
        </w:tc>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Peer review comments resolved or recorded with an owner</w:t>
            </w:r>
          </w:p>
        </w:tc>
      </w:tr>
      <w:tr>
        <w:trPr>
          <w:tblHeader w:val="off"/>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Implementation</w:t>
            </w:r>
          </w:p>
        </w:tc>
        <w:tc>
          <w:tcPr>
            <w:tcW w:type="dxa" w:w="36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Unit checks for changed domain logic; build and type checks</w:t>
            </w:r>
          </w:p>
        </w:tc>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Clean build for each backend service and for the web application</w:t>
            </w:r>
          </w:p>
        </w:tc>
      </w:tr>
      <w:tr>
        <w:trPr>
          <w:tblHeader w:val="off"/>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Integration</w:t>
            </w:r>
          </w:p>
        </w:tc>
        <w:tc>
          <w:tcPr>
            <w:tcW w:type="dxa" w:w="36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API checks through the gateway, cross-service AI checks, and the regression smoke flow</w:t>
            </w:r>
          </w:p>
        </w:tc>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All Priority 1 cases pass; no blocking contract mismatch</w:t>
            </w:r>
          </w:p>
        </w:tc>
      </w:tr>
      <w:tr>
        <w:trPr>
          <w:tblHeader w:val="off"/>
        </w:trPr>
        <w:tc>
          <w:tcPr>
            <w:tcW w:type="dxa" w:w="17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Release candidate</w:t>
            </w:r>
          </w:p>
        </w:tc>
        <w:tc>
          <w:tcPr>
            <w:tcW w:type="dxa" w:w="36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Full planned acceptance set, performance timing, and client walkthrough</w:t>
            </w:r>
          </w:p>
        </w:tc>
        <w:tc>
          <w:tcPr>
            <w:tcW w:type="dxa" w:w="40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At least 95% of planned cases pass and all release gates pass</w:t>
            </w:r>
          </w:p>
        </w:tc>
      </w:tr>
    </w:tbl>
    <w:p>
      <w:r>
        <w:t xml:space="preserve">Regression checks run within 24 hours of each integrated build. Existing automated tests may be run as evidence, but test code is not added or modified during the current development phase. Manual API checks always go through the gateway; a direct call to the core or AI service is itself a negative security case.</w:t>
      </w:r>
    </w:p>
    <w:p>
      <w:pPr>
        <w:pStyle w:val="Heading2"/>
      </w:pPr>
      <w:bookmarkStart w:name="_Toc10" w:id="10"/>
      <w:r>
        <w:t xml:space="preserve">4.3 Tools and Resources</w:t>
      </w:r>
      <w:bookmarkEnd w:id="10"/>
    </w:p>
    <w:p>
      <w:r>
        <w:t xml:space="preserve">The team uses the project’s existing Maven builds for the core, gateway, and AI services; the npm build and type check for the web application; Swagger or curl through the gateway for API evidence; browser developer tools for routing, authorization, and interface states; the existing MySQL and container-based integration setup where available; and the repository’s request-tracing logs for diagnosis. Every recorded result includes the test case identifier, the account used, the input, the expected and actual status and error code, a screenshot or response body, the request identifier, and the relevant log lines, so that any result can be reproduced by another team member.</w:t>
      </w:r>
    </w:p>
    <w:p>
      <w:pPr>
        <w:pStyle w:val="Heading1"/>
      </w:pPr>
      <w:bookmarkStart w:name="_Toc11" w:id="11"/>
      <w:r>
        <w:t xml:space="preserve">5. Testing Strategies Across the SDLC</w:t>
      </w:r>
      <w:bookmarkEnd w:id="11"/>
    </w:p>
    <w:p>
      <w:r>
        <w:t xml:space="preserve">The strategy combines static, white-box, black-box, performance, and acceptance testing. Each strategy is applied at the point in the software development life cycle where it yields the most information for the least cost (Everett &amp; McLeod, 2007).</w:t>
      </w:r>
    </w:p>
    <w:p>
      <w:pPr>
        <w:spacing w:after="0" w:before="240" w:line="240" w:lineRule="auto"/>
      </w:pPr>
      <w:r>
        <w:rPr>
          <w:b/>
          <w:bCs/>
        </w:rPr>
        <w:t xml:space="preserve">Table 5</w:t>
      </w:r>
    </w:p>
    <w:p>
      <w:pPr>
        <w:spacing w:after="120" w:before="0" w:line="240" w:lineRule="auto"/>
      </w:pPr>
      <w:r>
        <w:rPr>
          <w:i/>
          <w:iCs/>
        </w:rPr>
        <w:t xml:space="preserve">Testing Strategies Applied to DealerOps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60"/>
        <w:gridCol w:w="2600"/>
      </w:tblGrid>
      <w:tr>
        <w:trPr>
          <w:tblHeader/>
        </w:trPr>
        <w:tc>
          <w:tcPr>
            <w:tcW w:type="dxa" w:w="17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Strategy</w:t>
            </w:r>
          </w:p>
        </w:tc>
        <w:tc>
          <w:tcPr>
            <w:tcW w:type="dxa" w:w="50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Application to DealerOps</w:t>
            </w:r>
          </w:p>
        </w:tc>
        <w:tc>
          <w:tcPr>
            <w:tcW w:type="dxa" w:w="26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Target</w:t>
            </w:r>
          </w:p>
        </w:tc>
      </w:tr>
      <w:tr>
        <w:trPr>
          <w:tblHeader w:val="off"/>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Static testing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Review the scope baseline, requirements, API contract, database migrations, trust boundaries, interface acceptance notes, and the AI protocol. Participants are the responsible role owner plus one peer. The criteria checked are requirement coverage, role and tenant rules, error codes, privacy of prompt content, and migration naming.</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100% of changed requirements and API endpoints reviewed before merge</w:t>
            </w:r>
          </w:p>
        </w:tc>
      </w:tr>
      <w:tr>
        <w:trPr>
          <w:tblHeader w:val="off"/>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White-box testing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Unit-test input validation, service rules, tenant guards, status transitions, sale locking, stale-version checks, audit writes, and AI timeout handling, using the existing JUnit and Maven setup and the service-level test seams.</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At least 80% line coverage for core domain services; 100% of changed security and state-transition branches</w:t>
            </w:r>
          </w:p>
        </w:tc>
      </w:tr>
      <w:tr>
        <w:trPr>
          <w:tblHeader w:val="off"/>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Black-box testing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Exercise sign-in, administrator binding, DMS, CRM, advertisement, assistant, error-code, interface-guard, and gateway-routing behavior with valid and invalid external input, mapping each case to an AUTH, DMS, CRM, AD, AI, or UI requirement.</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100% of Must requirements mapped; 100% of Priority 1 cases executed; at least 95% of planned cases pass</w:t>
            </w:r>
          </w:p>
        </w:tc>
      </w:tr>
      <w:tr>
        <w:trPr>
          <w:tblHeader w:val="off"/>
        </w:trPr>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Performance testing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Measure representative list and detail requests and the advertisement check path under the expected classroom load, and verify bounded waiting and stable behavior across repeated requests. The approved scope does not define a throughput service-level objective, so capacity is not a release gate.</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AI request timeout enforced at 15 seconds; smoke actions complete with no browser error; no unbounded wait or resource leak</w:t>
            </w:r>
          </w:p>
        </w:tc>
      </w:tr>
      <w:tr>
        <w:trPr>
          <w:tblHeader w:val="off"/>
        </w:trPr>
        <w:tc>
          <w:tcPr>
            <w:tcW w:type="dxa" w:w="17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Acceptance testing</w:t>
            </w:r>
          </w:p>
        </w:tc>
        <w:tc>
          <w:tcPr>
            <w:tcW w:type="dxa" w:w="50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The client reviews the classroom storyline: two dealers remain isolated, the administrator is denied business data, a non-compliant advertisement is blocked, a compliant advertisement passes a real AI review, and an earlier check is invalidated after a price or condition change.</w:t>
            </w:r>
          </w:p>
        </w:tc>
        <w:tc>
          <w:tcPr>
            <w:tcW w:type="dxa" w:w="26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Client sign-off after all critical scenarios pass with no critical or high defect open</w:t>
            </w:r>
          </w:p>
        </w:tc>
      </w:tr>
    </w:tbl>
    <w:p>
      <w:pPr>
        <w:pStyle w:val="Heading1"/>
      </w:pPr>
      <w:bookmarkStart w:name="_Toc12" w:id="12"/>
      <w:r>
        <w:t xml:space="preserve">6. Test Execution and ROI Considerations</w:t>
      </w:r>
      <w:bookmarkEnd w:id="12"/>
    </w:p>
    <w:p>
      <w:pPr>
        <w:pStyle w:val="Heading2"/>
      </w:pPr>
      <w:bookmarkStart w:name="_Toc13" w:id="13"/>
      <w:r>
        <w:t xml:space="preserve">6.1 Timing of Testing</w:t>
      </w:r>
      <w:bookmarkEnd w:id="13"/>
    </w:p>
    <w:p>
      <w:r>
        <w:t xml:space="preserve">Testing begins during requirements review, because a missing tenancy rule or an ambiguous compliance rule can affect several services and screens at once, and static review is the least expensive point of correction. Unit checks run while the code is written, API checks begin as soon as an endpoint is available, and client acceptance occurs on an integrated release candidate. This ordering applies the principle that early testing saves time and money: a defect removed in requirements or design costs far less than the same defect removed after release, because the later defect has already been copied into dependent code, documentation, and client expectations (International Software Testing Qualifications Board [ISTQB], 2024).</w:t>
      </w:r>
    </w:p>
    <w:p>
      <w:r>
        <w:t xml:space="preserve">For planning, the team uses an explicit relative estimate: a defect found during requirements or design review is assumed to take 1 staff-hour to correct; the same defect found during integration is estimated at 4 staff-hours; after client review, 8 staff-hours; and after release, 15 staff-hours, including diagnosis, coordination, and re-validation. These multipliers are capstone planning assumptions rather than measurements from this project, and they will be replaced by logged effort once the team has enough recorded defects to compute its own ratio.</w:t>
      </w:r>
    </w:p>
    <w:p>
      <w:pPr>
        <w:pStyle w:val="Heading2"/>
      </w:pPr>
      <w:bookmarkStart w:name="_Toc14" w:id="14"/>
      <w:r>
        <w:t xml:space="preserve">6.2 Cost of Failure Estimate</w:t>
      </w:r>
      <w:bookmarkEnd w:id="14"/>
    </w:p>
    <w:p>
      <w:r>
        <w:t xml:space="preserve">No verified client loss data was supplied, so every figure below is built from one stated labour rate and one stated disruption assumption. The team uses CAD 40 per staff-hour. That rate is deliberately conservative: it sits below the Government of Canada Job Bank median wage of CAD 48.08 per hour for software developers in Alberta (Government of Canada, 2025), so these estimates understate what the same remediation would cost a commercial dealer group.</w:t>
      </w:r>
    </w:p>
    <w:p>
      <w:r>
        <w:t xml:space="preserve">The largest estimated exposure is a tenant-isolation defect (R1). The assumption is 4 hours of incident response and 8 hours of remediation, plus one day of client disruption estimated at CAD 500, giving a direct impact of (4 + 8) × 40 + 500 = CAD 980, before any reputational or regulatory consequence. A compliance export defect (R3) is estimated at 6 hours of investigation and correction plus CAD 300 of client rework, or 6 × 40 + 300 = CAD 540. An AI outage (R4) is estimated at 2 hours of triage plus a half-day of manual review valued at CAD 200, or 2 × 40 + 200 = CAD 280. The client disruption figures are team assumptions based on a single staff member losing part of a working day, and they are the weakest input in the calculation; they will be revised if the client provides actual hourly or downtime figures.</w:t>
      </w:r>
    </w:p>
    <w:p>
      <w:r>
        <w:t xml:space="preserve">Against these amounts, the testing effort is justified on cost alone. The Priority 1 acceptance set is estimated at roughly 8 staff-hours per release candidate, or CAD 320, which is less than the estimated impact of a single tenant-isolation or compliance failure reaching the client.</w:t>
      </w:r>
    </w:p>
    <w:p>
      <w:pPr>
        <w:pStyle w:val="Heading1"/>
      </w:pPr>
      <w:bookmarkStart w:name="_Toc15" w:id="15"/>
      <w:r>
        <w:t xml:space="preserve">7. Test Completion Criteria</w:t>
      </w:r>
      <w:bookmarkEnd w:id="15"/>
    </w:p>
    <w:p>
      <w:r>
        <w:t xml:space="preserve">Testing is complete for a release candidate when every criterion below is met and the evidence named in the table has been recorded in the repository.</w:t>
      </w:r>
    </w:p>
    <w:p>
      <w:pPr>
        <w:spacing w:after="0" w:before="240" w:line="240" w:lineRule="auto"/>
      </w:pPr>
      <w:r>
        <w:rPr>
          <w:b/>
          <w:bCs/>
        </w:rPr>
        <w:t xml:space="preserve">Table 6</w:t>
      </w:r>
    </w:p>
    <w:p>
      <w:pPr>
        <w:spacing w:after="120" w:before="0" w:line="240" w:lineRule="auto"/>
      </w:pPr>
      <w:r>
        <w:rPr>
          <w:i/>
          <w:iCs/>
        </w:rPr>
        <w:t xml:space="preserve">Measurable Test Completion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300"/>
        <w:gridCol w:w="2300"/>
        <w:gridCol w:w="2680"/>
      </w:tblGrid>
      <w:tr>
        <w:trPr>
          <w:tblHeader/>
        </w:trPr>
        <w:tc>
          <w:tcPr>
            <w:tcW w:type="dxa" w:w="20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Criterion</w:t>
            </w:r>
          </w:p>
        </w:tc>
        <w:tc>
          <w:tcPr>
            <w:tcW w:type="dxa" w:w="23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Target value</w:t>
            </w:r>
          </w:p>
        </w:tc>
        <w:tc>
          <w:tcPr>
            <w:tcW w:type="dxa" w:w="230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Evidence</w:t>
            </w:r>
          </w:p>
        </w:tc>
        <w:tc>
          <w:tcPr>
            <w:tcW w:type="dxa" w:w="268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Rationale</w:t>
            </w:r>
          </w:p>
        </w:tc>
      </w:tr>
      <w:tr>
        <w:trPr>
          <w:tblHeader w:val="off"/>
        </w:trPr>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Must requirements covered</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100% mapped to a test case</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Traceability matrix</w:t>
            </w:r>
          </w:p>
        </w:tc>
        <w:tc>
          <w:tcPr>
            <w:tcW w:type="dxa" w:w="2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Prevents silent scope gaps</w:t>
            </w:r>
          </w:p>
        </w:tc>
      </w:tr>
      <w:tr>
        <w:trPr>
          <w:tblHeader w:val="off"/>
        </w:trPr>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Priority 1 cases</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100% executed and passed</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Execution report</w:t>
            </w:r>
          </w:p>
        </w:tc>
        <w:tc>
          <w:tcPr>
            <w:tcW w:type="dxa" w:w="2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The highest-exposure risks must be demonstrated, not assumed</w:t>
            </w:r>
          </w:p>
        </w:tc>
      </w:tr>
      <w:tr>
        <w:trPr>
          <w:tblHeader w:val="off"/>
        </w:trPr>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Planned test cases</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At least 95% pass</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Test summary</w:t>
            </w:r>
          </w:p>
        </w:tc>
        <w:tc>
          <w:tcPr>
            <w:tcW w:type="dxa" w:w="2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Allows a small number of non-critical follow-ups</w:t>
            </w:r>
          </w:p>
        </w:tc>
      </w:tr>
      <w:tr>
        <w:trPr>
          <w:tblHeader w:val="off"/>
        </w:trPr>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Critical defects</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None open</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Defect tracker</w:t>
            </w:r>
          </w:p>
        </w:tc>
        <w:tc>
          <w:tcPr>
            <w:tcW w:type="dxa" w:w="2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 critical defect prevents release</w:t>
            </w:r>
          </w:p>
        </w:tc>
      </w:tr>
      <w:tr>
        <w:trPr>
          <w:tblHeader w:val="off"/>
        </w:trPr>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High defects</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None open unless the client and instructor explicitly accept the risk</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Defect tracker and decision record</w:t>
            </w:r>
          </w:p>
        </w:tc>
        <w:tc>
          <w:tcPr>
            <w:tcW w:type="dxa" w:w="2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Protects acceptance quality while allowing a recorded exception</w:t>
            </w:r>
          </w:p>
        </w:tc>
      </w:tr>
      <w:tr>
        <w:trPr>
          <w:tblHeader w:val="off"/>
        </w:trPr>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AI safety</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15-second timeout; a failure never reports PASSED; no contact data in prompts</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API response, logs, prompt review</w:t>
            </w:r>
          </w:p>
        </w:tc>
        <w:tc>
          <w:tcPr>
            <w:tcW w:type="dxa" w:w="2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Required real-AI and privacy behavior</w:t>
            </w:r>
          </w:p>
        </w:tc>
      </w:tr>
      <w:tr>
        <w:trPr>
          <w:tblHeader w:val="off"/>
        </w:trPr>
        <w:tc>
          <w:tcPr>
            <w:tcW w:type="dxa" w:w="20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Client acceptance</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Completed for all classroom scenarios</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Signed acceptance record</w:t>
            </w:r>
          </w:p>
        </w:tc>
        <w:tc>
          <w:tcPr>
            <w:tcW w:type="dxa" w:w="26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Confirms the product meets stakeholder expectations</w:t>
            </w:r>
          </w:p>
        </w:tc>
      </w:tr>
      <w:tr>
        <w:trPr>
          <w:tblHeader w:val="off"/>
        </w:trPr>
        <w:tc>
          <w:tcPr>
            <w:tcW w:type="dxa" w:w="20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Build and routing</w:t>
            </w:r>
          </w:p>
        </w:tc>
        <w:tc>
          <w:tcPr>
            <w:tcW w:type="dxa" w:w="23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All four application builds pass; browser traffic uses the gateway only</w:t>
            </w:r>
          </w:p>
        </w:tc>
        <w:tc>
          <w:tcPr>
            <w:tcW w:type="dxa" w:w="230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Build logs and browser evidence</w:t>
            </w:r>
          </w:p>
        </w:tc>
        <w:tc>
          <w:tcPr>
            <w:tcW w:type="dxa" w:w="268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Confirms a deployable integration</w:t>
            </w:r>
          </w:p>
        </w:tc>
      </w:tr>
    </w:tbl>
    <w:p>
      <w:pPr>
        <w:pStyle w:val="Heading1"/>
      </w:pPr>
      <w:bookmarkStart w:name="_Toc16" w:id="16"/>
      <w:r>
        <w:t xml:space="preserve">8. Customer Usage Analysis</w:t>
      </w:r>
      <w:bookmarkEnd w:id="16"/>
    </w:p>
    <w:p>
      <w:r>
        <w:t xml:space="preserve">Expected usage is weighted toward dealership staff maintaining vehicles and preparing advertisements. No production analytics exist for this new system, so the distribution below is an assumption agreed with the client from the described daily routine of a small dealership, where inventory upkeep happens continuously and advertising happens per vehicle. For planning, 50% of representative sessions are assumed to be DMS work, 25% CRM work, 20% advertisement compliance and export, and 5% assistant questions. Test allocation follows that weighting: at least 75% of black-box cases cover DMS or CRM workflows, 20% cover advertising and compliance, and 5% cover assistant behavior, while security and failure cases are added across every workflow rather than drawn from that budget.</w:t>
      </w:r>
    </w:p>
    <w:p>
      <w:r>
        <w:t xml:space="preserve">Usage also shapes the test data. Two dealerships with separate staff accounts are required for every isolation check. At least four vehicle conditions and both in-stock and sold states are required for the DMS and advertisement fixtures. Client review asks at least one client representative to complete three predefined tasks: add and sell a vehicle, create and link a customer, and check and export a compliant advertisement. Each task must be completed without a critical error, with the expected status, and with matching audit evidence. If the client later reports that advertising consumes more time than assumed, the 20% advertising allocation is raised in the next iteration and the risk register is rescored.</w:t>
      </w:r>
    </w:p>
    <w:p>
      <w:pPr>
        <w:pStyle w:val="Heading1"/>
      </w:pPr>
      <w:bookmarkStart w:name="_Toc17" w:id="17"/>
      <w:r>
        <w:t xml:space="preserve">9. Overall Testing Strategy Summary</w:t>
      </w:r>
      <w:bookmarkEnd w:id="17"/>
    </w:p>
    <w:p>
      <w:r>
        <w:t xml:space="preserve">DealerOps will be accepted through a layered, risk-based strategy. Static review prevents ambiguity in requirements, security boundaries, API contracts, and AI behavior. White-box checks validate state transitions and tenant guards close to the code, where a defect is cheapest to remove. Black-box API and interface checks demonstrate what a real user can do through the gateway, including invalid and unauthorized actions. Performance checks protect the 15-second AI budget and detect unbounded waits. Client acceptance confirms the classroom storyline and the business meaning of the results.</w:t>
      </w:r>
    </w:p>
    <w:p>
      <w:r>
        <w:t xml:space="preserve">The release evidence is measurable: every Must requirement is traceable, all Priority 1 cases pass, at least 95% of planned cases pass, no critical or high defect remains open without an explicit recorded acceptance, an AI failure never appears as a pass, and the client signs off the critical workflows. Each layer is aimed at the risks with the greatest calculated exposure in Table 2, and the total effort remains realistic for a capstone schedule and the tools the team already runs.</w:t>
      </w:r>
    </w:p>
    <w:p>
      <w:pPr>
        <w:pStyle w:val="Heading1"/>
      </w:pPr>
      <w:bookmarkStart w:name="_Toc18" w:id="18"/>
      <w:r>
        <w:t xml:space="preserve">10. References</w:t>
      </w:r>
      <w:bookmarkEnd w:id="18"/>
    </w:p>
    <w:p>
      <w:pPr>
        <w:ind w:left="720" w:hanging="720"/>
      </w:pPr>
      <w:r>
        <w:t xml:space="preserve">Everett, G. D., &amp; McLeod, R., Jr. (2007). Software testing: Testing across the entire software development life cycle. John Wiley &amp; Sons.</w:t>
      </w:r>
    </w:p>
    <w:p>
      <w:pPr>
        <w:ind w:left="720" w:hanging="720"/>
      </w:pPr>
      <w:r>
        <w:t xml:space="preserve">Government of Canada. (2025, November 19). Software developer in Alberta: Wages. Job Bank. https://www.jobbank.gc.ca/marketreport/wages-occupation/22548/AB</w:t>
      </w:r>
    </w:p>
    <w:p>
      <w:pPr>
        <w:ind w:left="720" w:hanging="720"/>
      </w:pPr>
      <w:r>
        <w:t xml:space="preserve">International Organization for Standardization. (2022). ISO/IEC/IEEE 29119-1:2022 Software and systems engineering — Software testing — Part 1: General concepts. https://www.iso.org/standard/81291.html</w:t>
      </w:r>
    </w:p>
    <w:p>
      <w:pPr>
        <w:ind w:left="720" w:hanging="720"/>
      </w:pPr>
      <w:r>
        <w:t xml:space="preserve">International Software Testing Qualifications Board. (2024, September 15). Certified tester foundation level syllabus (Version 4.0.1). https://www.istqb.org/wp-content/uploads/2024/11/ISTQB_CTFL_Syllabus_v4.0.1.pdf</w:t>
      </w:r>
    </w:p>
    <w:p>
      <w:pPr>
        <w:ind w:left="720" w:hanging="720"/>
      </w:pPr>
      <w:r>
        <w:t xml:space="preserve">Ontario Motor Vehicle Industry Council. (2023, November). Advertising guideline. https://www.omvic.ca/wp-content/uploads/2023/11/AdvertisingGuideline2023.pdf</w:t>
      </w:r>
    </w:p>
    <w:p>
      <w:pPr>
        <w:ind w:left="720" w:hanging="720"/>
      </w:pPr>
      <w:r>
        <w:t xml:space="preserve">Ontario Motor Vehicle Industry Council. (n.d.). All-in price advertising. Retrieved October 13, 2026, from https://www.omvic.ca/buying/your-rights/all-in-price-advertising/</w:t>
      </w:r>
    </w:p>
    <w:p>
      <w:pPr>
        <w:ind w:left="720" w:hanging="720"/>
      </w:pPr>
      <w:r>
        <w:t xml:space="preserve">DealerOps project team. (2026a, September 21). DealerOps approved scope [Unpublished internal document]. Southern Alberta Institute of Technology.</w:t>
      </w:r>
    </w:p>
    <w:p>
      <w:pPr>
        <w:ind w:left="720" w:hanging="720"/>
      </w:pPr>
      <w:r>
        <w:t xml:space="preserve">DealerOps project team. (2026b, October 7). DealerOps requirements specification [Unpublished internal document]. Southern Alberta Institute of Technology.</w:t>
      </w:r>
    </w:p>
    <w:p>
      <w:pPr>
        <w:ind w:left="720" w:hanging="720"/>
      </w:pPr>
      <w:r>
        <w:t xml:space="preserve">DealerOps project team. (2026c, October 13). Testing and team acceptance guide [Unpublished internal document]. Southern Alberta Institute of Technology.</w:t>
      </w:r>
    </w:p>
    <w:p>
      <w:r>
        <w:br w:type="page"/>
      </w:r>
    </w:p>
    <w:p>
      <w:pPr>
        <w:pStyle w:val="Heading1"/>
      </w:pPr>
      <w:bookmarkStart w:name="_Toc19" w:id="19"/>
      <w:r>
        <w:t xml:space="preserve">Appendix A: Team Contract</w:t>
      </w:r>
      <w:bookmarkEnd w:id="19"/>
    </w:p>
    <w:p>
      <w:r>
        <w:t xml:space="preserve">Project and team. Group G2 is building the DealerOps multi-tenant dealer operations platform for the CPRG305 capstone. Members are Yuandong Yang, Bedgel Fadhil Ndam Woukouo, Jackson Warga, and Logan Jones.</w:t>
      </w:r>
    </w:p>
    <w:p>
      <w:r>
        <w:t xml:space="preserve">Roles. Yuandong Yang is the full-stack lead and release owner, responsible for defect fixes across repositories, pull-request review, and release. Bedgel Fadhil Ndam Woukouo owns the web application. Jackson Warga owns the AI service and platform. Logan Jones owns the gateway and the core service. Each owner is the first reviewer for changes in their area.</w:t>
      </w:r>
    </w:p>
    <w:p>
      <w:r>
        <w:t xml:space="preserve">Communication. The team communicates in the shared project channel and responds to a direct request within 24 hours on weekdays. Decisions that affect other members are posted in the channel on the same day they are made.</w:t>
      </w:r>
    </w:p>
    <w:p>
      <w:r>
        <w:t xml:space="preserve">Meetings. The team meets at least once per week during class time and holds a short check-in before each deliverable. A member who cannot attend sends a written status update beforehand.</w:t>
      </w:r>
    </w:p>
    <w:p>
      <w:r>
        <w:t xml:space="preserve">Decision-making. Technical decisions are made by the owner of the affected area in consultation with the lead. A change that affects scope, tenancy, authentication, API contracts, or acceptance evidence must be recorded in the relevant design document before it is merged.</w:t>
      </w:r>
    </w:p>
    <w:p>
      <w:r>
        <w:t xml:space="preserve">Work standards. Each member reviews their own work against the acceptance criteria before requesting review, and no change is merged without one peer review and a clean build.</w:t>
      </w:r>
    </w:p>
    <w:p>
      <w:r>
        <w:t xml:space="preserve">Deadlines. Internal deadlines are set one working day before the course deadline. A member who expects to miss a deadline raises it as soon as the risk is known, not on the due date.</w:t>
      </w:r>
    </w:p>
    <w:p>
      <w:r>
        <w:t xml:space="preserve">Conflict resolution. Disagreements are first discussed in the team meeting. If the team cannot agree, the lead makes a decision and records the reasoning; if the disagreement concerns participation or fairness, the team raises it with the instructor.</w:t>
      </w:r>
    </w:p>
    <w:p>
      <w:r>
        <w:t xml:space="preserve">Agreement. By submitting this report, all four members confirm that they accept the terms above.</w:t>
      </w:r>
    </w:p>
    <w:p>
      <w:pPr>
        <w:pStyle w:val="Heading1"/>
      </w:pPr>
      <w:bookmarkStart w:name="_Toc20" w:id="20"/>
      <w:r>
        <w:t xml:space="preserve">Appendix B: Peer Assessment Form</w:t>
      </w:r>
      <w:bookmarkEnd w:id="20"/>
    </w:p>
    <w:p>
      <w:r>
        <w:t xml:space="preserve">Each member submits an individual peer assessment using the course scale: 1 = significant area for improvement, 2 = acceptable with some areas for improvement, and 3 = excellent contribution. The evaluator rates each group member on the three criteria below and adds specific constructive comments.</w:t>
      </w:r>
    </w:p>
    <w:p>
      <w:pPr>
        <w:spacing w:after="0" w:before="240" w:line="240" w:lineRule="auto"/>
      </w:pPr>
      <w:r>
        <w:rPr>
          <w:b/>
          <w:bCs/>
        </w:rPr>
        <w:t xml:space="preserve">Table B1</w:t>
      </w:r>
    </w:p>
    <w:p>
      <w:pPr>
        <w:spacing w:after="120" w:before="0" w:line="240" w:lineRule="auto"/>
      </w:pPr>
      <w:r>
        <w:rPr>
          <w:i/>
          <w:iCs/>
        </w:rPr>
        <w:t xml:space="preserve">Peer Assessment Rating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bCs/>
                <w:sz w:val="20"/>
                <w:szCs w:val="20"/>
              </w:rPr>
              <w:t xml:space="preserve">Criterion</w:t>
            </w:r>
          </w:p>
        </w:tc>
        <w:tc>
          <w:tcPr>
            <w:tcW w:type="dxa" w:w="165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bCs/>
                <w:sz w:val="20"/>
                <w:szCs w:val="20"/>
              </w:rPr>
              <w:t xml:space="preserve">Yuandong Yang</w:t>
            </w:r>
          </w:p>
        </w:tc>
        <w:tc>
          <w:tcPr>
            <w:tcW w:type="dxa" w:w="165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bCs/>
                <w:sz w:val="20"/>
                <w:szCs w:val="20"/>
              </w:rPr>
              <w:t xml:space="preserve">Bedgel F. N. Woukouo</w:t>
            </w:r>
          </w:p>
        </w:tc>
        <w:tc>
          <w:tcPr>
            <w:tcW w:type="dxa" w:w="165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bCs/>
                <w:sz w:val="20"/>
                <w:szCs w:val="20"/>
              </w:rPr>
              <w:t xml:space="preserve">Jackson Warga</w:t>
            </w:r>
          </w:p>
        </w:tc>
        <w:tc>
          <w:tcPr>
            <w:tcW w:type="dxa" w:w="165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bCs/>
                <w:sz w:val="20"/>
                <w:szCs w:val="20"/>
              </w:rPr>
              <w:t xml:space="preserve">Logan Jones</w:t>
            </w:r>
          </w:p>
        </w:tc>
      </w:tr>
      <w:tr>
        <w:trPr>
          <w:tblHeader w:val="off"/>
        </w:trP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Motivation and engagement in the assignment</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/3</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/3</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/3</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/3</w:t>
            </w:r>
          </w:p>
        </w:tc>
      </w:tr>
      <w:tr>
        <w:trPr>
          <w:tblHeader w:val="off"/>
        </w:trP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Timely submission of deliverables</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/3</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/3</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/3</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/3</w:t>
            </w:r>
          </w:p>
        </w:tc>
      </w:tr>
      <w:tr>
        <w:trPr>
          <w:tblHeader w:val="off"/>
        </w:trPr>
        <w:tc>
          <w:tcPr>
            <w:tcW w:type="dxa" w:w="276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Effective communication and problem solving</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/3</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/3</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/3</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/3</w:t>
            </w:r>
          </w:p>
        </w:tc>
      </w:tr>
      <w:tr>
        <w:trPr>
          <w:tblHeader w:val="off"/>
        </w:trPr>
        <w:tc>
          <w:tcPr>
            <w:tcW w:type="dxa" w:w="276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pPr>
            <w:r>
              <w:rPr>
                <w:b w:val="false"/>
                <w:bCs w:val="false"/>
                <w:sz w:val="20"/>
                <w:szCs w:val="20"/>
              </w:rPr>
              <w:t xml:space="preserve">Other comments for your peers</w:t>
            </w:r>
          </w:p>
        </w:tc>
        <w:tc>
          <w:tcPr>
            <w:tcW w:type="dxa" w:w="165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w:r>
          </w:p>
        </w:tc>
        <w:tc>
          <w:tcPr>
            <w:tcW w:type="dxa" w:w="165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w:r>
          </w:p>
        </w:tc>
        <w:tc>
          <w:tcPr>
            <w:tcW w:type="dxa" w:w="165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w:r>
          </w:p>
        </w:tc>
        <w:tc>
          <w:tcPr>
            <w:tcW w:type="dxa" w:w="165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before="0" w:line="240" w:lineRule="auto"/>
              <w:jc w:val="center"/>
            </w:pPr>
            <w:r>
              <w:rPr>
                <w:b w:val="false"/>
                <w:bCs w:val="false"/>
                <w:sz w:val="20"/>
                <w:szCs w:val="20"/>
              </w:rPr>
              <w:t xml:space="preserve"/>
            </w:r>
          </w:p>
        </w:tc>
      </w:tr>
    </w:tbl>
    <w:sectPr>
      <w:headerReference w:type="default" r:id="rId6"/>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line="480" w:lineRule="auto"/>
        <w:jc w:val="lef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0" w:before="240" w:line="480" w:lineRule="auto"/>
      <w:jc w:val="center"/>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240" w:line="480" w:lineRule="auto"/>
      <w:jc w:val="left"/>
    </w:pPr>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Indent">
    <w:name w:val="Body Indent"/>
    <w:basedOn w:val="Normal"/>
    <w:next w:val="BodyIndent"/>
    <w:pPr>
      <w:spacing w:after="0" w:line="480" w:lineRule="auto"/>
      <w:ind w:firstLine="720"/>
    </w:pPr>
    <w:rPr>
      <w:rFonts w:ascii="Times New Roman" w:cs="Times New Roman" w:eastAsia="Times New Roman" w:hAnsi="Times New Roman"/>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2026-10-13T16:22:11.709Z</dcterms:created>
  <dcterms:modified xsi:type="dcterms:W3CDTF">2026-10-13T16:22:11.710Z</dcterms:modified>
</cp:coreProperties>
</file>

<file path=docProps/custom.xml><?xml version="1.0" encoding="utf-8"?>
<Properties xmlns="http://schemas.openxmlformats.org/officeDocument/2006/custom-properties" xmlns:vt="http://schemas.openxmlformats.org/officeDocument/2006/docPropsVTypes"/>
</file>