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900"/>
        <w:jc w:val="center"/>
      </w:pPr>
      <w:r>
        <w:rPr>
          <w:b/>
          <w:bCs/>
          <w:color w:val="1F4E78"/>
          <w:sz w:val="40"/>
          <w:szCs w:val="40"/>
        </w:rPr>
        <w:t xml:space="preserve">DealerOps</w:t>
      </w:r>
    </w:p>
    <w:p>
      <w:pPr>
        <w:spacing w:after="120"/>
        <w:jc w:val="center"/>
      </w:pPr>
      <w:r>
        <w:rPr>
          <w:b/>
          <w:bCs/>
          <w:sz w:val="30"/>
          <w:szCs w:val="30"/>
        </w:rPr>
        <w:t xml:space="preserve">Group Assignment 2: Developing a Testing Plan</w:t>
      </w:r>
    </w:p>
    <w:p>
      <w:pPr>
        <w:spacing w:after="320"/>
        <w:jc w:val="center"/>
      </w:pPr>
      <w:r>
        <w:rPr>
          <w:sz w:val="23"/>
          <w:szCs w:val="23"/>
        </w:rPr>
        <w:t xml:space="preserve">Software Testing and Deployment (CPRG-305-B)</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800"/>
            <w:shd w:fill="1F4E78" w:val="clear"/>
            <w:tcMar>
              <w:top w:type="dxa" w:w="80"/>
              <w:left w:type="dxa" w:w="90"/>
              <w:bottom w:type="dxa" w:w="80"/>
              <w:right w:type="dxa" w:w="90"/>
            </w:tcMar>
          </w:tcPr>
          <w:p>
            <w:pPr>
              <w:spacing w:after="0"/>
            </w:pPr>
            <w:r>
              <w:rPr>
                <w:b/>
                <w:bCs/>
                <w:color w:val="FFFFFF"/>
                <w:sz w:val="17"/>
                <w:szCs w:val="17"/>
              </w:rPr>
              <w:t xml:space="preserve">Project</w:t>
            </w:r>
          </w:p>
        </w:tc>
        <w:tc>
          <w:tcPr>
            <w:tcW w:type="dxa" w:w="1400"/>
            <w:shd w:fill="1F4E78" w:val="clear"/>
            <w:tcMar>
              <w:top w:type="dxa" w:w="80"/>
              <w:left w:type="dxa" w:w="90"/>
              <w:bottom w:type="dxa" w:w="80"/>
              <w:right w:type="dxa" w:w="90"/>
            </w:tcMar>
          </w:tcPr>
          <w:p>
            <w:pPr>
              <w:spacing w:after="0"/>
            </w:pPr>
            <w:r>
              <w:rPr>
                <w:b/>
                <w:bCs/>
                <w:color w:val="FFFFFF"/>
                <w:sz w:val="17"/>
                <w:szCs w:val="17"/>
              </w:rPr>
              <w:t xml:space="preserve">Group</w:t>
            </w:r>
          </w:p>
        </w:tc>
        <w:tc>
          <w:tcPr>
            <w:tcW w:type="dxa" w:w="3800"/>
            <w:shd w:fill="1F4E78" w:val="clear"/>
            <w:tcMar>
              <w:top w:type="dxa" w:w="80"/>
              <w:left w:type="dxa" w:w="90"/>
              <w:bottom w:type="dxa" w:w="80"/>
              <w:right w:type="dxa" w:w="90"/>
            </w:tcMar>
          </w:tcPr>
          <w:p>
            <w:pPr>
              <w:spacing w:after="0"/>
            </w:pPr>
            <w:r>
              <w:rPr>
                <w:b/>
                <w:bCs/>
                <w:color w:val="FFFFFF"/>
                <w:sz w:val="17"/>
                <w:szCs w:val="17"/>
              </w:rPr>
              <w:t xml:space="preserve">Members</w:t>
            </w:r>
          </w:p>
        </w:tc>
        <w:tc>
          <w:tcPr>
            <w:tcW w:type="dxa" w:w="2360"/>
            <w:shd w:fill="1F4E78" w:val="clear"/>
            <w:tcMar>
              <w:top w:type="dxa" w:w="80"/>
              <w:left w:type="dxa" w:w="90"/>
              <w:bottom w:type="dxa" w:w="80"/>
              <w:right w:type="dxa" w:w="90"/>
            </w:tcMar>
          </w:tcPr>
          <w:p>
            <w:pPr>
              <w:spacing w:after="0"/>
            </w:pPr>
            <w:r>
              <w:rPr>
                <w:b/>
                <w:bCs/>
                <w:color w:val="FFFFFF"/>
                <w:sz w:val="17"/>
                <w:szCs w:val="17"/>
              </w:rPr>
              <w:t xml:space="preserve">Course / version / date</w:t>
            </w:r>
          </w:p>
        </w:tc>
      </w:tr>
      <w:tr>
        <w:trPr>
          <w:cantSplit/>
        </w:trPr>
        <w:tc>
          <w:tcPr>
            <w:tcW w:type="dxa" w:w="1800"/>
            <w:tcMar>
              <w:top w:type="dxa" w:w="80"/>
              <w:left w:type="dxa" w:w="90"/>
              <w:bottom w:type="dxa" w:w="80"/>
              <w:right w:type="dxa" w:w="90"/>
            </w:tcMar>
          </w:tcPr>
          <w:p>
            <w:pPr>
              <w:spacing w:after="0"/>
            </w:pPr>
            <w:r>
              <w:rPr>
                <w:b w:val="false"/>
                <w:bCs w:val="false"/>
                <w:color w:val="000000"/>
                <w:sz w:val="16"/>
                <w:szCs w:val="16"/>
              </w:rPr>
              <w:t xml:space="preserve">DealerOps capstone test plan</w:t>
            </w:r>
          </w:p>
        </w:tc>
        <w:tc>
          <w:tcPr>
            <w:tcW w:type="dxa" w:w="1400"/>
            <w:tcMar>
              <w:top w:type="dxa" w:w="80"/>
              <w:left w:type="dxa" w:w="90"/>
              <w:bottom w:type="dxa" w:w="80"/>
              <w:right w:type="dxa" w:w="90"/>
            </w:tcMar>
          </w:tcPr>
          <w:p>
            <w:pPr>
              <w:spacing w:after="0"/>
            </w:pPr>
            <w:r>
              <w:rPr>
                <w:b w:val="false"/>
                <w:bCs w:val="false"/>
                <w:color w:val="000000"/>
                <w:sz w:val="16"/>
                <w:szCs w:val="16"/>
              </w:rPr>
              <w:t xml:space="preserve">Group 12</w:t>
            </w:r>
          </w:p>
        </w:tc>
        <w:tc>
          <w:tcPr>
            <w:tcW w:type="dxa" w:w="3800"/>
            <w:tcMar>
              <w:top w:type="dxa" w:w="80"/>
              <w:left w:type="dxa" w:w="90"/>
              <w:bottom w:type="dxa" w:w="80"/>
              <w:right w:type="dxa" w:w="90"/>
            </w:tcMar>
          </w:tcPr>
          <w:p>
            <w:pPr>
              <w:spacing w:after="0"/>
            </w:pPr>
            <w:r>
              <w:rPr>
                <w:b w:val="false"/>
                <w:bCs w:val="false"/>
                <w:color w:val="000000"/>
                <w:sz w:val="16"/>
                <w:szCs w:val="16"/>
              </w:rPr>
              <w:t xml:space="preserve">Yuandong Yang, Daniel Watson, and Xiaomei He</w:t>
            </w:r>
          </w:p>
        </w:tc>
        <w:tc>
          <w:tcPr>
            <w:tcW w:type="dxa" w:w="2360"/>
            <w:tcMar>
              <w:top w:type="dxa" w:w="80"/>
              <w:left w:type="dxa" w:w="90"/>
              <w:bottom w:type="dxa" w:w="80"/>
              <w:right w:type="dxa" w:w="90"/>
            </w:tcMar>
          </w:tcPr>
          <w:p>
            <w:pPr>
              <w:spacing w:after="0"/>
            </w:pPr>
            <w:r>
              <w:rPr>
                <w:b w:val="false"/>
                <w:bCs w:val="false"/>
                <w:color w:val="000000"/>
                <w:sz w:val="16"/>
                <w:szCs w:val="16"/>
              </w:rPr>
              <w:t xml:space="preserve">CPRG-305-B · v2.0 · October 23, 2026</w:t>
            </w:r>
          </w:p>
        </w:tc>
      </w:tr>
    </w:tbl>
    <w:p>
      <w:pPr>
        <w:spacing w:after="180" w:line="276"/>
      </w:pPr>
      <w:r>
        <w:rPr>
          <w:i/>
          <w:iCs/>
          <w:sz w:val="18"/>
          <w:szCs w:val="18"/>
        </w:rPr>
        <w:t xml:space="preserve">Submission note: this group document is paired with the separate Excel test-case document, which contains 70 test cases. Each group member submits the required peer assessment individually.</w:t>
      </w:r>
    </w:p>
    <w:p>
      <w:pPr>
        <w:pStyle w:val="Heading1"/>
        <w:spacing w:after="100" w:before="220"/>
      </w:pPr>
      <w:r>
        <w:rPr>
          <w:b/>
          <w:bCs/>
          <w:color w:val="1F4E78"/>
          <w:sz w:val="26"/>
          <w:szCs w:val="26"/>
        </w:rPr>
        <w:t xml:space="preserve">Rubric mapping</w:t>
      </w:r>
    </w:p>
    <w:p>
      <w:pPr>
        <w:spacing w:after="100" w:line="276"/>
      </w:pPr>
      <w:r>
        <w:rPr>
          <w:sz w:val="20"/>
          <w:szCs w:val="20"/>
        </w:rPr>
        <w:t xml:space="preserve">For the course rubric (Group Assignment Developing a Testing Plan Rubric), each criterion is addressed in the following locations: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4200"/>
            <w:shd w:fill="1F4E78" w:val="clear"/>
            <w:tcMar>
              <w:top w:type="dxa" w:w="80"/>
              <w:left w:type="dxa" w:w="90"/>
              <w:bottom w:type="dxa" w:w="80"/>
              <w:right w:type="dxa" w:w="90"/>
            </w:tcMar>
          </w:tcPr>
          <w:p>
            <w:pPr>
              <w:spacing w:after="0"/>
            </w:pPr>
            <w:r>
              <w:rPr>
                <w:b/>
                <w:bCs/>
                <w:color w:val="FFFFFF"/>
                <w:sz w:val="17"/>
                <w:szCs w:val="17"/>
              </w:rPr>
              <w:t xml:space="preserve">Rubric criterion</w:t>
            </w:r>
          </w:p>
        </w:tc>
        <w:tc>
          <w:tcPr>
            <w:tcW w:type="dxa" w:w="900"/>
            <w:shd w:fill="1F4E78" w:val="clear"/>
            <w:tcMar>
              <w:top w:type="dxa" w:w="80"/>
              <w:left w:type="dxa" w:w="90"/>
              <w:bottom w:type="dxa" w:w="80"/>
              <w:right w:type="dxa" w:w="90"/>
            </w:tcMar>
          </w:tcPr>
          <w:p>
            <w:pPr>
              <w:spacing w:after="0"/>
            </w:pPr>
            <w:r>
              <w:rPr>
                <w:b/>
                <w:bCs/>
                <w:color w:val="FFFFFF"/>
                <w:sz w:val="17"/>
                <w:szCs w:val="17"/>
              </w:rPr>
              <w:t xml:space="preserve">Marks</w:t>
            </w:r>
          </w:p>
        </w:tc>
        <w:tc>
          <w:tcPr>
            <w:tcW w:type="dxa" w:w="4260"/>
            <w:shd w:fill="1F4E78" w:val="clear"/>
            <w:tcMar>
              <w:top w:type="dxa" w:w="80"/>
              <w:left w:type="dxa" w:w="90"/>
              <w:bottom w:type="dxa" w:w="80"/>
              <w:right w:type="dxa" w:w="90"/>
            </w:tcMar>
          </w:tcPr>
          <w:p>
            <w:pPr>
              <w:spacing w:after="0"/>
            </w:pPr>
            <w:r>
              <w:rPr>
                <w:b/>
                <w:bCs/>
                <w:color w:val="FFFFFF"/>
                <w:sz w:val="17"/>
                <w:szCs w:val="17"/>
              </w:rPr>
              <w:t xml:space="preserve">Location in this plan</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Description of the applications/systems being tested</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§2.1 System description; §2.2 Business purpose and stakeholders</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Testing objective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§2.3 Testing objectives</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Scope and limitation of the Test Plan</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§2.4 Scope and limitations; §4 Features to Be Tested; §5 Features Not to Be Tested</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Sources of business expertise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§2.5 Sources of business (domain) expertise</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Sources of development expertise</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§2.6 Sources of development (technical) expertise</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Requirements for the testing environments and their management</w:t>
            </w:r>
          </w:p>
        </w:tc>
        <w:tc>
          <w:tcPr>
            <w:tcW w:type="dxa" w:w="900"/>
            <w:tcMar>
              <w:top w:type="dxa" w:w="80"/>
              <w:left w:type="dxa" w:w="90"/>
              <w:bottom w:type="dxa" w:w="80"/>
              <w:right w:type="dxa" w:w="90"/>
            </w:tcMar>
          </w:tcPr>
          <w:p>
            <w:pPr>
              <w:spacing w:after="0"/>
            </w:pPr>
            <w:r>
              <w:rPr>
                <w:b w:val="false"/>
                <w:bCs w:val="false"/>
                <w:color w:val="000000"/>
                <w:sz w:val="16"/>
                <w:szCs w:val="16"/>
              </w:rPr>
              <w:t xml:space="preserve">/4</w:t>
            </w:r>
          </w:p>
        </w:tc>
        <w:tc>
          <w:tcPr>
            <w:tcW w:type="dxa" w:w="4260"/>
            <w:tcMar>
              <w:top w:type="dxa" w:w="80"/>
              <w:left w:type="dxa" w:w="90"/>
              <w:bottom w:type="dxa" w:w="80"/>
              <w:right w:type="dxa" w:w="90"/>
            </w:tcMar>
          </w:tcPr>
          <w:p>
            <w:pPr>
              <w:spacing w:after="0"/>
            </w:pPr>
            <w:r>
              <w:rPr>
                <w:b w:val="false"/>
                <w:bCs w:val="false"/>
                <w:color w:val="000000"/>
                <w:sz w:val="16"/>
                <w:szCs w:val="16"/>
              </w:rPr>
              <w:t xml:space="preserve">§11 Environmental Needs</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Testing details for development phase</w:t>
            </w:r>
          </w:p>
        </w:tc>
        <w:tc>
          <w:tcPr>
            <w:tcW w:type="dxa" w:w="900"/>
            <w:tcMar>
              <w:top w:type="dxa" w:w="80"/>
              <w:left w:type="dxa" w:w="90"/>
              <w:bottom w:type="dxa" w:w="80"/>
              <w:right w:type="dxa" w:w="90"/>
            </w:tcMar>
          </w:tcPr>
          <w:p>
            <w:pPr>
              <w:spacing w:after="0"/>
            </w:pPr>
            <w:r>
              <w:rPr>
                <w:b w:val="false"/>
                <w:bCs w:val="false"/>
                <w:color w:val="000000"/>
                <w:sz w:val="16"/>
                <w:szCs w:val="16"/>
              </w:rPr>
              <w:t xml:space="preserve">/33</w:t>
            </w:r>
          </w:p>
        </w:tc>
        <w:tc>
          <w:tcPr>
            <w:tcW w:type="dxa" w:w="4260"/>
            <w:tcMar>
              <w:top w:type="dxa" w:w="80"/>
              <w:left w:type="dxa" w:w="90"/>
              <w:bottom w:type="dxa" w:w="80"/>
              <w:right w:type="dxa" w:w="90"/>
            </w:tcMar>
          </w:tcPr>
          <w:p>
            <w:pPr>
              <w:spacing w:after="0"/>
            </w:pPr>
            <w:r>
              <w:rPr>
                <w:b w:val="false"/>
                <w:bCs w:val="false"/>
                <w:color w:val="000000"/>
                <w:sz w:val="16"/>
                <w:szCs w:val="16"/>
              </w:rPr>
              <w:t xml:space="preserve">§6 Test Approach across the SDLC and §6A Testing details per development phase (review, unit, integration, system, acceptance, deployment, regression)</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Sources of test data</w:t>
            </w:r>
          </w:p>
        </w:tc>
        <w:tc>
          <w:tcPr>
            <w:tcW w:type="dxa" w:w="900"/>
            <w:tcMar>
              <w:top w:type="dxa" w:w="80"/>
              <w:left w:type="dxa" w:w="90"/>
              <w:bottom w:type="dxa" w:w="80"/>
              <w:right w:type="dxa" w:w="90"/>
            </w:tcMar>
          </w:tcPr>
          <w:p>
            <w:pPr>
              <w:spacing w:after="0"/>
            </w:pPr>
            <w:r>
              <w:rPr>
                <w:b w:val="false"/>
                <w:bCs w:val="false"/>
                <w:color w:val="000000"/>
                <w:sz w:val="16"/>
                <w:szCs w:val="16"/>
              </w:rPr>
              <w:t xml:space="preserve">/33</w:t>
            </w:r>
          </w:p>
        </w:tc>
        <w:tc>
          <w:tcPr>
            <w:tcW w:type="dxa" w:w="4260"/>
            <w:tcMar>
              <w:top w:type="dxa" w:w="80"/>
              <w:left w:type="dxa" w:w="90"/>
              <w:bottom w:type="dxa" w:w="80"/>
              <w:right w:type="dxa" w:w="90"/>
            </w:tcMar>
          </w:tcPr>
          <w:p>
            <w:pPr>
              <w:spacing w:after="0"/>
            </w:pPr>
            <w:r>
              <w:rPr>
                <w:b w:val="false"/>
                <w:bCs w:val="false"/>
                <w:color w:val="000000"/>
                <w:sz w:val="16"/>
                <w:szCs w:val="16"/>
              </w:rPr>
              <w:t xml:space="preserve">§11A Sources of test data</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Overall testing schedule</w:t>
            </w:r>
          </w:p>
        </w:tc>
        <w:tc>
          <w:tcPr>
            <w:tcW w:type="dxa" w:w="900"/>
            <w:tcMar>
              <w:top w:type="dxa" w:w="80"/>
              <w:left w:type="dxa" w:w="90"/>
              <w:bottom w:type="dxa" w:w="80"/>
              <w:right w:type="dxa" w:w="90"/>
            </w:tcMar>
          </w:tcPr>
          <w:p>
            <w:pPr>
              <w:spacing w:after="0"/>
            </w:pPr>
            <w:r>
              <w:rPr>
                <w:b w:val="false"/>
                <w:bCs w:val="false"/>
                <w:color w:val="000000"/>
                <w:sz w:val="16"/>
                <w:szCs w:val="16"/>
              </w:rPr>
              <w:t xml:space="preserve">/5</w:t>
            </w:r>
          </w:p>
        </w:tc>
        <w:tc>
          <w:tcPr>
            <w:tcW w:type="dxa" w:w="4260"/>
            <w:tcMar>
              <w:top w:type="dxa" w:w="80"/>
              <w:left w:type="dxa" w:w="90"/>
              <w:bottom w:type="dxa" w:w="80"/>
              <w:right w:type="dxa" w:w="90"/>
            </w:tcMar>
          </w:tcPr>
          <w:p>
            <w:pPr>
              <w:spacing w:after="0"/>
            </w:pPr>
            <w:r>
              <w:rPr>
                <w:b w:val="false"/>
                <w:bCs w:val="false"/>
                <w:color w:val="000000"/>
                <w:sz w:val="16"/>
                <w:szCs w:val="16"/>
              </w:rPr>
              <w:t xml:space="preserve">§13 Schedule, in particular the overall master schedule</w:t>
            </w:r>
          </w:p>
        </w:tc>
      </w:tr>
      <w:tr>
        <w:trPr>
          <w:cantSplit/>
        </w:trPr>
        <w:tc>
          <w:tcPr>
            <w:tcW w:type="dxa" w:w="4200"/>
            <w:tcMar>
              <w:top w:type="dxa" w:w="80"/>
              <w:left w:type="dxa" w:w="90"/>
              <w:bottom w:type="dxa" w:w="80"/>
              <w:right w:type="dxa" w:w="90"/>
            </w:tcMar>
          </w:tcPr>
          <w:p>
            <w:pPr>
              <w:spacing w:after="0"/>
            </w:pPr>
            <w:r>
              <w:rPr>
                <w:b w:val="false"/>
                <w:bCs w:val="false"/>
                <w:color w:val="000000"/>
                <w:sz w:val="16"/>
                <w:szCs w:val="16"/>
              </w:rPr>
              <w:t xml:space="preserve">Peer review (individual submission)</w:t>
            </w:r>
          </w:p>
        </w:tc>
        <w:tc>
          <w:tcPr>
            <w:tcW w:type="dxa" w:w="900"/>
            <w:tcMar>
              <w:top w:type="dxa" w:w="80"/>
              <w:left w:type="dxa" w:w="90"/>
              <w:bottom w:type="dxa" w:w="80"/>
              <w:right w:type="dxa" w:w="90"/>
            </w:tcMar>
          </w:tcPr>
          <w:p>
            <w:pPr>
              <w:spacing w:after="0"/>
            </w:pPr>
            <w:r>
              <w:rPr>
                <w:b w:val="false"/>
                <w:bCs w:val="false"/>
                <w:color w:val="000000"/>
                <w:sz w:val="16"/>
                <w:szCs w:val="16"/>
              </w:rPr>
              <w:t xml:space="preserve">/5</w:t>
            </w:r>
          </w:p>
        </w:tc>
        <w:tc>
          <w:tcPr>
            <w:tcW w:type="dxa" w:w="4260"/>
            <w:tcMar>
              <w:top w:type="dxa" w:w="80"/>
              <w:left w:type="dxa" w:w="90"/>
              <w:bottom w:type="dxa" w:w="80"/>
              <w:right w:type="dxa" w:w="90"/>
            </w:tcMar>
          </w:tcPr>
          <w:p>
            <w:pPr>
              <w:spacing w:after="0"/>
            </w:pPr>
            <w:r>
              <w:rPr>
                <w:b w:val="false"/>
                <w:bCs w:val="false"/>
                <w:color w:val="000000"/>
                <w:sz w:val="16"/>
                <w:szCs w:val="16"/>
              </w:rPr>
              <w:t xml:space="preserve">Separate individual file (Yuandong_Yang_Peer_Assessment.docx)</w:t>
            </w:r>
          </w:p>
        </w:tc>
      </w:tr>
    </w:tbl>
    <w:p>
      <w:pPr>
        <w:pStyle w:val="Heading1"/>
        <w:spacing w:after="100" w:before="220"/>
      </w:pPr>
      <w:r>
        <w:rPr>
          <w:b/>
          <w:bCs/>
          <w:color w:val="1F4E78"/>
          <w:sz w:val="26"/>
          <w:szCs w:val="26"/>
        </w:rPr>
        <w:t xml:space="preserve">1. Test Plan Identifier</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200"/>
            <w:shd w:fill="1F4E78" w:val="clear"/>
            <w:tcMar>
              <w:top w:type="dxa" w:w="80"/>
              <w:left w:type="dxa" w:w="90"/>
              <w:bottom w:type="dxa" w:w="80"/>
              <w:right w:type="dxa" w:w="90"/>
            </w:tcMar>
          </w:tcPr>
          <w:p>
            <w:pPr>
              <w:spacing w:after="0"/>
            </w:pPr>
            <w:r>
              <w:rPr>
                <w:b/>
                <w:bCs/>
                <w:color w:val="FFFFFF"/>
                <w:sz w:val="17"/>
                <w:szCs w:val="17"/>
              </w:rPr>
              <w:t xml:space="preserve">Field</w:t>
            </w:r>
          </w:p>
        </w:tc>
        <w:tc>
          <w:tcPr>
            <w:tcW w:type="dxa" w:w="7160"/>
            <w:shd w:fill="1F4E78" w:val="clear"/>
            <w:tcMar>
              <w:top w:type="dxa" w:w="80"/>
              <w:left w:type="dxa" w:w="90"/>
              <w:bottom w:type="dxa" w:w="80"/>
              <w:right w:type="dxa" w:w="90"/>
            </w:tcMar>
          </w:tcPr>
          <w:p>
            <w:pPr>
              <w:spacing w:after="0"/>
            </w:pPr>
            <w:r>
              <w:rPr>
                <w:b/>
                <w:bCs/>
                <w:color w:val="FFFFFF"/>
                <w:sz w:val="17"/>
                <w:szCs w:val="17"/>
              </w:rPr>
              <w:t xml:space="preserve">Value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Test plan identifier</w:t>
            </w:r>
          </w:p>
        </w:tc>
        <w:tc>
          <w:tcPr>
            <w:tcW w:type="dxa" w:w="7160"/>
            <w:tcMar>
              <w:top w:type="dxa" w:w="80"/>
              <w:left w:type="dxa" w:w="90"/>
              <w:bottom w:type="dxa" w:w="80"/>
              <w:right w:type="dxa" w:w="90"/>
            </w:tcMar>
          </w:tcPr>
          <w:p>
            <w:pPr>
              <w:spacing w:after="0"/>
            </w:pPr>
            <w:r>
              <w:rPr>
                <w:b w:val="false"/>
                <w:bCs w:val="false"/>
                <w:color w:val="000000"/>
                <w:sz w:val="16"/>
                <w:szCs w:val="16"/>
              </w:rPr>
              <w:t xml:space="preserve">DO-CPRG305-GA2-TP-002</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Version</w:t>
            </w:r>
          </w:p>
        </w:tc>
        <w:tc>
          <w:tcPr>
            <w:tcW w:type="dxa" w:w="7160"/>
            <w:tcMar>
              <w:top w:type="dxa" w:w="80"/>
              <w:left w:type="dxa" w:w="90"/>
              <w:bottom w:type="dxa" w:w="80"/>
              <w:right w:type="dxa" w:w="90"/>
            </w:tcMar>
          </w:tcPr>
          <w:p>
            <w:pPr>
              <w:spacing w:after="0"/>
            </w:pPr>
            <w:r>
              <w:rPr>
                <w:b w:val="false"/>
                <w:bCs w:val="false"/>
                <w:color w:val="000000"/>
                <w:sz w:val="16"/>
                <w:szCs w:val="16"/>
              </w:rPr>
              <w:t xml:space="preserve">v2.0 of October 23, 2026 (supersedes v1.0 of October 13, 2026)</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System under test</w:t>
            </w:r>
          </w:p>
        </w:tc>
        <w:tc>
          <w:tcPr>
            <w:tcW w:type="dxa" w:w="7160"/>
            <w:tcMar>
              <w:top w:type="dxa" w:w="80"/>
              <w:left w:type="dxa" w:w="90"/>
              <w:bottom w:type="dxa" w:w="80"/>
              <w:right w:type="dxa" w:w="90"/>
            </w:tcMar>
          </w:tcPr>
          <w:p>
            <w:pPr>
              <w:spacing w:after="0"/>
            </w:pPr>
            <w:r>
              <w:rPr>
                <w:b w:val="false"/>
                <w:bCs w:val="false"/>
                <w:color w:val="000000"/>
                <w:sz w:val="16"/>
                <w:szCs w:val="16"/>
              </w:rPr>
              <w:t xml:space="preserve">DealerOps multi-tenant dealership platform: React 19 web client, YARP gateway, ASP.NET Core 10 business service, ASP.NET Core 10 AI service, MySQL 8.4</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Authors</w:t>
            </w:r>
          </w:p>
        </w:tc>
        <w:tc>
          <w:tcPr>
            <w:tcW w:type="dxa" w:w="7160"/>
            <w:tcMar>
              <w:top w:type="dxa" w:w="80"/>
              <w:left w:type="dxa" w:w="90"/>
              <w:bottom w:type="dxa" w:w="80"/>
              <w:right w:type="dxa" w:w="90"/>
            </w:tcMar>
          </w:tcPr>
          <w:p>
            <w:pPr>
              <w:spacing w:after="0"/>
            </w:pPr>
            <w:r>
              <w:rPr>
                <w:b w:val="false"/>
                <w:bCs w:val="false"/>
                <w:color w:val="000000"/>
                <w:sz w:val="16"/>
                <w:szCs w:val="16"/>
              </w:rPr>
              <w:t xml:space="preserve">Yuandong Yang (QA lead), Daniel Watson, Xiaomei He</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Baseline</w:t>
            </w:r>
          </w:p>
        </w:tc>
        <w:tc>
          <w:tcPr>
            <w:tcW w:type="dxa" w:w="7160"/>
            <w:tcMar>
              <w:top w:type="dxa" w:w="80"/>
              <w:left w:type="dxa" w:w="90"/>
              <w:bottom w:type="dxa" w:w="80"/>
              <w:right w:type="dxa" w:w="90"/>
            </w:tcMar>
          </w:tcPr>
          <w:p>
            <w:pPr>
              <w:spacing w:after="0"/>
            </w:pPr>
            <w:r>
              <w:rPr>
                <w:b w:val="false"/>
                <w:bCs w:val="false"/>
                <w:color w:val="000000"/>
                <w:sz w:val="16"/>
                <w:szCs w:val="16"/>
              </w:rPr>
              <w:t xml:space="preserve">Working tree of the DealerOps repository on October 23, 2026; the deployed Azure demo of the same commit</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Plan status</w:t>
            </w:r>
          </w:p>
        </w:tc>
        <w:tc>
          <w:tcPr>
            <w:tcW w:type="dxa" w:w="7160"/>
            <w:tcMar>
              <w:top w:type="dxa" w:w="80"/>
              <w:left w:type="dxa" w:w="90"/>
              <w:bottom w:type="dxa" w:w="80"/>
              <w:right w:type="dxa" w:w="90"/>
            </w:tcMar>
          </w:tcPr>
          <w:p>
            <w:pPr>
              <w:spacing w:after="0"/>
            </w:pPr>
            <w:r>
              <w:rPr>
                <w:b w:val="false"/>
                <w:bCs w:val="false"/>
                <w:color w:val="000000"/>
                <w:sz w:val="16"/>
                <w:szCs w:val="16"/>
              </w:rPr>
              <w:t xml:space="preserve">Approved by the group; ready for execution in Group Assignment 3</w:t>
            </w:r>
          </w:p>
        </w:tc>
      </w:tr>
      <w:tr>
        <w:trPr>
          <w:cantSplit/>
        </w:trPr>
        <w:tc>
          <w:tcPr>
            <w:tcW w:type="dxa" w:w="2200"/>
            <w:tcMar>
              <w:top w:type="dxa" w:w="80"/>
              <w:left w:type="dxa" w:w="90"/>
              <w:bottom w:type="dxa" w:w="80"/>
              <w:right w:type="dxa" w:w="90"/>
            </w:tcMar>
          </w:tcPr>
          <w:p>
            <w:pPr>
              <w:spacing w:after="0"/>
            </w:pPr>
            <w:r>
              <w:rPr>
                <w:b w:val="false"/>
                <w:bCs w:val="false"/>
                <w:color w:val="000000"/>
                <w:sz w:val="16"/>
                <w:szCs w:val="16"/>
              </w:rPr>
              <w:t xml:space="preserve">Date created</w:t>
            </w:r>
          </w:p>
        </w:tc>
        <w:tc>
          <w:tcPr>
            <w:tcW w:type="dxa" w:w="7160"/>
            <w:tcMar>
              <w:top w:type="dxa" w:w="80"/>
              <w:left w:type="dxa" w:w="90"/>
              <w:bottom w:type="dxa" w:w="80"/>
              <w:right w:type="dxa" w:w="90"/>
            </w:tcMar>
          </w:tcPr>
          <w:p>
            <w:pPr>
              <w:spacing w:after="0"/>
            </w:pPr>
            <w:r>
              <w:rPr>
                <w:b w:val="false"/>
                <w:bCs w:val="false"/>
                <w:color w:val="000000"/>
                <w:sz w:val="16"/>
                <w:szCs w:val="16"/>
              </w:rPr>
              <w:t xml:space="preserve">October 23, 2026</w:t>
            </w:r>
          </w:p>
        </w:tc>
      </w:tr>
    </w:tbl>
    <w:p>
      <w:pPr>
        <w:pStyle w:val="Heading1"/>
        <w:spacing w:after="100" w:before="220"/>
      </w:pPr>
      <w:r>
        <w:rPr>
          <w:b/>
          <w:bCs/>
          <w:color w:val="1F4E78"/>
          <w:sz w:val="26"/>
          <w:szCs w:val="26"/>
        </w:rPr>
        <w:t xml:space="preserve">2. Introduction</w:t>
      </w:r>
    </w:p>
    <w:p>
      <w:pPr>
        <w:pStyle w:val="Heading2"/>
        <w:spacing w:after="100" w:before="220"/>
      </w:pPr>
      <w:r>
        <w:rPr>
          <w:b/>
          <w:bCs/>
          <w:color w:val="1F4E78"/>
          <w:sz w:val="23"/>
          <w:szCs w:val="23"/>
        </w:rPr>
        <w:t xml:space="preserve">2.1 System description</w:t>
      </w:r>
    </w:p>
    <w:p>
      <w:pPr>
        <w:spacing w:after="100" w:line="276"/>
      </w:pPr>
      <w:r>
        <w:rPr>
          <w:sz w:val="21"/>
          <w:szCs w:val="21"/>
        </w:rPr>
        <w:t xml:space="preserve">DealerOps is a multi-tenant back office for independent used-car dealers. It has three business areas: a dealer management system for vehicle inventory (DMS), a customer and lead system (CRM), and OMVIC-style advertising compliance in which a real AI model reviews the advertisement copy. A platform administrator opens dealerships and binds staff accounts; staff only ever see their own dealership. The product also publishes a public buyer site, records a payment ledger and a printable bill of sale for sold vehicles, reports dashboard figures, and keeps a finance-grade audit trail of every operation.</w:t>
      </w:r>
    </w:p>
    <w:p>
      <w:pPr>
        <w:spacing w:after="100" w:line="276"/>
      </w:pPr>
      <w:r>
        <w:rPr>
          <w:sz w:val="21"/>
          <w:szCs w:val="21"/>
        </w:rPr>
        <w:t xml:space="preserve">The system is four cooperating applications. The React 19 and TypeScript client (Vite, port 5174 locally) is the only user interface and calls only the gateway. DealerOps.Gateway (ASP.NET Core 10 with YARP, port 8080) is the single public entry point: it validates the JWT, applies CORS and rate limits, and forwards business traffic to DealerOps.Core and internal AI traffic to DealerOps.AiService with an X-Dealer-Internal token that is never given to the browser. DealerOps.Core (ASP.NET Core 10 with EF Core, port 8081) owns sign-in, dealership membership and roles, vehicles, customers, leads, work orders, photos, listings, the OMVIC rule engine, payments, reports, the audit trail, and persistence to MySQL 8.4. DealerOps.AiService (port 8082) is internal only, holds no database, and performs the advertisement review and the read-only assistant. In the cloud the same four applications run as Azure App Service web apps with Azure Database for MySQL Flexible Server, Key Vault and Application Insights, created by Terraform.</w:t>
      </w:r>
    </w:p>
    <w:p>
      <w:pPr>
        <w:spacing w:after="100" w:line="276"/>
      </w:pPr>
      <w:r>
        <w:rPr>
          <w:sz w:val="21"/>
          <w:szCs w:val="21"/>
        </w:rPr>
        <w:t xml:space="preserve">The principal business workflow is: a staff member signs in, records a vehicle and a customer and links them, writes the advertisement for that vehicle, runs the compliance check, and only a check that passes on the current content version allows the advertisement to be marked ready and exported or published to the buyer site. Measurable quality expectations used throughout this plan: a normal gateway request completes in under 3 seconds; an AI review returns within its 15-second timeout or is recorded as unavailable; the inventory and customer lists page at 10 rows per page, newest first; a vehicle photo is at most 2 MB and a vehicle holds at most 10 photos; the assistant returns at most 5 read-only cards; cross-dealership access is 0 in every test; and the cloud demo must be reachable over HTTPS for the three sprint reviews.</w:t>
      </w:r>
    </w:p>
    <w:p>
      <w:pPr>
        <w:pStyle w:val="Heading2"/>
        <w:spacing w:after="100" w:before="220"/>
      </w:pPr>
      <w:r>
        <w:rPr>
          <w:b/>
          <w:bCs/>
          <w:color w:val="1F4E78"/>
          <w:sz w:val="23"/>
          <w:szCs w:val="23"/>
        </w:rPr>
        <w:t xml:space="preserve">2.2 Business purpose and stakeholders</w:t>
      </w:r>
    </w:p>
    <w:p>
      <w:pPr>
        <w:spacing w:after="100" w:line="276"/>
      </w:pPr>
      <w:r>
        <w:rPr>
          <w:sz w:val="21"/>
          <w:szCs w:val="21"/>
        </w:rPr>
        <w:t xml:space="preserve">Independent dealers today track inventory in spreadsheets and have no reliable way to prove that an advertisement satisfies the provincial advertising rules. DealerOps replaces the spreadsheet with one record per vehicle and customer, and turns advertising compliance into a repeatable check with stored evidence. The business benefits are fewer pricing and disclosure mistakes in published advertisements, a defensible audit trail, and faster day-to-day inventory work.</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Stakeholder / user</w:t>
            </w:r>
          </w:p>
        </w:tc>
        <w:tc>
          <w:tcPr>
            <w:tcW w:type="dxa" w:w="6760"/>
            <w:shd w:fill="1F4E78" w:val="clear"/>
            <w:tcMar>
              <w:top w:type="dxa" w:w="80"/>
              <w:left w:type="dxa" w:w="90"/>
              <w:bottom w:type="dxa" w:w="80"/>
              <w:right w:type="dxa" w:w="90"/>
            </w:tcMar>
          </w:tcPr>
          <w:p>
            <w:pPr>
              <w:spacing w:after="0"/>
            </w:pPr>
            <w:r>
              <w:rPr>
                <w:b/>
                <w:bCs/>
                <w:color w:val="FFFFFF"/>
                <w:sz w:val="17"/>
                <w:szCs w:val="17"/>
              </w:rPr>
              <w:t xml:space="preserve">Need and quality expectation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Dealership staff (Dealer.User, staff role)</w:t>
            </w:r>
          </w:p>
        </w:tc>
        <w:tc>
          <w:tcPr>
            <w:tcW w:type="dxa" w:w="6760"/>
            <w:tcMar>
              <w:top w:type="dxa" w:w="80"/>
              <w:left w:type="dxa" w:w="90"/>
              <w:bottom w:type="dxa" w:w="80"/>
              <w:right w:type="dxa" w:w="90"/>
            </w:tcMar>
          </w:tcPr>
          <w:p>
            <w:pPr>
              <w:spacing w:after="0"/>
            </w:pPr>
            <w:r>
              <w:rPr>
                <w:b w:val="false"/>
                <w:bCs w:val="false"/>
                <w:color w:val="000000"/>
                <w:sz w:val="16"/>
                <w:szCs w:val="16"/>
              </w:rPr>
              <w:t xml:space="preserve">Fast, accurate vehicle, customer and lead work; clear per-field validation; an advertisement result they can act on.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Dealership manager</w:t>
            </w:r>
          </w:p>
        </w:tc>
        <w:tc>
          <w:tcPr>
            <w:tcW w:type="dxa" w:w="6760"/>
            <w:tcMar>
              <w:top w:type="dxa" w:w="80"/>
              <w:left w:type="dxa" w:w="90"/>
              <w:bottom w:type="dxa" w:w="80"/>
              <w:right w:type="dxa" w:w="90"/>
            </w:tcMar>
          </w:tcPr>
          <w:p>
            <w:pPr>
              <w:spacing w:after="0"/>
            </w:pPr>
            <w:r>
              <w:rPr>
                <w:b w:val="false"/>
                <w:bCs w:val="false"/>
                <w:color w:val="000000"/>
                <w:sz w:val="16"/>
                <w:szCs w:val="16"/>
              </w:rPr>
              <w:t xml:space="preserve">Team management, the dealership audit log, and the payment ledger; confidence that staff cannot read or change what they should not.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Platform administrator</w:t>
            </w:r>
          </w:p>
        </w:tc>
        <w:tc>
          <w:tcPr>
            <w:tcW w:type="dxa" w:w="6760"/>
            <w:tcMar>
              <w:top w:type="dxa" w:w="80"/>
              <w:left w:type="dxa" w:w="90"/>
              <w:bottom w:type="dxa" w:w="80"/>
              <w:right w:type="dxa" w:w="90"/>
            </w:tcMar>
          </w:tcPr>
          <w:p>
            <w:pPr>
              <w:spacing w:after="0"/>
            </w:pPr>
            <w:r>
              <w:rPr>
                <w:b w:val="false"/>
                <w:bCs w:val="false"/>
                <w:color w:val="000000"/>
                <w:sz w:val="16"/>
                <w:szCs w:val="16"/>
              </w:rPr>
              <w:t xml:space="preserve">Create dealerships, bind and unbind staff, read the platform audit log, and override compliance rules; no access to business records.</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Vehicle buyers (public buyer site)</w:t>
            </w:r>
          </w:p>
        </w:tc>
        <w:tc>
          <w:tcPr>
            <w:tcW w:type="dxa" w:w="6760"/>
            <w:tcMar>
              <w:top w:type="dxa" w:w="80"/>
              <w:left w:type="dxa" w:w="90"/>
              <w:bottom w:type="dxa" w:w="80"/>
              <w:right w:type="dxa" w:w="90"/>
            </w:tcMar>
          </w:tcPr>
          <w:p>
            <w:pPr>
              <w:spacing w:after="0"/>
            </w:pPr>
            <w:r>
              <w:rPr>
                <w:b w:val="false"/>
                <w:bCs w:val="false"/>
                <w:color w:val="000000"/>
                <w:sz w:val="16"/>
                <w:szCs w:val="16"/>
              </w:rPr>
              <w:t xml:space="preserve">Only advertisements that passed a current check, with no dealer cost or customer data exposed, and an inquiry form that reaches the dealership.</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Client / industry partner (capstone sponsor)</w:t>
            </w:r>
          </w:p>
        </w:tc>
        <w:tc>
          <w:tcPr>
            <w:tcW w:type="dxa" w:w="6760"/>
            <w:tcMar>
              <w:top w:type="dxa" w:w="80"/>
              <w:left w:type="dxa" w:w="90"/>
              <w:bottom w:type="dxa" w:w="80"/>
              <w:right w:type="dxa" w:w="90"/>
            </w:tcMar>
          </w:tcPr>
          <w:p>
            <w:pPr>
              <w:spacing w:after="0"/>
            </w:pPr>
            <w:r>
              <w:rPr>
                <w:b w:val="false"/>
                <w:bCs w:val="false"/>
                <w:color w:val="000000"/>
                <w:sz w:val="16"/>
                <w:szCs w:val="16"/>
              </w:rPr>
              <w:t xml:space="preserve">A demonstrable product that matches the specification, and honest reporting of what is and is not covered.</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Course instructor and reviewers</w:t>
            </w:r>
          </w:p>
        </w:tc>
        <w:tc>
          <w:tcPr>
            <w:tcW w:type="dxa" w:w="6760"/>
            <w:tcMar>
              <w:top w:type="dxa" w:w="80"/>
              <w:left w:type="dxa" w:w="90"/>
              <w:bottom w:type="dxa" w:w="80"/>
              <w:right w:type="dxa" w:w="90"/>
            </w:tcMar>
          </w:tcPr>
          <w:p>
            <w:pPr>
              <w:spacing w:after="0"/>
            </w:pPr>
            <w:r>
              <w:rPr>
                <w:b w:val="false"/>
                <w:bCs w:val="false"/>
                <w:color w:val="000000"/>
                <w:sz w:val="16"/>
                <w:szCs w:val="16"/>
              </w:rPr>
              <w:t xml:space="preserve">Evidence that the plan follows IEEE-style documentation, covers every development phase, and is backed by at least 50 executable test cases.</w:t>
            </w:r>
          </w:p>
        </w:tc>
      </w:tr>
    </w:tbl>
    <w:p>
      <w:pPr>
        <w:pStyle w:val="Heading2"/>
        <w:spacing w:after="100" w:before="220"/>
      </w:pPr>
      <w:r>
        <w:rPr>
          <w:b/>
          <w:bCs/>
          <w:color w:val="1F4E78"/>
          <w:sz w:val="23"/>
          <w:szCs w:val="23"/>
        </w:rPr>
        <w:t xml:space="preserve">2.3 Testing objectives</w:t>
      </w:r>
    </w:p>
    <w:p>
      <w:pPr>
        <w:spacing w:after="100" w:line="276"/>
      </w:pPr>
      <w:r>
        <w:rPr>
          <w:sz w:val="21"/>
          <w:szCs w:val="21"/>
        </w:rPr>
        <w:t xml:space="preserve">The objectives below are stated in business terms and ordered by perceived business risk: each one exists because the cost of that failure to the dealership is high. Every objective names how it is measured, so it can be reported as met or not met rather than argued.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Objective</w:t>
            </w:r>
          </w:p>
        </w:tc>
        <w:tc>
          <w:tcPr>
            <w:tcW w:type="dxa" w:w="3900"/>
            <w:shd w:fill="1F4E78" w:val="clear"/>
            <w:tcMar>
              <w:top w:type="dxa" w:w="80"/>
              <w:left w:type="dxa" w:w="90"/>
              <w:bottom w:type="dxa" w:w="80"/>
              <w:right w:type="dxa" w:w="90"/>
            </w:tcMar>
          </w:tcPr>
          <w:p>
            <w:pPr>
              <w:spacing w:after="0"/>
            </w:pPr>
            <w:r>
              <w:rPr>
                <w:b/>
                <w:bCs/>
                <w:color w:val="FFFFFF"/>
                <w:sz w:val="17"/>
                <w:szCs w:val="17"/>
              </w:rPr>
              <w:t xml:space="preserve">Business need / risk addressed</w:t>
            </w:r>
          </w:p>
        </w:tc>
        <w:tc>
          <w:tcPr>
            <w:tcW w:type="dxa" w:w="3560"/>
            <w:shd w:fill="1F4E78" w:val="clear"/>
            <w:tcMar>
              <w:top w:type="dxa" w:w="80"/>
              <w:left w:type="dxa" w:w="90"/>
              <w:bottom w:type="dxa" w:w="80"/>
              <w:right w:type="dxa" w:w="90"/>
            </w:tcMar>
          </w:tcPr>
          <w:p>
            <w:pPr>
              <w:spacing w:after="0"/>
            </w:pPr>
            <w:r>
              <w:rPr>
                <w:b/>
                <w:bCs/>
                <w:color w:val="FFFFFF"/>
                <w:sz w:val="17"/>
                <w:szCs w:val="17"/>
              </w:rPr>
              <w:t xml:space="preserve">How success is measured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O1 — Prove dealership isolation</w:t>
            </w:r>
          </w:p>
        </w:tc>
        <w:tc>
          <w:tcPr>
            <w:tcW w:type="dxa" w:w="3900"/>
            <w:tcMar>
              <w:top w:type="dxa" w:w="80"/>
              <w:left w:type="dxa" w:w="90"/>
              <w:bottom w:type="dxa" w:w="80"/>
              <w:right w:type="dxa" w:w="90"/>
            </w:tcMar>
          </w:tcPr>
          <w:p>
            <w:pPr>
              <w:spacing w:after="0"/>
            </w:pPr>
            <w:r>
              <w:rPr>
                <w:b w:val="false"/>
                <w:bCs w:val="false"/>
                <w:color w:val="000000"/>
                <w:sz w:val="16"/>
                <w:szCs w:val="16"/>
              </w:rPr>
              <w:t xml:space="preserve">A dealership must never see or change another dealership’s inventory, customers, leads or audit rows. Disclosure would breach the client’s trust and the privacy expectations of real buyers.</w:t>
            </w:r>
          </w:p>
        </w:tc>
        <w:tc>
          <w:tcPr>
            <w:tcW w:type="dxa" w:w="3560"/>
            <w:tcMar>
              <w:top w:type="dxa" w:w="80"/>
              <w:left w:type="dxa" w:w="90"/>
              <w:bottom w:type="dxa" w:w="80"/>
              <w:right w:type="dxa" w:w="90"/>
            </w:tcMar>
          </w:tcPr>
          <w:p>
            <w:pPr>
              <w:spacing w:after="0"/>
            </w:pPr>
            <w:r>
              <w:rPr>
                <w:b w:val="false"/>
                <w:bCs w:val="false"/>
                <w:color w:val="000000"/>
                <w:sz w:val="16"/>
                <w:szCs w:val="16"/>
              </w:rPr>
              <w:t xml:space="preserve">Every cross-dealership case returns 404 with no business fields; a spoofed dealerId never moves a write; zero unauthorised reads across the whole run.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O2 — Prove authentication and role separation</w:t>
            </w:r>
          </w:p>
        </w:tc>
        <w:tc>
          <w:tcPr>
            <w:tcW w:type="dxa" w:w="3900"/>
            <w:tcMar>
              <w:top w:type="dxa" w:w="80"/>
              <w:left w:type="dxa" w:w="90"/>
              <w:bottom w:type="dxa" w:w="80"/>
              <w:right w:type="dxa" w:w="90"/>
            </w:tcMar>
          </w:tcPr>
          <w:p>
            <w:pPr>
              <w:spacing w:after="0"/>
            </w:pPr>
            <w:r>
              <w:rPr>
                <w:b w:val="false"/>
                <w:bCs w:val="false"/>
                <w:color w:val="000000"/>
                <w:sz w:val="16"/>
                <w:szCs w:val="16"/>
              </w:rPr>
              <w:t xml:space="preserve">Only the right person may act. A role gap would let an administrator read customer data or a staff member change the team.</w:t>
            </w:r>
          </w:p>
        </w:tc>
        <w:tc>
          <w:tcPr>
            <w:tcW w:type="dxa" w:w="3560"/>
            <w:tcMar>
              <w:top w:type="dxa" w:w="80"/>
              <w:left w:type="dxa" w:w="90"/>
              <w:bottom w:type="dxa" w:w="80"/>
              <w:right w:type="dxa" w:w="90"/>
            </w:tcMar>
          </w:tcPr>
          <w:p>
            <w:pPr>
              <w:spacing w:after="0"/>
            </w:pPr>
            <w:r>
              <w:rPr>
                <w:b w:val="false"/>
                <w:bCs w:val="false"/>
                <w:color w:val="000000"/>
                <w:sz w:val="16"/>
                <w:szCs w:val="16"/>
              </w:rPr>
              <w:t xml:space="preserve">Sign-in, token, membership, manager-only and admin-only cases all pass; the administrator receives 403 on every business endpoint with no business fields in the body.</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O3 — Prove the advertising compliance gate</w:t>
            </w:r>
          </w:p>
        </w:tc>
        <w:tc>
          <w:tcPr>
            <w:tcW w:type="dxa" w:w="3900"/>
            <w:tcMar>
              <w:top w:type="dxa" w:w="80"/>
              <w:left w:type="dxa" w:w="90"/>
              <w:bottom w:type="dxa" w:w="80"/>
              <w:right w:type="dxa" w:w="90"/>
            </w:tcMar>
          </w:tcPr>
          <w:p>
            <w:pPr>
              <w:spacing w:after="0"/>
            </w:pPr>
            <w:r>
              <w:rPr>
                <w:b w:val="false"/>
                <w:bCs w:val="false"/>
                <w:color w:val="000000"/>
                <w:sz w:val="16"/>
                <w:szCs w:val="16"/>
              </w:rPr>
              <w:t xml:space="preserve">An advertisement may only be marked ready, exported or published when a check has passed on the current content. A false pass is a published advertisement that breaks the advertising rules.</w:t>
            </w:r>
          </w:p>
        </w:tc>
        <w:tc>
          <w:tcPr>
            <w:tcW w:type="dxa" w:w="3560"/>
            <w:tcMar>
              <w:top w:type="dxa" w:w="80"/>
              <w:left w:type="dxa" w:w="90"/>
              <w:bottom w:type="dxa" w:w="80"/>
              <w:right w:type="dxa" w:w="90"/>
            </w:tcMar>
          </w:tcPr>
          <w:p>
            <w:pPr>
              <w:spacing w:after="0"/>
            </w:pPr>
            <w:r>
              <w:rPr>
                <w:b w:val="false"/>
                <w:bCs w:val="false"/>
                <w:color w:val="000000"/>
                <w:sz w:val="16"/>
                <w:szCs w:val="16"/>
              </w:rPr>
              <w:t xml:space="preserve">All five check states behave as specified; ready and export are refused with NOT_PASSED or CHECK_STALE in every other state; the exported file never carries purchase cost or customer data.</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O4 — Prove the AI review fails safe</w:t>
            </w:r>
          </w:p>
        </w:tc>
        <w:tc>
          <w:tcPr>
            <w:tcW w:type="dxa" w:w="3900"/>
            <w:tcMar>
              <w:top w:type="dxa" w:w="80"/>
              <w:left w:type="dxa" w:w="90"/>
              <w:bottom w:type="dxa" w:w="80"/>
              <w:right w:type="dxa" w:w="90"/>
            </w:tcMar>
          </w:tcPr>
          <w:p>
            <w:pPr>
              <w:spacing w:after="0"/>
            </w:pPr>
            <w:r>
              <w:rPr>
                <w:b w:val="false"/>
                <w:bCs w:val="false"/>
                <w:color w:val="000000"/>
                <w:sz w:val="16"/>
                <w:szCs w:val="16"/>
              </w:rPr>
              <w:t xml:space="preserve">The AI review must never silently fail open, and must never receive customer contact data.</w:t>
            </w:r>
          </w:p>
        </w:tc>
        <w:tc>
          <w:tcPr>
            <w:tcW w:type="dxa" w:w="3560"/>
            <w:tcMar>
              <w:top w:type="dxa" w:w="80"/>
              <w:left w:type="dxa" w:w="90"/>
              <w:bottom w:type="dxa" w:w="80"/>
              <w:right w:type="dxa" w:w="90"/>
            </w:tcMar>
          </w:tcPr>
          <w:p>
            <w:pPr>
              <w:spacing w:after="0"/>
            </w:pPr>
            <w:r>
              <w:rPr>
                <w:b w:val="false"/>
                <w:bCs w:val="false"/>
                <w:color w:val="000000"/>
                <w:sz w:val="16"/>
                <w:szCs w:val="16"/>
              </w:rPr>
              <w:t xml:space="preserve">A provider timeout, failure, empty answer or missing key is recorded as AI_UNAVAILABLE and shown as unavailable; no prompt, log line or assistant answer contains a phone, e-mail or address.</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O5 — Prove inventory and ledger integrity</w:t>
            </w:r>
          </w:p>
        </w:tc>
        <w:tc>
          <w:tcPr>
            <w:tcW w:type="dxa" w:w="3900"/>
            <w:tcMar>
              <w:top w:type="dxa" w:w="80"/>
              <w:left w:type="dxa" w:w="90"/>
              <w:bottom w:type="dxa" w:w="80"/>
              <w:right w:type="dxa" w:w="90"/>
            </w:tcMar>
          </w:tcPr>
          <w:p>
            <w:pPr>
              <w:spacing w:after="0"/>
            </w:pPr>
            <w:r>
              <w:rPr>
                <w:b w:val="false"/>
                <w:bCs w:val="false"/>
                <w:color w:val="000000"/>
                <w:sz w:val="16"/>
                <w:szCs w:val="16"/>
              </w:rPr>
              <w:t xml:space="preserve">A sold vehicle must not be re-sold or have its purchase record edited, and the payment ledger must not exceed the sold price. These records support accounting.</w:t>
            </w:r>
          </w:p>
        </w:tc>
        <w:tc>
          <w:tcPr>
            <w:tcW w:type="dxa" w:w="3560"/>
            <w:tcMar>
              <w:top w:type="dxa" w:w="80"/>
              <w:left w:type="dxa" w:w="90"/>
              <w:bottom w:type="dxa" w:w="80"/>
              <w:right w:type="dxa" w:w="90"/>
            </w:tcMar>
          </w:tcPr>
          <w:p>
            <w:pPr>
              <w:spacing w:after="0"/>
            </w:pPr>
            <w:r>
              <w:rPr>
                <w:b w:val="false"/>
                <w:bCs w:val="false"/>
                <w:color w:val="000000"/>
                <w:sz w:val="16"/>
                <w:szCs w:val="16"/>
              </w:rPr>
              <w:t xml:space="preserve">Sold-lock, second-sale, version-conflict and ledger-boundary cases pass; stored values are verified in the database after each refusal.</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O6 — Prove the service boundary</w:t>
            </w:r>
          </w:p>
        </w:tc>
        <w:tc>
          <w:tcPr>
            <w:tcW w:type="dxa" w:w="3900"/>
            <w:tcMar>
              <w:top w:type="dxa" w:w="80"/>
              <w:left w:type="dxa" w:w="90"/>
              <w:bottom w:type="dxa" w:w="80"/>
              <w:right w:type="dxa" w:w="90"/>
            </w:tcMar>
          </w:tcPr>
          <w:p>
            <w:pPr>
              <w:spacing w:after="0"/>
            </w:pPr>
            <w:r>
              <w:rPr>
                <w:b w:val="false"/>
                <w:bCs w:val="false"/>
                <w:color w:val="000000"/>
                <w:sz w:val="16"/>
                <w:szCs w:val="16"/>
              </w:rPr>
              <w:t xml:space="preserve">Only the gateway is reachable from a browser. An exposed core or AI port would make every other control pointless.</w:t>
            </w:r>
          </w:p>
        </w:tc>
        <w:tc>
          <w:tcPr>
            <w:tcW w:type="dxa" w:w="3560"/>
            <w:tcMar>
              <w:top w:type="dxa" w:w="80"/>
              <w:left w:type="dxa" w:w="90"/>
              <w:bottom w:type="dxa" w:w="80"/>
              <w:right w:type="dxa" w:w="90"/>
            </w:tcMar>
          </w:tcPr>
          <w:p>
            <w:pPr>
              <w:spacing w:after="0"/>
            </w:pPr>
            <w:r>
              <w:rPr>
                <w:b w:val="false"/>
                <w:bCs w:val="false"/>
                <w:color w:val="000000"/>
                <w:sz w:val="16"/>
                <w:szCs w:val="16"/>
              </w:rPr>
              <w:t xml:space="preserve">Direct calls to core and the AI service are refused; a forged internal header does not grant access; CORS is limited to the configured origins.</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O7 — Prove the release is reproducible</w:t>
            </w:r>
          </w:p>
        </w:tc>
        <w:tc>
          <w:tcPr>
            <w:tcW w:type="dxa" w:w="3900"/>
            <w:tcMar>
              <w:top w:type="dxa" w:w="80"/>
              <w:left w:type="dxa" w:w="90"/>
              <w:bottom w:type="dxa" w:w="80"/>
              <w:right w:type="dxa" w:w="90"/>
            </w:tcMar>
          </w:tcPr>
          <w:p>
            <w:pPr>
              <w:spacing w:after="0"/>
            </w:pPr>
            <w:r>
              <w:rPr>
                <w:b w:val="false"/>
                <w:bCs w:val="false"/>
                <w:color w:val="000000"/>
                <w:sz w:val="16"/>
                <w:szCs w:val="16"/>
              </w:rPr>
              <w:t xml:space="preserve">The client and the instructor must be able to see the same product running in the cloud, built from the committed source.</w:t>
            </w:r>
          </w:p>
        </w:tc>
        <w:tc>
          <w:tcPr>
            <w:tcW w:type="dxa" w:w="3560"/>
            <w:tcMar>
              <w:top w:type="dxa" w:w="80"/>
              <w:left w:type="dxa" w:w="90"/>
              <w:bottom w:type="dxa" w:w="80"/>
              <w:right w:type="dxa" w:w="90"/>
            </w:tcMar>
          </w:tcPr>
          <w:p>
            <w:pPr>
              <w:spacing w:after="0"/>
            </w:pPr>
            <w:r>
              <w:rPr>
                <w:b w:val="false"/>
                <w:bCs w:val="false"/>
                <w:color w:val="000000"/>
                <w:sz w:val="16"/>
                <w:szCs w:val="16"/>
              </w:rPr>
              <w:t xml:space="preserve">A clean checkout builds and starts; Terraform recreates the stack; the release endpoint reports all four applications from the pushed commit; a data rollback restores the previous rows.</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O8 — Produce reproducible evidence</w:t>
            </w:r>
          </w:p>
        </w:tc>
        <w:tc>
          <w:tcPr>
            <w:tcW w:type="dxa" w:w="3900"/>
            <w:tcMar>
              <w:top w:type="dxa" w:w="80"/>
              <w:left w:type="dxa" w:w="90"/>
              <w:bottom w:type="dxa" w:w="80"/>
              <w:right w:type="dxa" w:w="90"/>
            </w:tcMar>
          </w:tcPr>
          <w:p>
            <w:pPr>
              <w:spacing w:after="0"/>
            </w:pPr>
            <w:r>
              <w:rPr>
                <w:b w:val="false"/>
                <w:bCs w:val="false"/>
                <w:color w:val="000000"/>
                <w:sz w:val="16"/>
                <w:szCs w:val="16"/>
              </w:rPr>
              <w:t xml:space="preserve">Results must be auditable rather than remembered.</w:t>
            </w:r>
          </w:p>
        </w:tc>
        <w:tc>
          <w:tcPr>
            <w:tcW w:type="dxa" w:w="3560"/>
            <w:tcMar>
              <w:top w:type="dxa" w:w="80"/>
              <w:left w:type="dxa" w:w="90"/>
              <w:bottom w:type="dxa" w:w="80"/>
              <w:right w:type="dxa" w:w="90"/>
            </w:tcMar>
          </w:tcPr>
          <w:p>
            <w:pPr>
              <w:spacing w:after="0"/>
            </w:pPr>
            <w:r>
              <w:rPr>
                <w:b w:val="false"/>
                <w:bCs w:val="false"/>
                <w:color w:val="000000"/>
                <w:sz w:val="16"/>
                <w:szCs w:val="16"/>
              </w:rPr>
              <w:t xml:space="preserve">Every executed case records the build identifier, environment, data set, actor and timestamp; the defect log reconciles with the case list.</w:t>
            </w:r>
          </w:p>
        </w:tc>
      </w:tr>
    </w:tbl>
    <w:p>
      <w:pPr>
        <w:pStyle w:val="Heading2"/>
        <w:spacing w:after="100" w:before="220"/>
      </w:pPr>
      <w:r>
        <w:rPr>
          <w:b/>
          <w:bCs/>
          <w:color w:val="1F4E78"/>
          <w:sz w:val="23"/>
          <w:szCs w:val="23"/>
        </w:rPr>
        <w:t xml:space="preserve">2.4 Scope and limitations</w:t>
      </w:r>
    </w:p>
    <w:p>
      <w:pPr>
        <w:spacing w:after="100" w:line="276"/>
      </w:pPr>
      <w:r>
        <w:rPr>
          <w:sz w:val="21"/>
          <w:szCs w:val="21"/>
        </w:rPr>
        <w:t xml:space="preserve">In scope: the four applications of the current baseline (React client, gateway, core, AI service), the MySQL schema that core creates and patches at start-up, the committed demo seed, the configured external calls to the vPIC VIN service and the AI provider, and the Azure deployment that carries the sprint demos. The test levels in scope are requirements and design review, unit, integration and API, system (browser end-to-end), acceptance, deployment and release, and regression. The non-functional checks in scope are response-time smoke measurements on the gateway path, the 15-second AI timeout, negative and security-boundary checks, privacy of customer contact data, and failure-safe behaviour when the AI provider or the database is unavailable.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3400"/>
            <w:shd w:fill="1F4E78" w:val="clear"/>
            <w:tcMar>
              <w:top w:type="dxa" w:w="80"/>
              <w:left w:type="dxa" w:w="90"/>
              <w:bottom w:type="dxa" w:w="80"/>
              <w:right w:type="dxa" w:w="90"/>
            </w:tcMar>
          </w:tcPr>
          <w:p>
            <w:pPr>
              <w:spacing w:after="0"/>
            </w:pPr>
            <w:r>
              <w:rPr>
                <w:b/>
                <w:bCs/>
                <w:color w:val="FFFFFF"/>
                <w:sz w:val="17"/>
                <w:szCs w:val="17"/>
              </w:rPr>
              <w:t xml:space="preserve">Limitation / out of scope</w:t>
            </w:r>
          </w:p>
        </w:tc>
        <w:tc>
          <w:tcPr>
            <w:tcW w:type="dxa" w:w="5960"/>
            <w:shd w:fill="1F4E78" w:val="clear"/>
            <w:tcMar>
              <w:top w:type="dxa" w:w="80"/>
              <w:left w:type="dxa" w:w="90"/>
              <w:bottom w:type="dxa" w:w="80"/>
              <w:right w:type="dxa" w:w="90"/>
            </w:tcMar>
          </w:tcPr>
          <w:p>
            <w:pPr>
              <w:spacing w:after="0"/>
            </w:pPr>
            <w:r>
              <w:rPr>
                <w:b/>
                <w:bCs/>
                <w:color w:val="FFFFFF"/>
                <w:sz w:val="17"/>
                <w:szCs w:val="17"/>
              </w:rPr>
              <w:t xml:space="preserve">Reason / boundary</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Production-scale load, soak and disaster-recovery testing</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test environments are one workstation and a single small Azure plan; results would not represent production, and the capstone has no performance requirement.</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Internal correctness of third-party services (vPIC, the AI provider, Google and Firebase sign-in)</w:t>
            </w:r>
          </w:p>
        </w:tc>
        <w:tc>
          <w:tcPr>
            <w:tcW w:type="dxa" w:w="5960"/>
            <w:tcMar>
              <w:top w:type="dxa" w:w="80"/>
              <w:left w:type="dxa" w:w="90"/>
              <w:bottom w:type="dxa" w:w="80"/>
              <w:right w:type="dxa" w:w="90"/>
            </w:tcMar>
          </w:tcPr>
          <w:p>
            <w:pPr>
              <w:spacing w:after="0"/>
            </w:pPr>
            <w:r>
              <w:rPr>
                <w:b w:val="false"/>
                <w:bCs w:val="false"/>
                <w:color w:val="000000"/>
                <w:sz w:val="16"/>
                <w:szCs w:val="16"/>
              </w:rPr>
              <w:t xml:space="preserve">We test our adapters, timeouts and error mapping. The providers’ own algorithms and availability are outside the team’s control.</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Legal or OMVIC approval of an advertisement</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product states, in the result panel and the exported file, that the check is not legal advice or OMVIC approval. We test the implemented rule set, not legal compliance.</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Real marketplace publishing and real payment processing</w:t>
            </w:r>
          </w:p>
        </w:tc>
        <w:tc>
          <w:tcPr>
            <w:tcW w:type="dxa" w:w="5960"/>
            <w:tcMar>
              <w:top w:type="dxa" w:w="80"/>
              <w:left w:type="dxa" w:w="90"/>
              <w:bottom w:type="dxa" w:w="80"/>
              <w:right w:type="dxa" w:w="90"/>
            </w:tcMar>
          </w:tcPr>
          <w:p>
            <w:pPr>
              <w:spacing w:after="0"/>
            </w:pPr>
            <w:r>
              <w:rPr>
                <w:b w:val="false"/>
                <w:bCs w:val="false"/>
                <w:color w:val="000000"/>
                <w:sz w:val="16"/>
                <w:szCs w:val="16"/>
              </w:rPr>
              <w:t xml:space="preserve">Both need commercial agreements the project does not have. Marketplace publishing exists only as a clearly labelled simulation and payments are a ledger, so only those behaviours are tested.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Optical character recognition, message queues and a second database</w:t>
            </w:r>
          </w:p>
        </w:tc>
        <w:tc>
          <w:tcPr>
            <w:tcW w:type="dxa" w:w="5960"/>
            <w:tcMar>
              <w:top w:type="dxa" w:w="80"/>
              <w:left w:type="dxa" w:w="90"/>
              <w:bottom w:type="dxa" w:w="80"/>
              <w:right w:type="dxa" w:w="90"/>
            </w:tcMar>
          </w:tcPr>
          <w:p>
            <w:pPr>
              <w:spacing w:after="0"/>
            </w:pPr>
            <w:r>
              <w:rPr>
                <w:b w:val="false"/>
                <w:bCs w:val="false"/>
                <w:color w:val="000000"/>
                <w:sz w:val="16"/>
                <w:szCs w:val="16"/>
              </w:rPr>
              <w:t xml:space="preserve">Explicitly out of scope in the project baseline; no route or implementation exists to test.</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Native iOS and Android applications</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deliverable is a browser client. Desktop and phone widths are tested in the browser; native applications are not.</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Live production customer data</w:t>
            </w:r>
          </w:p>
        </w:tc>
        <w:tc>
          <w:tcPr>
            <w:tcW w:type="dxa" w:w="5960"/>
            <w:tcMar>
              <w:top w:type="dxa" w:w="80"/>
              <w:left w:type="dxa" w:w="90"/>
              <w:bottom w:type="dxa" w:w="80"/>
              <w:right w:type="dxa" w:w="90"/>
            </w:tcMar>
          </w:tcPr>
          <w:p>
            <w:pPr>
              <w:spacing w:after="0"/>
            </w:pPr>
            <w:r>
              <w:rPr>
                <w:b w:val="false"/>
                <w:bCs w:val="false"/>
                <w:color w:val="000000"/>
                <w:sz w:val="16"/>
                <w:szCs w:val="16"/>
              </w:rPr>
              <w:t xml:space="preserve">Synthetic data only, in every input, screenshot, log and evidence file.</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Code-coverage targets for the retired Java and Vue implementation</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Those stacks were removed from the repository; v1.0 of this plan described them and is superseded.</w:t>
            </w:r>
          </w:p>
        </w:tc>
      </w:tr>
    </w:tbl>
    <w:p>
      <w:pPr>
        <w:pStyle w:val="Heading2"/>
        <w:spacing w:after="100" w:before="220"/>
      </w:pPr>
      <w:r>
        <w:rPr>
          <w:b/>
          <w:bCs/>
          <w:color w:val="1F4E78"/>
          <w:sz w:val="23"/>
          <w:szCs w:val="23"/>
        </w:rPr>
        <w:t xml:space="preserve">2.5 Sources of business (domain) expertise</w:t>
      </w:r>
    </w:p>
    <w:p>
      <w:pPr>
        <w:spacing w:after="100" w:line="276"/>
      </w:pPr>
      <w:r>
        <w:rPr>
          <w:sz w:val="21"/>
          <w:szCs w:val="21"/>
        </w:rPr>
        <w:t xml:space="preserve">Business expertise is knowledge of what the product must do from the point of view of a dealership, its buyers and the client. It is what makes an expected result correct rather than merely plausible, and it is the first thing we consult when a case is ambiguous.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500"/>
            <w:shd w:fill="1F4E78" w:val="clear"/>
            <w:tcMar>
              <w:top w:type="dxa" w:w="80"/>
              <w:left w:type="dxa" w:w="90"/>
              <w:bottom w:type="dxa" w:w="80"/>
              <w:right w:type="dxa" w:w="90"/>
            </w:tcMar>
          </w:tcPr>
          <w:p>
            <w:pPr>
              <w:spacing w:after="0"/>
            </w:pPr>
            <w:r>
              <w:rPr>
                <w:b/>
                <w:bCs/>
                <w:color w:val="FFFFFF"/>
                <w:sz w:val="17"/>
                <w:szCs w:val="17"/>
              </w:rPr>
              <w:t xml:space="preserve">Source</w:t>
            </w:r>
          </w:p>
        </w:tc>
        <w:tc>
          <w:tcPr>
            <w:tcW w:type="dxa" w:w="3300"/>
            <w:shd w:fill="1F4E78" w:val="clear"/>
            <w:tcMar>
              <w:top w:type="dxa" w:w="80"/>
              <w:left w:type="dxa" w:w="90"/>
              <w:bottom w:type="dxa" w:w="80"/>
              <w:right w:type="dxa" w:w="90"/>
            </w:tcMar>
          </w:tcPr>
          <w:p>
            <w:pPr>
              <w:spacing w:after="0"/>
            </w:pPr>
            <w:r>
              <w:rPr>
                <w:b/>
                <w:bCs/>
                <w:color w:val="FFFFFF"/>
                <w:sz w:val="17"/>
                <w:szCs w:val="17"/>
              </w:rPr>
              <w:t xml:space="preserve">What it informs</w:t>
            </w:r>
          </w:p>
        </w:tc>
        <w:tc>
          <w:tcPr>
            <w:tcW w:type="dxa" w:w="3560"/>
            <w:shd w:fill="1F4E78" w:val="clear"/>
            <w:tcMar>
              <w:top w:type="dxa" w:w="80"/>
              <w:left w:type="dxa" w:w="90"/>
              <w:bottom w:type="dxa" w:w="80"/>
              <w:right w:type="dxa" w:w="90"/>
            </w:tcMar>
          </w:tcPr>
          <w:p>
            <w:pPr>
              <w:spacing w:after="0"/>
            </w:pPr>
            <w:r>
              <w:rPr>
                <w:b/>
                <w:bCs/>
                <w:color w:val="FFFFFF"/>
                <w:sz w:val="17"/>
                <w:szCs w:val="17"/>
              </w:rPr>
              <w:t xml:space="preserve">How we use it for planning and execution</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Client / industry partner (capstone sponsor)</w:t>
            </w:r>
          </w:p>
        </w:tc>
        <w:tc>
          <w:tcPr>
            <w:tcW w:type="dxa" w:w="3300"/>
            <w:tcMar>
              <w:top w:type="dxa" w:w="80"/>
              <w:left w:type="dxa" w:w="90"/>
              <w:bottom w:type="dxa" w:w="80"/>
              <w:right w:type="dxa" w:w="90"/>
            </w:tcMar>
          </w:tcPr>
          <w:p>
            <w:pPr>
              <w:spacing w:after="0"/>
            </w:pPr>
            <w:r>
              <w:rPr>
                <w:b w:val="false"/>
                <w:bCs w:val="false"/>
                <w:color w:val="000000"/>
                <w:sz w:val="16"/>
                <w:szCs w:val="16"/>
              </w:rPr>
              <w:t xml:space="preserve">Dealership workflow priorities, what a demo must show, which advertisement wording a dealer would actually publish.</w:t>
            </w:r>
          </w:p>
        </w:tc>
        <w:tc>
          <w:tcPr>
            <w:tcW w:type="dxa" w:w="3560"/>
            <w:tcMar>
              <w:top w:type="dxa" w:w="80"/>
              <w:left w:type="dxa" w:w="90"/>
              <w:bottom w:type="dxa" w:w="80"/>
              <w:right w:type="dxa" w:w="90"/>
            </w:tcMar>
          </w:tcPr>
          <w:p>
            <w:pPr>
              <w:spacing w:after="0"/>
            </w:pPr>
            <w:r>
              <w:rPr>
                <w:b w:val="false"/>
                <w:bCs w:val="false"/>
                <w:color w:val="000000"/>
                <w:sz w:val="16"/>
                <w:szCs w:val="16"/>
              </w:rPr>
              <w:t xml:space="preserve">Resolve ambiguous business rules before an expected result is written; approve the acceptance scenarios; sign the customer walkthrough (AT-07).</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Client source documents (the specification PDF and the dealership requirement documents in requirements/)</w:t>
            </w:r>
          </w:p>
        </w:tc>
        <w:tc>
          <w:tcPr>
            <w:tcW w:type="dxa" w:w="3300"/>
            <w:tcMar>
              <w:top w:type="dxa" w:w="80"/>
              <w:left w:type="dxa" w:w="90"/>
              <w:bottom w:type="dxa" w:w="80"/>
              <w:right w:type="dxa" w:w="90"/>
            </w:tcMar>
          </w:tcPr>
          <w:p>
            <w:pPr>
              <w:spacing w:after="0"/>
            </w:pPr>
            <w:r>
              <w:rPr>
                <w:b w:val="false"/>
                <w:bCs w:val="false"/>
                <w:color w:val="000000"/>
                <w:sz w:val="16"/>
                <w:szCs w:val="16"/>
              </w:rPr>
              <w:t xml:space="preserve">The authoritative field lists, enumerations, and the eight required vehicle fields.</w:t>
            </w:r>
          </w:p>
        </w:tc>
        <w:tc>
          <w:tcPr>
            <w:tcW w:type="dxa" w:w="3560"/>
            <w:tcMar>
              <w:top w:type="dxa" w:w="80"/>
              <w:left w:type="dxa" w:w="90"/>
              <w:bottom w:type="dxa" w:w="80"/>
              <w:right w:type="dxa" w:w="90"/>
            </w:tcMar>
          </w:tcPr>
          <w:p>
            <w:pPr>
              <w:spacing w:after="0"/>
            </w:pPr>
            <w:r>
              <w:rPr>
                <w:b w:val="false"/>
                <w:bCs w:val="false"/>
                <w:color w:val="000000"/>
                <w:sz w:val="16"/>
                <w:szCs w:val="16"/>
              </w:rPr>
              <w:t xml:space="preserve">These documents outrank our own analysis notes; every requirement id cited in the workbook traces back to them.</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The requirements specification derived from them (AUTH, DMS, CRM, AD, AI, AUD, SEC, PAY, SALE, DASH, WO, SHOP families)</w:t>
            </w:r>
          </w:p>
        </w:tc>
        <w:tc>
          <w:tcPr>
            <w:tcW w:type="dxa" w:w="3300"/>
            <w:tcMar>
              <w:top w:type="dxa" w:w="80"/>
              <w:left w:type="dxa" w:w="90"/>
              <w:bottom w:type="dxa" w:w="80"/>
              <w:right w:type="dxa" w:w="90"/>
            </w:tcMar>
          </w:tcPr>
          <w:p>
            <w:pPr>
              <w:spacing w:after="0"/>
            </w:pPr>
            <w:r>
              <w:rPr>
                <w:b w:val="false"/>
                <w:bCs w:val="false"/>
                <w:color w:val="000000"/>
                <w:sz w:val="16"/>
                <w:szCs w:val="16"/>
              </w:rPr>
              <w:t xml:space="preserve">One numbered, testable statement per behaviour with its priority.</w:t>
            </w:r>
          </w:p>
        </w:tc>
        <w:tc>
          <w:tcPr>
            <w:tcW w:type="dxa" w:w="3560"/>
            <w:tcMar>
              <w:top w:type="dxa" w:w="80"/>
              <w:left w:type="dxa" w:w="90"/>
              <w:bottom w:type="dxa" w:w="80"/>
              <w:right w:type="dxa" w:w="90"/>
            </w:tcMar>
          </w:tcPr>
          <w:p>
            <w:pPr>
              <w:spacing w:after="0"/>
            </w:pPr>
            <w:r>
              <w:rPr>
                <w:b w:val="false"/>
                <w:bCs w:val="false"/>
                <w:color w:val="000000"/>
                <w:sz w:val="16"/>
                <w:szCs w:val="16"/>
              </w:rPr>
              <w:t xml:space="preserve">Each test case names the requirement ids it covers; §3 shows the coverage; RV-06 audits that every Must requirement has a case.</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Course instructor and the sprint review criteria</w:t>
            </w:r>
          </w:p>
        </w:tc>
        <w:tc>
          <w:tcPr>
            <w:tcW w:type="dxa" w:w="3300"/>
            <w:tcMar>
              <w:top w:type="dxa" w:w="80"/>
              <w:left w:type="dxa" w:w="90"/>
              <w:bottom w:type="dxa" w:w="80"/>
              <w:right w:type="dxa" w:w="90"/>
            </w:tcMar>
          </w:tcPr>
          <w:p>
            <w:pPr>
              <w:spacing w:after="0"/>
            </w:pPr>
            <w:r>
              <w:rPr>
                <w:b w:val="false"/>
                <w:bCs w:val="false"/>
                <w:color w:val="000000"/>
                <w:sz w:val="16"/>
                <w:szCs w:val="16"/>
              </w:rPr>
              <w:t xml:space="preserve">What each review must demonstrate live and in which environment.</w:t>
            </w:r>
          </w:p>
        </w:tc>
        <w:tc>
          <w:tcPr>
            <w:tcW w:type="dxa" w:w="3560"/>
            <w:tcMar>
              <w:top w:type="dxa" w:w="80"/>
              <w:left w:type="dxa" w:w="90"/>
              <w:bottom w:type="dxa" w:w="80"/>
              <w:right w:type="dxa" w:w="90"/>
            </w:tcMar>
          </w:tcPr>
          <w:p>
            <w:pPr>
              <w:spacing w:after="0"/>
            </w:pPr>
            <w:r>
              <w:rPr>
                <w:b w:val="false"/>
                <w:bCs w:val="false"/>
                <w:color w:val="000000"/>
                <w:sz w:val="16"/>
                <w:szCs w:val="16"/>
              </w:rPr>
              <w:t xml:space="preserve">Fix the acceptance set (AT-01 to AT-08) and decide which cases must run in the cloud rather than locally.</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Provincial used-vehicle advertising guidance (price, disclosure, finance and lease wording)</w:t>
            </w:r>
          </w:p>
        </w:tc>
        <w:tc>
          <w:tcPr>
            <w:tcW w:type="dxa" w:w="3300"/>
            <w:tcMar>
              <w:top w:type="dxa" w:w="80"/>
              <w:left w:type="dxa" w:w="90"/>
              <w:bottom w:type="dxa" w:w="80"/>
              <w:right w:type="dxa" w:w="90"/>
            </w:tcMar>
          </w:tcPr>
          <w:p>
            <w:pPr>
              <w:spacing w:after="0"/>
            </w:pPr>
            <w:r>
              <w:rPr>
                <w:b w:val="false"/>
                <w:bCs w:val="false"/>
                <w:color w:val="000000"/>
                <w:sz w:val="16"/>
                <w:szCs w:val="16"/>
              </w:rPr>
              <w:t xml:space="preserve">Why a missing price, a missing APR or an undisclosed prior use must block an advertisement.</w:t>
            </w:r>
          </w:p>
        </w:tc>
        <w:tc>
          <w:tcPr>
            <w:tcW w:type="dxa" w:w="3560"/>
            <w:tcMar>
              <w:top w:type="dxa" w:w="80"/>
              <w:left w:type="dxa" w:w="90"/>
              <w:bottom w:type="dxa" w:w="80"/>
              <w:right w:type="dxa" w:w="90"/>
            </w:tcMar>
          </w:tcPr>
          <w:p>
            <w:pPr>
              <w:spacing w:after="0"/>
            </w:pPr>
            <w:r>
              <w:rPr>
                <w:b w:val="false"/>
                <w:bCs w:val="false"/>
                <w:color w:val="000000"/>
                <w:sz w:val="16"/>
                <w:szCs w:val="16"/>
              </w:rPr>
              <w:t xml:space="preserve">Set the severity of each rule finding and the boundary values used in the advertisement fixtures.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Dealership domain knowledge inside the group (vehicle lifecycle, trade-in and as-is conditions, buyer inquiries)</w:t>
            </w:r>
          </w:p>
        </w:tc>
        <w:tc>
          <w:tcPr>
            <w:tcW w:type="dxa" w:w="3300"/>
            <w:tcMar>
              <w:top w:type="dxa" w:w="80"/>
              <w:left w:type="dxa" w:w="90"/>
              <w:bottom w:type="dxa" w:w="80"/>
              <w:right w:type="dxa" w:w="90"/>
            </w:tcMar>
          </w:tcPr>
          <w:p>
            <w:pPr>
              <w:spacing w:after="0"/>
            </w:pPr>
            <w:r>
              <w:rPr>
                <w:b w:val="false"/>
                <w:bCs w:val="false"/>
                <w:color w:val="000000"/>
                <w:sz w:val="16"/>
                <w:szCs w:val="16"/>
              </w:rPr>
              <w:t xml:space="preserve">Realistic vehicle, customer and lead data and plausible sequences of actions.</w:t>
            </w:r>
          </w:p>
        </w:tc>
        <w:tc>
          <w:tcPr>
            <w:tcW w:type="dxa" w:w="3560"/>
            <w:tcMar>
              <w:top w:type="dxa" w:w="80"/>
              <w:left w:type="dxa" w:w="90"/>
              <w:bottom w:type="dxa" w:w="80"/>
              <w:right w:type="dxa" w:w="90"/>
            </w:tcMar>
          </w:tcPr>
          <w:p>
            <w:pPr>
              <w:spacing w:after="0"/>
            </w:pPr>
            <w:r>
              <w:rPr>
                <w:b w:val="false"/>
                <w:bCs w:val="false"/>
                <w:color w:val="000000"/>
                <w:sz w:val="16"/>
                <w:szCs w:val="16"/>
              </w:rPr>
              <w:t xml:space="preserve">Shape the seeded data and the order of steps in the end-to-end cases so they match how a dealership works.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Yuandong Yang (QA lead, full-stack developer on this project)</w:t>
            </w:r>
          </w:p>
        </w:tc>
        <w:tc>
          <w:tcPr>
            <w:tcW w:type="dxa" w:w="3300"/>
            <w:tcMar>
              <w:top w:type="dxa" w:w="80"/>
              <w:left w:type="dxa" w:w="90"/>
              <w:bottom w:type="dxa" w:w="80"/>
              <w:right w:type="dxa" w:w="90"/>
            </w:tcMar>
          </w:tcPr>
          <w:p>
            <w:pPr>
              <w:spacing w:after="0"/>
            </w:pPr>
            <w:r>
              <w:rPr>
                <w:b w:val="false"/>
                <w:bCs w:val="false"/>
                <w:color w:val="000000"/>
                <w:sz w:val="16"/>
                <w:szCs w:val="16"/>
              </w:rPr>
              <w:t xml:space="preserve">Current product behaviour across all four applications.</w:t>
            </w:r>
          </w:p>
        </w:tc>
        <w:tc>
          <w:tcPr>
            <w:tcW w:type="dxa" w:w="3560"/>
            <w:tcMar>
              <w:top w:type="dxa" w:w="80"/>
              <w:left w:type="dxa" w:w="90"/>
              <w:bottom w:type="dxa" w:w="80"/>
              <w:right w:type="dxa" w:w="90"/>
            </w:tcMar>
          </w:tcPr>
          <w:p>
            <w:pPr>
              <w:spacing w:after="0"/>
            </w:pPr>
            <w:r>
              <w:rPr>
                <w:b w:val="false"/>
                <w:bCs w:val="false"/>
                <w:color w:val="000000"/>
                <w:sz w:val="16"/>
                <w:szCs w:val="16"/>
              </w:rPr>
              <w:t xml:space="preserve">Answers day-to-day behaviour questions during case writing and escalates unresolved ones to the client.</w:t>
            </w:r>
          </w:p>
        </w:tc>
      </w:tr>
    </w:tbl>
    <w:p>
      <w:pPr>
        <w:pStyle w:val="Heading2"/>
        <w:spacing w:after="100" w:before="220"/>
      </w:pPr>
      <w:r>
        <w:rPr>
          <w:b/>
          <w:bCs/>
          <w:color w:val="1F4E78"/>
          <w:sz w:val="23"/>
          <w:szCs w:val="23"/>
        </w:rPr>
        <w:t xml:space="preserve">2.6 Sources of development (technical) expertise</w:t>
      </w:r>
    </w:p>
    <w:p>
      <w:pPr>
        <w:spacing w:after="100" w:line="276"/>
      </w:pPr>
      <w:r>
        <w:rPr>
          <w:sz w:val="21"/>
          <w:szCs w:val="21"/>
        </w:rPr>
        <w:t xml:space="preserve">Development expertise is knowledge of how the system is built. It lets us design low-noise tests, call the right endpoint with the right headers, and tell a product defect apart from an environment problem.</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500"/>
            <w:shd w:fill="1F4E78" w:val="clear"/>
            <w:tcMar>
              <w:top w:type="dxa" w:w="80"/>
              <w:left w:type="dxa" w:w="90"/>
              <w:bottom w:type="dxa" w:w="80"/>
              <w:right w:type="dxa" w:w="90"/>
            </w:tcMar>
          </w:tcPr>
          <w:p>
            <w:pPr>
              <w:spacing w:after="0"/>
            </w:pPr>
            <w:r>
              <w:rPr>
                <w:b/>
                <w:bCs/>
                <w:color w:val="FFFFFF"/>
                <w:sz w:val="17"/>
                <w:szCs w:val="17"/>
              </w:rPr>
              <w:t xml:space="preserve">Source</w:t>
            </w:r>
          </w:p>
        </w:tc>
        <w:tc>
          <w:tcPr>
            <w:tcW w:type="dxa" w:w="3300"/>
            <w:shd w:fill="1F4E78" w:val="clear"/>
            <w:tcMar>
              <w:top w:type="dxa" w:w="80"/>
              <w:left w:type="dxa" w:w="90"/>
              <w:bottom w:type="dxa" w:w="80"/>
              <w:right w:type="dxa" w:w="90"/>
            </w:tcMar>
          </w:tcPr>
          <w:p>
            <w:pPr>
              <w:spacing w:after="0"/>
            </w:pPr>
            <w:r>
              <w:rPr>
                <w:b/>
                <w:bCs/>
                <w:color w:val="FFFFFF"/>
                <w:sz w:val="17"/>
                <w:szCs w:val="17"/>
              </w:rPr>
              <w:t xml:space="preserve">What it informs</w:t>
            </w:r>
          </w:p>
        </w:tc>
        <w:tc>
          <w:tcPr>
            <w:tcW w:type="dxa" w:w="3560"/>
            <w:shd w:fill="1F4E78" w:val="clear"/>
            <w:tcMar>
              <w:top w:type="dxa" w:w="80"/>
              <w:left w:type="dxa" w:w="90"/>
              <w:bottom w:type="dxa" w:w="80"/>
              <w:right w:type="dxa" w:w="90"/>
            </w:tcMar>
          </w:tcPr>
          <w:p>
            <w:pPr>
              <w:spacing w:after="0"/>
            </w:pPr>
            <w:r>
              <w:rPr>
                <w:b/>
                <w:bCs/>
                <w:color w:val="FFFFFF"/>
                <w:sz w:val="17"/>
                <w:szCs w:val="17"/>
              </w:rPr>
              <w:t xml:space="preserve">How we use it for planning and execution</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The DealerOps source tree (gateway, core, AI service, React client) and its configuration</w:t>
            </w:r>
          </w:p>
        </w:tc>
        <w:tc>
          <w:tcPr>
            <w:tcW w:type="dxa" w:w="3300"/>
            <w:tcMar>
              <w:top w:type="dxa" w:w="80"/>
              <w:left w:type="dxa" w:w="90"/>
              <w:bottom w:type="dxa" w:w="80"/>
              <w:right w:type="dxa" w:w="90"/>
            </w:tcMar>
          </w:tcPr>
          <w:p>
            <w:pPr>
              <w:spacing w:after="0"/>
            </w:pPr>
            <w:r>
              <w:rPr>
                <w:b w:val="false"/>
                <w:bCs w:val="false"/>
                <w:color w:val="000000"/>
                <w:sz w:val="16"/>
                <w:szCs w:val="16"/>
              </w:rPr>
              <w:t xml:space="preserve">Real routes, ports, filters, role checks, rule engine, start-up schema patches and environment variables.</w:t>
            </w:r>
          </w:p>
        </w:tc>
        <w:tc>
          <w:tcPr>
            <w:tcW w:type="dxa" w:w="3560"/>
            <w:tcMar>
              <w:top w:type="dxa" w:w="80"/>
              <w:left w:type="dxa" w:w="90"/>
              <w:bottom w:type="dxa" w:w="80"/>
              <w:right w:type="dxa" w:w="90"/>
            </w:tcMar>
          </w:tcPr>
          <w:p>
            <w:pPr>
              <w:spacing w:after="0"/>
            </w:pPr>
            <w:r>
              <w:rPr>
                <w:b w:val="false"/>
                <w:bCs w:val="false"/>
                <w:color w:val="000000"/>
                <w:sz w:val="16"/>
                <w:szCs w:val="16"/>
              </w:rPr>
              <w:t xml:space="preserve">Read the implementation before writing an expected result, so cases assert the actual status codes and error codes instead of guessing.</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design/ documents, in particular the API contract, the data, authentication and gateway design, and the acceptance design</w:t>
            </w:r>
          </w:p>
        </w:tc>
        <w:tc>
          <w:tcPr>
            <w:tcW w:type="dxa" w:w="3300"/>
            <w:tcMar>
              <w:top w:type="dxa" w:w="80"/>
              <w:left w:type="dxa" w:w="90"/>
              <w:bottom w:type="dxa" w:w="80"/>
              <w:right w:type="dxa" w:w="90"/>
            </w:tcMar>
          </w:tcPr>
          <w:p>
            <w:pPr>
              <w:spacing w:after="0"/>
            </w:pPr>
            <w:r>
              <w:rPr>
                <w:b w:val="false"/>
                <w:bCs w:val="false"/>
                <w:color w:val="000000"/>
                <w:sz w:val="16"/>
                <w:szCs w:val="16"/>
              </w:rPr>
              <w:t xml:space="preserve">The agreed contract: paths under /api/v1, the five check states, the error-code vocabulary, and the BE, FE, CL and EXT acceptance cases.</w:t>
            </w:r>
          </w:p>
        </w:tc>
        <w:tc>
          <w:tcPr>
            <w:tcW w:type="dxa" w:w="3560"/>
            <w:tcMar>
              <w:top w:type="dxa" w:w="80"/>
              <w:left w:type="dxa" w:w="90"/>
              <w:bottom w:type="dxa" w:w="80"/>
              <w:right w:type="dxa" w:w="90"/>
            </w:tcMar>
          </w:tcPr>
          <w:p>
            <w:pPr>
              <w:spacing w:after="0"/>
            </w:pPr>
            <w:r>
              <w:rPr>
                <w:b w:val="false"/>
                <w:bCs w:val="false"/>
                <w:color w:val="000000"/>
                <w:sz w:val="16"/>
                <w:szCs w:val="16"/>
              </w:rPr>
              <w:t xml:space="preserve">The workbook reuses those case identifiers in its Comments column, so the plan and the project acceptance design stay in step.</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dealer-platform/openapi.yaml and API.md</w:t>
            </w:r>
          </w:p>
        </w:tc>
        <w:tc>
          <w:tcPr>
            <w:tcW w:type="dxa" w:w="3300"/>
            <w:tcMar>
              <w:top w:type="dxa" w:w="80"/>
              <w:left w:type="dxa" w:w="90"/>
              <w:bottom w:type="dxa" w:w="80"/>
              <w:right w:type="dxa" w:w="90"/>
            </w:tcMar>
          </w:tcPr>
          <w:p>
            <w:pPr>
              <w:spacing w:after="0"/>
            </w:pPr>
            <w:r>
              <w:rPr>
                <w:b w:val="false"/>
                <w:bCs w:val="false"/>
                <w:color w:val="000000"/>
                <w:sz w:val="16"/>
                <w:szCs w:val="16"/>
              </w:rPr>
              <w:t xml:space="preserve">Every request and response shape, including the public buyer-site routes.</w:t>
            </w:r>
          </w:p>
        </w:tc>
        <w:tc>
          <w:tcPr>
            <w:tcW w:type="dxa" w:w="3560"/>
            <w:tcMar>
              <w:top w:type="dxa" w:w="80"/>
              <w:left w:type="dxa" w:w="90"/>
              <w:bottom w:type="dxa" w:w="80"/>
              <w:right w:type="dxa" w:w="90"/>
            </w:tcMar>
          </w:tcPr>
          <w:p>
            <w:pPr>
              <w:spacing w:after="0"/>
            </w:pPr>
            <w:r>
              <w:rPr>
                <w:b w:val="false"/>
                <w:bCs w:val="false"/>
                <w:color w:val="000000"/>
                <w:sz w:val="16"/>
                <w:szCs w:val="16"/>
              </w:rPr>
              <w:t xml:space="preserve">Build the API cases and confirm that a response carries no field it should not.</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Microsoft .NET 10, ASP.NET Core, EF Core and YARP documentation</w:t>
            </w:r>
          </w:p>
        </w:tc>
        <w:tc>
          <w:tcPr>
            <w:tcW w:type="dxa" w:w="3300"/>
            <w:tcMar>
              <w:top w:type="dxa" w:w="80"/>
              <w:left w:type="dxa" w:w="90"/>
              <w:bottom w:type="dxa" w:w="80"/>
              <w:right w:type="dxa" w:w="90"/>
            </w:tcMar>
          </w:tcPr>
          <w:p>
            <w:pPr>
              <w:spacing w:after="0"/>
            </w:pPr>
            <w:r>
              <w:rPr>
                <w:b w:val="false"/>
                <w:bCs w:val="false"/>
                <w:color w:val="000000"/>
                <w:sz w:val="16"/>
                <w:szCs w:val="16"/>
              </w:rPr>
              <w:t xml:space="preserve">Framework defaults for model binding, authorisation, reverse-proxy headers and database access.</w:t>
            </w:r>
          </w:p>
        </w:tc>
        <w:tc>
          <w:tcPr>
            <w:tcW w:type="dxa" w:w="3560"/>
            <w:tcMar>
              <w:top w:type="dxa" w:w="80"/>
              <w:left w:type="dxa" w:w="90"/>
              <w:bottom w:type="dxa" w:w="80"/>
              <w:right w:type="dxa" w:w="90"/>
            </w:tcMar>
          </w:tcPr>
          <w:p>
            <w:pPr>
              <w:spacing w:after="0"/>
            </w:pPr>
            <w:r>
              <w:rPr>
                <w:b w:val="false"/>
                <w:bCs w:val="false"/>
                <w:color w:val="000000"/>
                <w:sz w:val="16"/>
                <w:szCs w:val="16"/>
              </w:rPr>
              <w:t xml:space="preserve">Separate framework behaviour from product defects when something unexpected happens.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React 19, TypeScript and Vite documentation</w:t>
            </w:r>
          </w:p>
        </w:tc>
        <w:tc>
          <w:tcPr>
            <w:tcW w:type="dxa" w:w="3300"/>
            <w:tcMar>
              <w:top w:type="dxa" w:w="80"/>
              <w:left w:type="dxa" w:w="90"/>
              <w:bottom w:type="dxa" w:w="80"/>
              <w:right w:type="dxa" w:w="90"/>
            </w:tcMar>
          </w:tcPr>
          <w:p>
            <w:pPr>
              <w:spacing w:after="0"/>
            </w:pPr>
            <w:r>
              <w:rPr>
                <w:b w:val="false"/>
                <w:bCs w:val="false"/>
                <w:color w:val="000000"/>
                <w:sz w:val="16"/>
                <w:szCs w:val="16"/>
              </w:rPr>
              <w:t xml:space="preserve">Routing, guards, state handling and build output of the client.</w:t>
            </w:r>
          </w:p>
        </w:tc>
        <w:tc>
          <w:tcPr>
            <w:tcW w:type="dxa" w:w="3560"/>
            <w:tcMar>
              <w:top w:type="dxa" w:w="80"/>
              <w:left w:type="dxa" w:w="90"/>
              <w:bottom w:type="dxa" w:w="80"/>
              <w:right w:type="dxa" w:w="90"/>
            </w:tcMar>
          </w:tcPr>
          <w:p>
            <w:pPr>
              <w:spacing w:after="0"/>
            </w:pPr>
            <w:r>
              <w:rPr>
                <w:b w:val="false"/>
                <w:bCs w:val="false"/>
                <w:color w:val="000000"/>
                <w:sz w:val="16"/>
                <w:szCs w:val="16"/>
              </w:rPr>
              <w:t xml:space="preserve">Design the browser cases and interpret console and network evidence.</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Playwright documentation and the committed suite in playwright/</w:t>
            </w:r>
          </w:p>
        </w:tc>
        <w:tc>
          <w:tcPr>
            <w:tcW w:type="dxa" w:w="3300"/>
            <w:tcMar>
              <w:top w:type="dxa" w:w="80"/>
              <w:left w:type="dxa" w:w="90"/>
              <w:bottom w:type="dxa" w:w="80"/>
              <w:right w:type="dxa" w:w="90"/>
            </w:tcMar>
          </w:tcPr>
          <w:p>
            <w:pPr>
              <w:spacing w:after="0"/>
            </w:pPr>
            <w:r>
              <w:rPr>
                <w:b w:val="false"/>
                <w:bCs w:val="false"/>
                <w:color w:val="000000"/>
                <w:sz w:val="16"/>
                <w:szCs w:val="16"/>
              </w:rPr>
              <w:t xml:space="preserve">What is already automated for API and UI behaviour, and how the private test stack is built.</w:t>
            </w:r>
          </w:p>
        </w:tc>
        <w:tc>
          <w:tcPr>
            <w:tcW w:type="dxa" w:w="3560"/>
            <w:tcMar>
              <w:top w:type="dxa" w:w="80"/>
              <w:left w:type="dxa" w:w="90"/>
              <w:bottom w:type="dxa" w:w="80"/>
              <w:right w:type="dxa" w:w="90"/>
            </w:tcMar>
          </w:tcPr>
          <w:p>
            <w:pPr>
              <w:spacing w:after="0"/>
            </w:pPr>
            <w:r>
              <w:rPr>
                <w:b w:val="false"/>
                <w:bCs w:val="false"/>
                <w:color w:val="000000"/>
                <w:sz w:val="16"/>
                <w:szCs w:val="16"/>
              </w:rPr>
              <w:t xml:space="preserve">Reuse the existing automation instead of duplicating it, and extend it where the workbook needs a case it does not cover.</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Terraform, Azure App Service, Key Vault and Application Insights documentation</w:t>
            </w:r>
          </w:p>
        </w:tc>
        <w:tc>
          <w:tcPr>
            <w:tcW w:type="dxa" w:w="3300"/>
            <w:tcMar>
              <w:top w:type="dxa" w:w="80"/>
              <w:left w:type="dxa" w:w="90"/>
              <w:bottom w:type="dxa" w:w="80"/>
              <w:right w:type="dxa" w:w="90"/>
            </w:tcMar>
          </w:tcPr>
          <w:p>
            <w:pPr>
              <w:spacing w:after="0"/>
            </w:pPr>
            <w:r>
              <w:rPr>
                <w:b w:val="false"/>
                <w:bCs w:val="false"/>
                <w:color w:val="000000"/>
                <w:sz w:val="16"/>
                <w:szCs w:val="16"/>
              </w:rPr>
              <w:t xml:space="preserve">How the cloud stack is created, configured and observed.</w:t>
            </w:r>
          </w:p>
        </w:tc>
        <w:tc>
          <w:tcPr>
            <w:tcW w:type="dxa" w:w="3560"/>
            <w:tcMar>
              <w:top w:type="dxa" w:w="80"/>
              <w:left w:type="dxa" w:w="90"/>
              <w:bottom w:type="dxa" w:w="80"/>
              <w:right w:type="dxa" w:w="90"/>
            </w:tcMar>
          </w:tcPr>
          <w:p>
            <w:pPr>
              <w:spacing w:after="0"/>
            </w:pPr>
            <w:r>
              <w:rPr>
                <w:b w:val="false"/>
                <w:bCs w:val="false"/>
                <w:color w:val="000000"/>
                <w:sz w:val="16"/>
                <w:szCs w:val="16"/>
              </w:rPr>
              <w:t xml:space="preserve">Write the deployment and rollback cases (DEP-01 to DEP-06) against the real procedure in deploy/.</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Course textbook (Everett and McLeod, 2007), chapter 5</w:t>
            </w:r>
          </w:p>
        </w:tc>
        <w:tc>
          <w:tcPr>
            <w:tcW w:type="dxa" w:w="3300"/>
            <w:tcMar>
              <w:top w:type="dxa" w:w="80"/>
              <w:left w:type="dxa" w:w="90"/>
              <w:bottom w:type="dxa" w:w="80"/>
              <w:right w:type="dxa" w:w="90"/>
            </w:tcMar>
          </w:tcPr>
          <w:p>
            <w:pPr>
              <w:spacing w:after="0"/>
            </w:pPr>
            <w:r>
              <w:rPr>
                <w:b w:val="false"/>
                <w:bCs w:val="false"/>
                <w:color w:val="000000"/>
                <w:sz w:val="16"/>
                <w:szCs w:val="16"/>
              </w:rPr>
              <w:t xml:space="preserve">Testing across the software development life cycle, entry and exit criteria, and risk-based prioritisation.</w:t>
            </w:r>
          </w:p>
        </w:tc>
        <w:tc>
          <w:tcPr>
            <w:tcW w:type="dxa" w:w="3560"/>
            <w:tcMar>
              <w:top w:type="dxa" w:w="80"/>
              <w:left w:type="dxa" w:w="90"/>
              <w:bottom w:type="dxa" w:w="80"/>
              <w:right w:type="dxa" w:w="90"/>
            </w:tcMar>
          </w:tcPr>
          <w:p>
            <w:pPr>
              <w:spacing w:after="0"/>
            </w:pPr>
            <w:r>
              <w:rPr>
                <w:b w:val="false"/>
                <w:bCs w:val="false"/>
                <w:color w:val="000000"/>
                <w:sz w:val="16"/>
                <w:szCs w:val="16"/>
              </w:rPr>
              <w:t xml:space="preserve">Structure §6 and §6A and justify the entry and exit gates between phases.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Daniel Watson (core and gateway, persistence, DMS and CRM user interface)</w:t>
            </w:r>
          </w:p>
        </w:tc>
        <w:tc>
          <w:tcPr>
            <w:tcW w:type="dxa" w:w="3300"/>
            <w:tcMar>
              <w:top w:type="dxa" w:w="80"/>
              <w:left w:type="dxa" w:w="90"/>
              <w:bottom w:type="dxa" w:w="80"/>
              <w:right w:type="dxa" w:w="90"/>
            </w:tcMar>
          </w:tcPr>
          <w:p>
            <w:pPr>
              <w:spacing w:after="0"/>
            </w:pPr>
            <w:r>
              <w:rPr>
                <w:b w:val="false"/>
                <w:bCs w:val="false"/>
                <w:color w:val="000000"/>
                <w:sz w:val="16"/>
                <w:szCs w:val="16"/>
              </w:rPr>
              <w:t xml:space="preserve">Service internals, schema, role checks, client state machine and error handling.</w:t>
            </w:r>
          </w:p>
        </w:tc>
        <w:tc>
          <w:tcPr>
            <w:tcW w:type="dxa" w:w="3560"/>
            <w:tcMar>
              <w:top w:type="dxa" w:w="80"/>
              <w:left w:type="dxa" w:w="90"/>
              <w:bottom w:type="dxa" w:w="80"/>
              <w:right w:type="dxa" w:w="90"/>
            </w:tcMar>
          </w:tcPr>
          <w:p>
            <w:pPr>
              <w:spacing w:after="0"/>
            </w:pPr>
            <w:r>
              <w:rPr>
                <w:b w:val="false"/>
                <w:bCs w:val="false"/>
                <w:color w:val="000000"/>
                <w:sz w:val="16"/>
                <w:szCs w:val="16"/>
              </w:rPr>
              <w:t xml:space="preserve">Technical review of the authentication, isolation, inventory, CRM and deployment cases.</w:t>
            </w:r>
          </w:p>
        </w:tc>
      </w:tr>
      <w:tr>
        <w:trPr>
          <w:cantSplit/>
        </w:trPr>
        <w:tc>
          <w:tcPr>
            <w:tcW w:type="dxa" w:w="2500"/>
            <w:tcMar>
              <w:top w:type="dxa" w:w="80"/>
              <w:left w:type="dxa" w:w="90"/>
              <w:bottom w:type="dxa" w:w="80"/>
              <w:right w:type="dxa" w:w="90"/>
            </w:tcMar>
          </w:tcPr>
          <w:p>
            <w:pPr>
              <w:spacing w:after="0"/>
            </w:pPr>
            <w:r>
              <w:rPr>
                <w:b w:val="false"/>
                <w:bCs w:val="false"/>
                <w:color w:val="000000"/>
                <w:sz w:val="16"/>
                <w:szCs w:val="16"/>
              </w:rPr>
              <w:t xml:space="preserve">Xiaomei He (AI service, advertising compliance, audit)</w:t>
            </w:r>
          </w:p>
        </w:tc>
        <w:tc>
          <w:tcPr>
            <w:tcW w:type="dxa" w:w="3300"/>
            <w:tcMar>
              <w:top w:type="dxa" w:w="80"/>
              <w:left w:type="dxa" w:w="90"/>
              <w:bottom w:type="dxa" w:w="80"/>
              <w:right w:type="dxa" w:w="90"/>
            </w:tcMar>
          </w:tcPr>
          <w:p>
            <w:pPr>
              <w:spacing w:after="0"/>
            </w:pPr>
            <w:r>
              <w:rPr>
                <w:b w:val="false"/>
                <w:bCs w:val="false"/>
                <w:color w:val="000000"/>
                <w:sz w:val="16"/>
                <w:szCs w:val="16"/>
              </w:rPr>
              <w:t xml:space="preserve">Rule engine, prompt construction, timeout and error mapping, audit writing.</w:t>
            </w:r>
          </w:p>
        </w:tc>
        <w:tc>
          <w:tcPr>
            <w:tcW w:type="dxa" w:w="3560"/>
            <w:tcMar>
              <w:top w:type="dxa" w:w="80"/>
              <w:left w:type="dxa" w:w="90"/>
              <w:bottom w:type="dxa" w:w="80"/>
              <w:right w:type="dxa" w:w="90"/>
            </w:tcMar>
          </w:tcPr>
          <w:p>
            <w:pPr>
              <w:spacing w:after="0"/>
            </w:pPr>
            <w:r>
              <w:rPr>
                <w:b w:val="false"/>
                <w:bCs w:val="false"/>
                <w:color w:val="000000"/>
                <w:sz w:val="16"/>
                <w:szCs w:val="16"/>
              </w:rPr>
              <w:t xml:space="preserve">Technical review of the rule, AI failure-safe, assistant and audit cases.</w:t>
            </w:r>
          </w:p>
        </w:tc>
      </w:tr>
    </w:tbl>
    <w:p>
      <w:pPr>
        <w:pStyle w:val="Heading2"/>
        <w:spacing w:after="100" w:before="220"/>
      </w:pPr>
      <w:r>
        <w:rPr>
          <w:b/>
          <w:bCs/>
          <w:color w:val="1F4E78"/>
          <w:sz w:val="23"/>
          <w:szCs w:val="23"/>
        </w:rPr>
        <w:t xml:space="preserve">2.7 Why quality matters</w:t>
      </w:r>
    </w:p>
    <w:p>
      <w:pPr>
        <w:spacing w:after="100" w:line="276"/>
      </w:pPr>
      <w:r>
        <w:rPr>
          <w:sz w:val="21"/>
          <w:szCs w:val="21"/>
        </w:rPr>
        <w:t xml:space="preserve">A failure in isolation or authorisation would disclose another dealership’s inventory and customer records. A failure in the compliance gate would publish an advertisement that breaks the advertising rules, which the dealer, not the software, answers for. A mutation of a sold record or an unbounded payment ledger would corrupt the dealership’s sales history. An exposed internal port or a leaked key would compromise the whole platform, and a customer phone number inside an AI prompt would breach the privacy rule the client insisted on. Quality is therefore reported as: zero open critical defects, zero cross-dealership exposure, zero unauthorised business writes, correct behaviour in all five check states, no contact data outside the audit trail, and a release that can be rebuilt and rolled back.</w:t>
      </w:r>
    </w:p>
    <w:p>
      <w:pPr>
        <w:pStyle w:val="Heading1"/>
        <w:spacing w:after="100" w:before="220"/>
      </w:pPr>
      <w:r>
        <w:rPr>
          <w:b/>
          <w:bCs/>
          <w:color w:val="1F4E78"/>
          <w:sz w:val="26"/>
          <w:szCs w:val="26"/>
        </w:rPr>
        <w:t xml:space="preserve">3. Test Items</w:t>
      </w:r>
    </w:p>
    <w:p>
      <w:pPr>
        <w:spacing w:after="100" w:line="276"/>
      </w:pPr>
      <w:r>
        <w:rPr>
          <w:sz w:val="21"/>
          <w:szCs w:val="21"/>
        </w:rPr>
        <w:t xml:space="preserve">Each test item is traceable to the requirement family it serves and to the cases in the companion workbook. Nothing outside the project scope appears here.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000"/>
            <w:shd w:fill="1F4E78" w:val="clear"/>
            <w:tcMar>
              <w:top w:type="dxa" w:w="80"/>
              <w:left w:type="dxa" w:w="90"/>
              <w:bottom w:type="dxa" w:w="80"/>
              <w:right w:type="dxa" w:w="90"/>
            </w:tcMar>
          </w:tcPr>
          <w:p>
            <w:pPr>
              <w:spacing w:after="0"/>
            </w:pPr>
            <w:r>
              <w:rPr>
                <w:b/>
                <w:bCs/>
                <w:color w:val="FFFFFF"/>
                <w:sz w:val="17"/>
                <w:szCs w:val="17"/>
              </w:rPr>
              <w:t xml:space="preserve">Requirement ids</w:t>
            </w:r>
          </w:p>
        </w:tc>
        <w:tc>
          <w:tcPr>
            <w:tcW w:type="dxa" w:w="3400"/>
            <w:shd w:fill="1F4E78" w:val="clear"/>
            <w:tcMar>
              <w:top w:type="dxa" w:w="80"/>
              <w:left w:type="dxa" w:w="90"/>
              <w:bottom w:type="dxa" w:w="80"/>
              <w:right w:type="dxa" w:w="90"/>
            </w:tcMar>
          </w:tcPr>
          <w:p>
            <w:pPr>
              <w:spacing w:after="0"/>
            </w:pPr>
            <w:r>
              <w:rPr>
                <w:b/>
                <w:bCs/>
                <w:color w:val="FFFFFF"/>
                <w:sz w:val="17"/>
                <w:szCs w:val="17"/>
              </w:rPr>
              <w:t xml:space="preserve">Requirement / risk statement</w:t>
            </w:r>
          </w:p>
        </w:tc>
        <w:tc>
          <w:tcPr>
            <w:tcW w:type="dxa" w:w="2000"/>
            <w:shd w:fill="1F4E78" w:val="clear"/>
            <w:tcMar>
              <w:top w:type="dxa" w:w="80"/>
              <w:left w:type="dxa" w:w="90"/>
              <w:bottom w:type="dxa" w:w="80"/>
              <w:right w:type="dxa" w:w="90"/>
            </w:tcMar>
          </w:tcPr>
          <w:p>
            <w:pPr>
              <w:spacing w:after="0"/>
            </w:pPr>
            <w:r>
              <w:rPr>
                <w:b/>
                <w:bCs/>
                <w:color w:val="FFFFFF"/>
                <w:sz w:val="17"/>
                <w:szCs w:val="17"/>
              </w:rPr>
              <w:t xml:space="preserve">Test item</w:t>
            </w:r>
          </w:p>
        </w:tc>
        <w:tc>
          <w:tcPr>
            <w:tcW w:type="dxa" w:w="1960"/>
            <w:shd w:fill="1F4E78" w:val="clear"/>
            <w:tcMar>
              <w:top w:type="dxa" w:w="80"/>
              <w:left w:type="dxa" w:w="90"/>
              <w:bottom w:type="dxa" w:w="80"/>
              <w:right w:type="dxa" w:w="90"/>
            </w:tcMar>
          </w:tcPr>
          <w:p>
            <w:pPr>
              <w:spacing w:after="0"/>
            </w:pPr>
            <w:r>
              <w:rPr>
                <w:b/>
                <w:bCs/>
                <w:color w:val="FFFFFF"/>
                <w:sz w:val="17"/>
                <w:szCs w:val="17"/>
              </w:rPr>
              <w:t xml:space="preserve">Cases</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AUTH-11, AUTH-12, AUTH-15, SEC-01, SEC-02</w:t>
            </w:r>
          </w:p>
        </w:tc>
        <w:tc>
          <w:tcPr>
            <w:tcW w:type="dxa" w:w="3400"/>
            <w:tcMar>
              <w:top w:type="dxa" w:w="80"/>
              <w:left w:type="dxa" w:w="90"/>
              <w:bottom w:type="dxa" w:w="80"/>
              <w:right w:type="dxa" w:w="90"/>
            </w:tcMar>
          </w:tcPr>
          <w:p>
            <w:pPr>
              <w:spacing w:after="0"/>
            </w:pPr>
            <w:r>
              <w:rPr>
                <w:b w:val="false"/>
                <w:bCs w:val="false"/>
                <w:color w:val="000000"/>
                <w:sz w:val="16"/>
                <w:szCs w:val="16"/>
              </w:rPr>
              <w:t xml:space="preserve">A person signs in with their own username, e-mail or phone; passwords are BCrypt hashes; the JWT carries the role and is validated by the gateway and core.</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TI-AUTH Sign-in and token handling</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RV-01, UT-01, IT-01 to IT-04, SYS-01, SYS-12, AT-01</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AUTH-01, AUTH-08, AUTH-13, AUTH-14, AUD-17, PAY-05</w:t>
            </w:r>
          </w:p>
        </w:tc>
        <w:tc>
          <w:tcPr>
            <w:tcW w:type="dxa" w:w="3400"/>
            <w:tcMar>
              <w:top w:type="dxa" w:w="80"/>
              <w:left w:type="dxa" w:w="90"/>
              <w:bottom w:type="dxa" w:w="80"/>
              <w:right w:type="dxa" w:w="90"/>
            </w:tcMar>
          </w:tcPr>
          <w:p>
            <w:pPr>
              <w:spacing w:after="0"/>
            </w:pPr>
            <w:r>
              <w:rPr>
                <w:b w:val="false"/>
                <w:bCs w:val="false"/>
                <w:color w:val="000000"/>
                <w:sz w:val="16"/>
                <w:szCs w:val="16"/>
              </w:rPr>
              <w:t xml:space="preserve">Platform administrator, dealership manager and dealership staff each have a different surface; an unbound account has none.</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TI-ROLE Role and membership authorisation</w:t>
            </w:r>
          </w:p>
        </w:tc>
        <w:tc>
          <w:tcPr>
            <w:tcW w:type="dxa" w:w="1960"/>
            <w:tcMar>
              <w:top w:type="dxa" w:w="80"/>
              <w:left w:type="dxa" w:w="90"/>
              <w:bottom w:type="dxa" w:w="80"/>
              <w:right w:type="dxa" w:w="90"/>
            </w:tcMar>
          </w:tcPr>
          <w:p>
            <w:pPr>
              <w:spacing w:after="0"/>
            </w:pPr>
            <w:r>
              <w:rPr>
                <w:b w:val="false"/>
                <w:bCs w:val="false"/>
                <w:color w:val="000000"/>
                <w:sz w:val="16"/>
                <w:szCs w:val="16"/>
              </w:rPr>
              <w:t xml:space="preserve">IT-05, IT-06, IT-20, IT-22, SYS-01, SYS-10, AT-01, AT-02</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AUTH-06, AUTH-07, AUTH-09</w:t>
            </w:r>
          </w:p>
        </w:tc>
        <w:tc>
          <w:tcPr>
            <w:tcW w:type="dxa" w:w="3400"/>
            <w:tcMar>
              <w:top w:type="dxa" w:w="80"/>
              <w:left w:type="dxa" w:w="90"/>
              <w:bottom w:type="dxa" w:w="80"/>
              <w:right w:type="dxa" w:w="90"/>
            </w:tcMar>
          </w:tcPr>
          <w:p>
            <w:pPr>
              <w:spacing w:after="0"/>
            </w:pPr>
            <w:r>
              <w:rPr>
                <w:b w:val="false"/>
                <w:bCs w:val="false"/>
                <w:color w:val="000000"/>
                <w:sz w:val="16"/>
                <w:szCs w:val="16"/>
              </w:rPr>
              <w:t xml:space="preserve">All data access is scoped to the dealership derived from the signed-in identity; a client-supplied dealerId is ignored; another dealership’s id returns 404.</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TI-TENANT Dealership isolation</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RV-01, IT-07, IT-08, SYS-02, AT-02</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DMS-01 to DMS-18</w:t>
            </w:r>
          </w:p>
        </w:tc>
        <w:tc>
          <w:tcPr>
            <w:tcW w:type="dxa" w:w="3400"/>
            <w:tcMar>
              <w:top w:type="dxa" w:w="80"/>
              <w:left w:type="dxa" w:w="90"/>
              <w:bottom w:type="dxa" w:w="80"/>
              <w:right w:type="dxa" w:w="90"/>
            </w:tcMar>
          </w:tcPr>
          <w:p>
            <w:pPr>
              <w:spacing w:after="0"/>
            </w:pPr>
            <w:r>
              <w:rPr>
                <w:b w:val="false"/>
                <w:bCs w:val="false"/>
                <w:color w:val="000000"/>
                <w:sz w:val="16"/>
                <w:szCs w:val="16"/>
              </w:rPr>
              <w:t xml:space="preserve">Vehicle records validate per field, enforce a unique VIN per dealership, page and search, lock purchase fields after a sale and carry optional listing details.</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TI-DMS Inventory lifecycle</w:t>
            </w:r>
          </w:p>
        </w:tc>
        <w:tc>
          <w:tcPr>
            <w:tcW w:type="dxa" w:w="1960"/>
            <w:tcMar>
              <w:top w:type="dxa" w:w="80"/>
              <w:left w:type="dxa" w:w="90"/>
              <w:bottom w:type="dxa" w:w="80"/>
              <w:right w:type="dxa" w:w="90"/>
            </w:tcMar>
          </w:tcPr>
          <w:p>
            <w:pPr>
              <w:spacing w:after="0"/>
            </w:pPr>
            <w:r>
              <w:rPr>
                <w:b w:val="false"/>
                <w:bCs w:val="false"/>
                <w:color w:val="000000"/>
                <w:sz w:val="16"/>
                <w:szCs w:val="16"/>
              </w:rPr>
              <w:t xml:space="preserve">UT-01 to UT-03, IT-09 to IT-11, IT-19, IT-24, SYS-03, SYS-07</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CRM-01 to CRM-16</w:t>
            </w:r>
          </w:p>
        </w:tc>
        <w:tc>
          <w:tcPr>
            <w:tcW w:type="dxa" w:w="3400"/>
            <w:tcMar>
              <w:top w:type="dxa" w:w="80"/>
              <w:left w:type="dxa" w:w="90"/>
              <w:bottom w:type="dxa" w:w="80"/>
              <w:right w:type="dxa" w:w="90"/>
            </w:tcMar>
          </w:tcPr>
          <w:p>
            <w:pPr>
              <w:spacing w:after="0"/>
            </w:pPr>
            <w:r>
              <w:rPr>
                <w:b w:val="false"/>
                <w:bCs w:val="false"/>
                <w:color w:val="000000"/>
                <w:sz w:val="16"/>
                <w:szCs w:val="16"/>
              </w:rPr>
              <w:t xml:space="preserve">Customers, vehicle links and leads behave to the one-vehicle-one-customer rule, close correctly and report a funnel.</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TI-CRM Customers and leads</w:t>
            </w:r>
          </w:p>
        </w:tc>
        <w:tc>
          <w:tcPr>
            <w:tcW w:type="dxa" w:w="1960"/>
            <w:tcMar>
              <w:top w:type="dxa" w:w="80"/>
              <w:left w:type="dxa" w:w="90"/>
              <w:bottom w:type="dxa" w:w="80"/>
              <w:right w:type="dxa" w:w="90"/>
            </w:tcMar>
          </w:tcPr>
          <w:p>
            <w:pPr>
              <w:spacing w:after="0"/>
            </w:pPr>
            <w:r>
              <w:rPr>
                <w:b w:val="false"/>
                <w:bCs w:val="false"/>
                <w:color w:val="000000"/>
                <w:sz w:val="16"/>
                <w:szCs w:val="16"/>
              </w:rPr>
              <w:t xml:space="preserve">IT-12, IT-13, IT-23, SYS-02, SYS-08, SYS-09</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AD-01 to AD-17, AI-01 to AI-05</w:t>
            </w:r>
          </w:p>
        </w:tc>
        <w:tc>
          <w:tcPr>
            <w:tcW w:type="dxa" w:w="3400"/>
            <w:tcMar>
              <w:top w:type="dxa" w:w="80"/>
              <w:left w:type="dxa" w:w="90"/>
              <w:bottom w:type="dxa" w:w="80"/>
              <w:right w:type="dxa" w:w="90"/>
            </w:tcMar>
          </w:tcPr>
          <w:p>
            <w:pPr>
              <w:spacing w:after="0"/>
            </w:pPr>
            <w:r>
              <w:rPr>
                <w:b w:val="false"/>
                <w:bCs w:val="false"/>
                <w:color w:val="000000"/>
                <w:sz w:val="16"/>
                <w:szCs w:val="16"/>
              </w:rPr>
              <w:t xml:space="preserve">The rule engine blocks hard findings without calling AI, a real model reviews the rest, failures are never a pass, and ready and export need a current pass.</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TI-AD Advertising compliance and AI</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RV-02, UT-04 to UT-09, IT-14 to IT-17, IT-25, SYS-04 to SYS-06, AT-03 to AT-05</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SEC-02, SEC-05, SHOP-05</w:t>
            </w:r>
          </w:p>
        </w:tc>
        <w:tc>
          <w:tcPr>
            <w:tcW w:type="dxa" w:w="3400"/>
            <w:tcMar>
              <w:top w:type="dxa" w:w="80"/>
              <w:left w:type="dxa" w:w="90"/>
              <w:bottom w:type="dxa" w:w="80"/>
              <w:right w:type="dxa" w:w="90"/>
            </w:tcMar>
          </w:tcPr>
          <w:p>
            <w:pPr>
              <w:spacing w:after="0"/>
            </w:pPr>
            <w:r>
              <w:rPr>
                <w:b w:val="false"/>
                <w:bCs w:val="false"/>
                <w:color w:val="000000"/>
                <w:sz w:val="16"/>
                <w:szCs w:val="16"/>
              </w:rPr>
              <w:t xml:space="preserve">The gateway is the only public entry; core and the AI service need the internal token; public routes and inquiries are rate-limited.</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TI-GW Gateway and service boundary</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RV-03, IT-18, IT-21, IT-26, DEP-01</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AUD-01 to AUD-17</w:t>
            </w:r>
          </w:p>
        </w:tc>
        <w:tc>
          <w:tcPr>
            <w:tcW w:type="dxa" w:w="3400"/>
            <w:tcMar>
              <w:top w:type="dxa" w:w="80"/>
              <w:left w:type="dxa" w:w="90"/>
              <w:bottom w:type="dxa" w:w="80"/>
              <w:right w:type="dxa" w:w="90"/>
            </w:tcMar>
          </w:tcPr>
          <w:p>
            <w:pPr>
              <w:spacing w:after="0"/>
            </w:pPr>
            <w:r>
              <w:rPr>
                <w:b w:val="false"/>
                <w:bCs w:val="false"/>
                <w:color w:val="000000"/>
                <w:sz w:val="16"/>
                <w:szCs w:val="16"/>
              </w:rPr>
              <w:t xml:space="preserve">Every operation is audited with actor, action, entity, time, client IP and replaced values; audit reads are manager-only and admin-only.</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TI-AUD Audit trail</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RV-04, UT-10, IT-02, IT-03, IT-13, IT-22, AT-06</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PAY-01 to PAY-05, SALE-01, DASH-01, WO-08</w:t>
            </w:r>
          </w:p>
        </w:tc>
        <w:tc>
          <w:tcPr>
            <w:tcW w:type="dxa" w:w="3400"/>
            <w:tcMar>
              <w:top w:type="dxa" w:w="80"/>
              <w:left w:type="dxa" w:w="90"/>
              <w:bottom w:type="dxa" w:w="80"/>
              <w:right w:type="dxa" w:w="90"/>
            </w:tcMar>
          </w:tcPr>
          <w:p>
            <w:pPr>
              <w:spacing w:after="0"/>
            </w:pPr>
            <w:r>
              <w:rPr>
                <w:b w:val="false"/>
                <w:bCs w:val="false"/>
                <w:color w:val="000000"/>
                <w:sz w:val="16"/>
                <w:szCs w:val="16"/>
              </w:rPr>
              <w:t xml:space="preserve">Payments stay inside the sold price, the bill of sale prints, and the dashboard and reports agree with their endpoints.</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TI-PAY Payments, sale documents and reports</w:t>
            </w:r>
          </w:p>
        </w:tc>
        <w:tc>
          <w:tcPr>
            <w:tcW w:type="dxa" w:w="1960"/>
            <w:tcMar>
              <w:top w:type="dxa" w:w="80"/>
              <w:left w:type="dxa" w:w="90"/>
              <w:bottom w:type="dxa" w:w="80"/>
              <w:right w:type="dxa" w:w="90"/>
            </w:tcMar>
          </w:tcPr>
          <w:p>
            <w:pPr>
              <w:spacing w:after="0"/>
            </w:pPr>
            <w:r>
              <w:rPr>
                <w:b w:val="false"/>
                <w:bCs w:val="false"/>
                <w:color w:val="000000"/>
                <w:sz w:val="16"/>
                <w:szCs w:val="16"/>
              </w:rPr>
              <w:t xml:space="preserve">RV-05, UT-11, IT-20, IT-24, SYS-07, SYS-08</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SHOP-01 to SHOP-05, AD-14</w:t>
            </w:r>
          </w:p>
        </w:tc>
        <w:tc>
          <w:tcPr>
            <w:tcW w:type="dxa" w:w="3400"/>
            <w:tcMar>
              <w:top w:type="dxa" w:w="80"/>
              <w:left w:type="dxa" w:w="90"/>
              <w:bottom w:type="dxa" w:w="80"/>
              <w:right w:type="dxa" w:w="90"/>
            </w:tcMar>
          </w:tcPr>
          <w:p>
            <w:pPr>
              <w:spacing w:after="0"/>
            </w:pPr>
            <w:r>
              <w:rPr>
                <w:b w:val="false"/>
                <w:bCs w:val="false"/>
                <w:color w:val="000000"/>
                <w:sz w:val="16"/>
                <w:szCs w:val="16"/>
              </w:rPr>
              <w:t xml:space="preserve">The public buyer site lists only ready and passed advertisements, exposes no private field, and files an inquiry as a lead.</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TI-SHOP Public buyer site</w:t>
            </w:r>
          </w:p>
        </w:tc>
        <w:tc>
          <w:tcPr>
            <w:tcW w:type="dxa" w:w="1960"/>
            <w:tcMar>
              <w:top w:type="dxa" w:w="80"/>
              <w:left w:type="dxa" w:w="90"/>
              <w:bottom w:type="dxa" w:w="80"/>
              <w:right w:type="dxa" w:w="90"/>
            </w:tcMar>
          </w:tcPr>
          <w:p>
            <w:pPr>
              <w:spacing w:after="0"/>
            </w:pPr>
            <w:r>
              <w:rPr>
                <w:b w:val="false"/>
                <w:bCs w:val="false"/>
                <w:color w:val="000000"/>
                <w:sz w:val="16"/>
                <w:szCs w:val="16"/>
              </w:rPr>
              <w:t xml:space="preserve">UT-12, IT-21, SYS-06, SYS-09</w:t>
            </w:r>
          </w:p>
        </w:tc>
      </w:tr>
      <w:tr>
        <w:trPr>
          <w:cantSplit/>
        </w:trPr>
        <w:tc>
          <w:tcPr>
            <w:tcW w:type="dxa" w:w="2000"/>
            <w:tcMar>
              <w:top w:type="dxa" w:w="80"/>
              <w:left w:type="dxa" w:w="90"/>
              <w:bottom w:type="dxa" w:w="80"/>
              <w:right w:type="dxa" w:w="90"/>
            </w:tcMar>
          </w:tcPr>
          <w:p>
            <w:pPr>
              <w:spacing w:after="0"/>
            </w:pPr>
            <w:r>
              <w:rPr>
                <w:b w:val="false"/>
                <w:bCs w:val="false"/>
                <w:color w:val="000000"/>
                <w:sz w:val="16"/>
                <w:szCs w:val="16"/>
              </w:rPr>
              <w:t xml:space="preserve">SEC-03, SEC-04</w:t>
            </w:r>
          </w:p>
        </w:tc>
        <w:tc>
          <w:tcPr>
            <w:tcW w:type="dxa" w:w="3400"/>
            <w:tcMar>
              <w:top w:type="dxa" w:w="80"/>
              <w:left w:type="dxa" w:w="90"/>
              <w:bottom w:type="dxa" w:w="80"/>
              <w:right w:type="dxa" w:w="90"/>
            </w:tcMar>
          </w:tcPr>
          <w:p>
            <w:pPr>
              <w:spacing w:after="0"/>
            </w:pPr>
            <w:r>
              <w:rPr>
                <w:b w:val="false"/>
                <w:bCs w:val="false"/>
                <w:color w:val="000000"/>
                <w:sz w:val="16"/>
                <w:szCs w:val="16"/>
              </w:rPr>
              <w:t xml:space="preserve">Secrets stay out of the repository, the cloud is HTTPS only, and the release is reproducible from the pushed commit.</w:t>
            </w:r>
          </w:p>
        </w:tc>
        <w:tc>
          <w:tcPr>
            <w:tcW w:type="dxa" w:w="2000"/>
            <w:tcMar>
              <w:top w:type="dxa" w:w="80"/>
              <w:left w:type="dxa" w:w="90"/>
              <w:bottom w:type="dxa" w:w="80"/>
              <w:right w:type="dxa" w:w="90"/>
            </w:tcMar>
          </w:tcPr>
          <w:p>
            <w:pPr>
              <w:spacing w:after="0"/>
            </w:pPr>
            <w:r>
              <w:rPr>
                <w:b w:val="false"/>
                <w:bCs w:val="false"/>
                <w:color w:val="000000"/>
                <w:sz w:val="16"/>
                <w:szCs w:val="16"/>
              </w:rPr>
              <w:t xml:space="preserve">TI-REL Deployment and release</w:t>
            </w:r>
          </w:p>
        </w:tc>
        <w:tc>
          <w:tcPr>
            <w:tcW w:type="dxa" w:w="1960"/>
            <w:tcMar>
              <w:top w:type="dxa" w:w="80"/>
              <w:left w:type="dxa" w:w="90"/>
              <w:bottom w:type="dxa" w:w="80"/>
              <w:right w:type="dxa" w:w="90"/>
            </w:tcMar>
          </w:tcPr>
          <w:p>
            <w:pPr>
              <w:spacing w:after="0"/>
            </w:pPr>
            <w:r>
              <w:rPr>
                <w:b w:val="false"/>
                <w:bCs w:val="false"/>
                <w:color w:val="000000"/>
                <w:sz w:val="16"/>
                <w:szCs w:val="16"/>
              </w:rPr>
              <w:t xml:space="preserve">DEP-01 to DEP-06, AT-08</w:t>
            </w:r>
          </w:p>
        </w:tc>
      </w:tr>
    </w:tbl>
    <w:p>
      <w:pPr>
        <w:pStyle w:val="Heading1"/>
        <w:spacing w:after="100" w:before="220"/>
      </w:pPr>
      <w:r>
        <w:rPr>
          <w:b/>
          <w:bCs/>
          <w:color w:val="1F4E78"/>
          <w:sz w:val="26"/>
          <w:szCs w:val="26"/>
        </w:rPr>
        <w:t xml:space="preserve">4. Features to Be Tested</w:t>
      </w:r>
    </w:p>
    <w:p>
      <w:pPr>
        <w:spacing w:after="100" w:line="276"/>
      </w:pPr>
      <w:r>
        <w:rPr>
          <w:sz w:val="21"/>
          <w:szCs w:val="21"/>
        </w:rPr>
        <w:t xml:space="preserve">Ordered by business value and risk. Priority drives execution order: every High case runs in every regression pass.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100"/>
            <w:shd w:fill="1F4E78" w:val="clear"/>
            <w:tcMar>
              <w:top w:type="dxa" w:w="80"/>
              <w:left w:type="dxa" w:w="90"/>
              <w:bottom w:type="dxa" w:w="80"/>
              <w:right w:type="dxa" w:w="90"/>
            </w:tcMar>
          </w:tcPr>
          <w:p>
            <w:pPr>
              <w:spacing w:after="0"/>
            </w:pPr>
            <w:r>
              <w:rPr>
                <w:b/>
                <w:bCs/>
                <w:color w:val="FFFFFF"/>
                <w:sz w:val="17"/>
                <w:szCs w:val="17"/>
              </w:rPr>
              <w:t xml:space="preserve">Feature</w:t>
            </w:r>
          </w:p>
        </w:tc>
        <w:tc>
          <w:tcPr>
            <w:tcW w:type="dxa" w:w="3000"/>
            <w:shd w:fill="1F4E78" w:val="clear"/>
            <w:tcMar>
              <w:top w:type="dxa" w:w="80"/>
              <w:left w:type="dxa" w:w="90"/>
              <w:bottom w:type="dxa" w:w="80"/>
              <w:right w:type="dxa" w:w="90"/>
            </w:tcMar>
          </w:tcPr>
          <w:p>
            <w:pPr>
              <w:spacing w:after="0"/>
            </w:pPr>
            <w:r>
              <w:rPr>
                <w:b/>
                <w:bCs/>
                <w:color w:val="FFFFFF"/>
                <w:sz w:val="17"/>
                <w:szCs w:val="17"/>
              </w:rPr>
              <w:t xml:space="preserve">Workflow / use case</w:t>
            </w:r>
          </w:p>
        </w:tc>
        <w:tc>
          <w:tcPr>
            <w:tcW w:type="dxa" w:w="3200"/>
            <w:shd w:fill="1F4E78" w:val="clear"/>
            <w:tcMar>
              <w:top w:type="dxa" w:w="80"/>
              <w:left w:type="dxa" w:w="90"/>
              <w:bottom w:type="dxa" w:w="80"/>
              <w:right w:type="dxa" w:w="90"/>
            </w:tcMar>
          </w:tcPr>
          <w:p>
            <w:pPr>
              <w:spacing w:after="0"/>
            </w:pPr>
            <w:r>
              <w:rPr>
                <w:b/>
                <w:bCs/>
                <w:color w:val="FFFFFF"/>
                <w:sz w:val="17"/>
                <w:szCs w:val="17"/>
              </w:rPr>
              <w:t xml:space="preserve">Business risk / importance</w:t>
            </w:r>
          </w:p>
        </w:tc>
        <w:tc>
          <w:tcPr>
            <w:tcW w:type="dxa" w:w="1060"/>
            <w:shd w:fill="1F4E78" w:val="clear"/>
            <w:tcMar>
              <w:top w:type="dxa" w:w="80"/>
              <w:left w:type="dxa" w:w="90"/>
              <w:bottom w:type="dxa" w:w="80"/>
              <w:right w:type="dxa" w:w="90"/>
            </w:tcMar>
          </w:tcPr>
          <w:p>
            <w:pPr>
              <w:spacing w:after="0"/>
            </w:pPr>
            <w:r>
              <w:rPr>
                <w:b/>
                <w:bCs/>
                <w:color w:val="FFFFFF"/>
                <w:sz w:val="17"/>
                <w:szCs w:val="17"/>
              </w:rPr>
              <w:t xml:space="preserve">Priority</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Dealership isolation</w:t>
            </w:r>
          </w:p>
        </w:tc>
        <w:tc>
          <w:tcPr>
            <w:tcW w:type="dxa" w:w="3000"/>
            <w:tcMar>
              <w:top w:type="dxa" w:w="80"/>
              <w:left w:type="dxa" w:w="90"/>
              <w:bottom w:type="dxa" w:w="80"/>
              <w:right w:type="dxa" w:w="90"/>
            </w:tcMar>
          </w:tcPr>
          <w:p>
            <w:pPr>
              <w:spacing w:after="0"/>
            </w:pPr>
            <w:r>
              <w:rPr>
                <w:b w:val="false"/>
                <w:bCs w:val="false"/>
                <w:color w:val="000000"/>
                <w:sz w:val="16"/>
                <w:szCs w:val="16"/>
              </w:rPr>
              <w:t xml:space="preserve">A staff member of dealership A requests a vehicle, customer, lead, listing, photo or audit row of dealership B.</w:t>
            </w:r>
          </w:p>
        </w:tc>
        <w:tc>
          <w:tcPr>
            <w:tcW w:type="dxa" w:w="3200"/>
            <w:tcMar>
              <w:top w:type="dxa" w:w="80"/>
              <w:left w:type="dxa" w:w="90"/>
              <w:bottom w:type="dxa" w:w="80"/>
              <w:right w:type="dxa" w:w="90"/>
            </w:tcMar>
          </w:tcPr>
          <w:p>
            <w:pPr>
              <w:spacing w:after="0"/>
            </w:pPr>
            <w:r>
              <w:rPr>
                <w:b w:val="false"/>
                <w:bCs w:val="false"/>
                <w:color w:val="000000"/>
                <w:sz w:val="16"/>
                <w:szCs w:val="16"/>
              </w:rPr>
              <w:t xml:space="preserve">Disclosure or mutation across dealerships is the most serious failure the product can have.</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Sign-in and role separation</w:t>
            </w:r>
          </w:p>
        </w:tc>
        <w:tc>
          <w:tcPr>
            <w:tcW w:type="dxa" w:w="3000"/>
            <w:tcMar>
              <w:top w:type="dxa" w:w="80"/>
              <w:left w:type="dxa" w:w="90"/>
              <w:bottom w:type="dxa" w:w="80"/>
              <w:right w:type="dxa" w:w="90"/>
            </w:tcMar>
          </w:tcPr>
          <w:p>
            <w:pPr>
              <w:spacing w:after="0"/>
            </w:pPr>
            <w:r>
              <w:rPr>
                <w:b w:val="false"/>
                <w:bCs w:val="false"/>
                <w:color w:val="000000"/>
                <w:sz w:val="16"/>
                <w:szCs w:val="16"/>
              </w:rPr>
              <w:t xml:space="preserve">Sign in by username, e-mail or phone; administrator, manager and staff reach only their own surface.</w:t>
            </w:r>
          </w:p>
        </w:tc>
        <w:tc>
          <w:tcPr>
            <w:tcW w:type="dxa" w:w="3200"/>
            <w:tcMar>
              <w:top w:type="dxa" w:w="80"/>
              <w:left w:type="dxa" w:w="90"/>
              <w:bottom w:type="dxa" w:w="80"/>
              <w:right w:type="dxa" w:w="90"/>
            </w:tcMar>
          </w:tcPr>
          <w:p>
            <w:pPr>
              <w:spacing w:after="0"/>
            </w:pPr>
            <w:r>
              <w:rPr>
                <w:b w:val="false"/>
                <w:bCs w:val="false"/>
                <w:color w:val="000000"/>
                <w:sz w:val="16"/>
                <w:szCs w:val="16"/>
              </w:rPr>
              <w:t xml:space="preserve">Weak authorisation exposes customer data or lets the wrong person change the team.</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Advertising compliance gate</w:t>
            </w:r>
          </w:p>
        </w:tc>
        <w:tc>
          <w:tcPr>
            <w:tcW w:type="dxa" w:w="3000"/>
            <w:tcMar>
              <w:top w:type="dxa" w:w="80"/>
              <w:left w:type="dxa" w:w="90"/>
              <w:bottom w:type="dxa" w:w="80"/>
              <w:right w:type="dxa" w:w="90"/>
            </w:tcMar>
          </w:tcPr>
          <w:p>
            <w:pPr>
              <w:spacing w:after="0"/>
            </w:pPr>
            <w:r>
              <w:rPr>
                <w:b w:val="false"/>
                <w:bCs w:val="false"/>
                <w:color w:val="000000"/>
                <w:sz w:val="16"/>
                <w:szCs w:val="16"/>
              </w:rPr>
              <w:t xml:space="preserve">Write an advertisement, run the check, mark ready, export, publish to the buyer site.</w:t>
            </w:r>
          </w:p>
        </w:tc>
        <w:tc>
          <w:tcPr>
            <w:tcW w:type="dxa" w:w="3200"/>
            <w:tcMar>
              <w:top w:type="dxa" w:w="80"/>
              <w:left w:type="dxa" w:w="90"/>
              <w:bottom w:type="dxa" w:w="80"/>
              <w:right w:type="dxa" w:w="90"/>
            </w:tcMar>
          </w:tcPr>
          <w:p>
            <w:pPr>
              <w:spacing w:after="0"/>
            </w:pPr>
            <w:r>
              <w:rPr>
                <w:b w:val="false"/>
                <w:bCs w:val="false"/>
                <w:color w:val="000000"/>
                <w:sz w:val="16"/>
                <w:szCs w:val="16"/>
              </w:rPr>
              <w:t xml:space="preserve">A false pass publishes an advertisement that breaks the advertising rules and the dealer carries the consequence.</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AI review behaviour</w:t>
            </w:r>
          </w:p>
        </w:tc>
        <w:tc>
          <w:tcPr>
            <w:tcW w:type="dxa" w:w="3000"/>
            <w:tcMar>
              <w:top w:type="dxa" w:w="80"/>
              <w:left w:type="dxa" w:w="90"/>
              <w:bottom w:type="dxa" w:w="80"/>
              <w:right w:type="dxa" w:w="90"/>
            </w:tcMar>
          </w:tcPr>
          <w:p>
            <w:pPr>
              <w:spacing w:after="0"/>
            </w:pPr>
            <w:r>
              <w:rPr>
                <w:b w:val="false"/>
                <w:bCs w:val="false"/>
                <w:color w:val="000000"/>
                <w:sz w:val="16"/>
                <w:szCs w:val="16"/>
              </w:rPr>
              <w:t xml:space="preserve">A compliant advertisement reaches the model; a timeout, outage or missing key occurs.</w:t>
            </w:r>
          </w:p>
        </w:tc>
        <w:tc>
          <w:tcPr>
            <w:tcW w:type="dxa" w:w="3200"/>
            <w:tcMar>
              <w:top w:type="dxa" w:w="80"/>
              <w:left w:type="dxa" w:w="90"/>
              <w:bottom w:type="dxa" w:w="80"/>
              <w:right w:type="dxa" w:w="90"/>
            </w:tcMar>
          </w:tcPr>
          <w:p>
            <w:pPr>
              <w:spacing w:after="0"/>
            </w:pPr>
            <w:r>
              <w:rPr>
                <w:b w:val="false"/>
                <w:bCs w:val="false"/>
                <w:color w:val="000000"/>
                <w:sz w:val="16"/>
                <w:szCs w:val="16"/>
              </w:rPr>
              <w:t xml:space="preserve">A silent fail-open would turn an unreviewed advertisement into an approved one; a leaked phone number would breach privacy.</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Inventory lifecycle and sold lock</w:t>
            </w:r>
          </w:p>
        </w:tc>
        <w:tc>
          <w:tcPr>
            <w:tcW w:type="dxa" w:w="3000"/>
            <w:tcMar>
              <w:top w:type="dxa" w:w="80"/>
              <w:left w:type="dxa" w:w="90"/>
              <w:bottom w:type="dxa" w:w="80"/>
              <w:right w:type="dxa" w:w="90"/>
            </w:tcMar>
          </w:tcPr>
          <w:p>
            <w:pPr>
              <w:spacing w:after="0"/>
            </w:pPr>
            <w:r>
              <w:rPr>
                <w:b w:val="false"/>
                <w:bCs w:val="false"/>
                <w:color w:val="000000"/>
                <w:sz w:val="16"/>
                <w:szCs w:val="16"/>
              </w:rPr>
              <w:t xml:space="preserve">Create, edit, photograph, repair and sell a vehicle, then attempt further changes.</w:t>
            </w:r>
          </w:p>
        </w:tc>
        <w:tc>
          <w:tcPr>
            <w:tcW w:type="dxa" w:w="3200"/>
            <w:tcMar>
              <w:top w:type="dxa" w:w="80"/>
              <w:left w:type="dxa" w:w="90"/>
              <w:bottom w:type="dxa" w:w="80"/>
              <w:right w:type="dxa" w:w="90"/>
            </w:tcMar>
          </w:tcPr>
          <w:p>
            <w:pPr>
              <w:spacing w:after="0"/>
            </w:pPr>
            <w:r>
              <w:rPr>
                <w:b w:val="false"/>
                <w:bCs w:val="false"/>
                <w:color w:val="000000"/>
                <w:sz w:val="16"/>
                <w:szCs w:val="16"/>
              </w:rPr>
              <w:t xml:space="preserve">Inventory and sales records feed pricing, the bill of sale and the dealership’s accounts.</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Gateway and internal boundary</w:t>
            </w:r>
          </w:p>
        </w:tc>
        <w:tc>
          <w:tcPr>
            <w:tcW w:type="dxa" w:w="3000"/>
            <w:tcMar>
              <w:top w:type="dxa" w:w="80"/>
              <w:left w:type="dxa" w:w="90"/>
              <w:bottom w:type="dxa" w:w="80"/>
              <w:right w:type="dxa" w:w="90"/>
            </w:tcMar>
          </w:tcPr>
          <w:p>
            <w:pPr>
              <w:spacing w:after="0"/>
            </w:pPr>
            <w:r>
              <w:rPr>
                <w:b w:val="false"/>
                <w:bCs w:val="false"/>
                <w:color w:val="000000"/>
                <w:sz w:val="16"/>
                <w:szCs w:val="16"/>
              </w:rPr>
              <w:t xml:space="preserve">Use the public API; attempt core, the AI service or an internal route directly.</w:t>
            </w:r>
          </w:p>
        </w:tc>
        <w:tc>
          <w:tcPr>
            <w:tcW w:type="dxa" w:w="3200"/>
            <w:tcMar>
              <w:top w:type="dxa" w:w="80"/>
              <w:left w:type="dxa" w:w="90"/>
              <w:bottom w:type="dxa" w:w="80"/>
              <w:right w:type="dxa" w:w="90"/>
            </w:tcMar>
          </w:tcPr>
          <w:p>
            <w:pPr>
              <w:spacing w:after="0"/>
            </w:pPr>
            <w:r>
              <w:rPr>
                <w:b w:val="false"/>
                <w:bCs w:val="false"/>
                <w:color w:val="000000"/>
                <w:sz w:val="16"/>
                <w:szCs w:val="16"/>
              </w:rPr>
              <w:t xml:space="preserve">An exposed internal port defeats every other control in the design.</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Audit trail</w:t>
            </w:r>
          </w:p>
        </w:tc>
        <w:tc>
          <w:tcPr>
            <w:tcW w:type="dxa" w:w="3000"/>
            <w:tcMar>
              <w:top w:type="dxa" w:w="80"/>
              <w:left w:type="dxa" w:w="90"/>
              <w:bottom w:type="dxa" w:w="80"/>
              <w:right w:type="dxa" w:w="90"/>
            </w:tcMar>
          </w:tcPr>
          <w:p>
            <w:pPr>
              <w:spacing w:after="0"/>
            </w:pPr>
            <w:r>
              <w:rPr>
                <w:b w:val="false"/>
                <w:bCs w:val="false"/>
                <w:color w:val="000000"/>
                <w:sz w:val="16"/>
                <w:szCs w:val="16"/>
              </w:rPr>
              <w:t xml:space="preserve">Any business write, then read the record history and the dealership and platform logs.</w:t>
            </w:r>
          </w:p>
        </w:tc>
        <w:tc>
          <w:tcPr>
            <w:tcW w:type="dxa" w:w="3200"/>
            <w:tcMar>
              <w:top w:type="dxa" w:w="80"/>
              <w:left w:type="dxa" w:w="90"/>
              <w:bottom w:type="dxa" w:w="80"/>
              <w:right w:type="dxa" w:w="90"/>
            </w:tcMar>
          </w:tcPr>
          <w:p>
            <w:pPr>
              <w:spacing w:after="0"/>
            </w:pPr>
            <w:r>
              <w:rPr>
                <w:b w:val="false"/>
                <w:bCs w:val="false"/>
                <w:color w:val="000000"/>
                <w:sz w:val="16"/>
                <w:szCs w:val="16"/>
              </w:rPr>
              <w:t xml:space="preserve">The audit trail is the dealership’s evidence of who changed what; staff must not read it at all.</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Customers, links and leads</w:t>
            </w:r>
          </w:p>
        </w:tc>
        <w:tc>
          <w:tcPr>
            <w:tcW w:type="dxa" w:w="3000"/>
            <w:tcMar>
              <w:top w:type="dxa" w:w="80"/>
              <w:left w:type="dxa" w:w="90"/>
              <w:bottom w:type="dxa" w:w="80"/>
              <w:right w:type="dxa" w:w="90"/>
            </w:tcMar>
          </w:tcPr>
          <w:p>
            <w:pPr>
              <w:spacing w:after="0"/>
            </w:pPr>
            <w:r>
              <w:rPr>
                <w:b w:val="false"/>
                <w:bCs w:val="false"/>
                <w:color w:val="000000"/>
                <w:sz w:val="16"/>
                <w:szCs w:val="16"/>
              </w:rPr>
              <w:t xml:space="preserve">Add a customer, link a vehicle, work a lead to won or lost, record notes.</w:t>
            </w:r>
          </w:p>
        </w:tc>
        <w:tc>
          <w:tcPr>
            <w:tcW w:type="dxa" w:w="3200"/>
            <w:tcMar>
              <w:top w:type="dxa" w:w="80"/>
              <w:left w:type="dxa" w:w="90"/>
              <w:bottom w:type="dxa" w:w="80"/>
              <w:right w:type="dxa" w:w="90"/>
            </w:tcMar>
          </w:tcPr>
          <w:p>
            <w:pPr>
              <w:spacing w:after="0"/>
            </w:pPr>
            <w:r>
              <w:rPr>
                <w:b w:val="false"/>
                <w:bCs w:val="false"/>
                <w:color w:val="000000"/>
                <w:sz w:val="16"/>
                <w:szCs w:val="16"/>
              </w:rPr>
              <w:t xml:space="preserve">Wrong links and lost follow-ups cost sales and confuse the sales history.</w:t>
            </w:r>
          </w:p>
        </w:tc>
        <w:tc>
          <w:tcPr>
            <w:tcW w:type="dxa" w:w="1060"/>
            <w:tcMar>
              <w:top w:type="dxa" w:w="80"/>
              <w:left w:type="dxa" w:w="90"/>
              <w:bottom w:type="dxa" w:w="80"/>
              <w:right w:type="dxa" w:w="90"/>
            </w:tcMar>
          </w:tcPr>
          <w:p>
            <w:pPr>
              <w:spacing w:after="0"/>
            </w:pPr>
            <w:r>
              <w:rPr>
                <w:b w:val="false"/>
                <w:bCs w:val="false"/>
                <w:color w:val="000000"/>
                <w:sz w:val="16"/>
                <w:szCs w:val="16"/>
              </w:rPr>
              <w:t xml:space="preserve">Medium</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Payments, bill of sale and reports</w:t>
            </w:r>
          </w:p>
        </w:tc>
        <w:tc>
          <w:tcPr>
            <w:tcW w:type="dxa" w:w="3000"/>
            <w:tcMar>
              <w:top w:type="dxa" w:w="80"/>
              <w:left w:type="dxa" w:w="90"/>
              <w:bottom w:type="dxa" w:w="80"/>
              <w:right w:type="dxa" w:w="90"/>
            </w:tcMar>
          </w:tcPr>
          <w:p>
            <w:pPr>
              <w:spacing w:after="0"/>
            </w:pPr>
            <w:r>
              <w:rPr>
                <w:b w:val="false"/>
                <w:bCs w:val="false"/>
                <w:color w:val="000000"/>
                <w:sz w:val="16"/>
                <w:szCs w:val="16"/>
              </w:rPr>
              <w:t xml:space="preserve">Record payments on a sold vehicle, print the bill of sale, read the dashboard.</w:t>
            </w:r>
          </w:p>
        </w:tc>
        <w:tc>
          <w:tcPr>
            <w:tcW w:type="dxa" w:w="3200"/>
            <w:tcMar>
              <w:top w:type="dxa" w:w="80"/>
              <w:left w:type="dxa" w:w="90"/>
              <w:bottom w:type="dxa" w:w="80"/>
              <w:right w:type="dxa" w:w="90"/>
            </w:tcMar>
          </w:tcPr>
          <w:p>
            <w:pPr>
              <w:spacing w:after="0"/>
            </w:pPr>
            <w:r>
              <w:rPr>
                <w:b w:val="false"/>
                <w:bCs w:val="false"/>
                <w:color w:val="000000"/>
                <w:sz w:val="16"/>
                <w:szCs w:val="16"/>
              </w:rPr>
              <w:t xml:space="preserve">Ledger errors mislead the dealership about what a buyer still owes.</w:t>
            </w:r>
          </w:p>
        </w:tc>
        <w:tc>
          <w:tcPr>
            <w:tcW w:type="dxa" w:w="1060"/>
            <w:tcMar>
              <w:top w:type="dxa" w:w="80"/>
              <w:left w:type="dxa" w:w="90"/>
              <w:bottom w:type="dxa" w:w="80"/>
              <w:right w:type="dxa" w:w="90"/>
            </w:tcMar>
          </w:tcPr>
          <w:p>
            <w:pPr>
              <w:spacing w:after="0"/>
            </w:pPr>
            <w:r>
              <w:rPr>
                <w:b w:val="false"/>
                <w:bCs w:val="false"/>
                <w:color w:val="000000"/>
                <w:sz w:val="16"/>
                <w:szCs w:val="16"/>
              </w:rPr>
              <w:t xml:space="preserve">Medium</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Public buyer site</w:t>
            </w:r>
          </w:p>
        </w:tc>
        <w:tc>
          <w:tcPr>
            <w:tcW w:type="dxa" w:w="3000"/>
            <w:tcMar>
              <w:top w:type="dxa" w:w="80"/>
              <w:left w:type="dxa" w:w="90"/>
              <w:bottom w:type="dxa" w:w="80"/>
              <w:right w:type="dxa" w:w="90"/>
            </w:tcMar>
          </w:tcPr>
          <w:p>
            <w:pPr>
              <w:spacing w:after="0"/>
            </w:pPr>
            <w:r>
              <w:rPr>
                <w:b w:val="false"/>
                <w:bCs w:val="false"/>
                <w:color w:val="000000"/>
                <w:sz w:val="16"/>
                <w:szCs w:val="16"/>
              </w:rPr>
              <w:t xml:space="preserve">A buyer browses a dealership and sends an inquiry.</w:t>
            </w:r>
          </w:p>
        </w:tc>
        <w:tc>
          <w:tcPr>
            <w:tcW w:type="dxa" w:w="3200"/>
            <w:tcMar>
              <w:top w:type="dxa" w:w="80"/>
              <w:left w:type="dxa" w:w="90"/>
              <w:bottom w:type="dxa" w:w="80"/>
              <w:right w:type="dxa" w:w="90"/>
            </w:tcMar>
          </w:tcPr>
          <w:p>
            <w:pPr>
              <w:spacing w:after="0"/>
            </w:pPr>
            <w:r>
              <w:rPr>
                <w:b w:val="false"/>
                <w:bCs w:val="false"/>
                <w:color w:val="000000"/>
                <w:sz w:val="16"/>
                <w:szCs w:val="16"/>
              </w:rPr>
              <w:t xml:space="preserve">Publishing a private field or an unchecked advertisement to the public is a disclosure and a compliance failure at once.</w:t>
            </w:r>
          </w:p>
        </w:tc>
        <w:tc>
          <w:tcPr>
            <w:tcW w:type="dxa" w:w="1060"/>
            <w:tcMar>
              <w:top w:type="dxa" w:w="80"/>
              <w:left w:type="dxa" w:w="90"/>
              <w:bottom w:type="dxa" w:w="80"/>
              <w:right w:type="dxa" w:w="90"/>
            </w:tcMar>
          </w:tcPr>
          <w:p>
            <w:pPr>
              <w:spacing w:after="0"/>
            </w:pPr>
            <w:r>
              <w:rPr>
                <w:b w:val="false"/>
                <w:bCs w:val="false"/>
                <w:color w:val="000000"/>
                <w:sz w:val="16"/>
                <w:szCs w:val="16"/>
              </w:rPr>
              <w:t xml:space="preserve">Medium</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Deployment and release</w:t>
            </w:r>
          </w:p>
        </w:tc>
        <w:tc>
          <w:tcPr>
            <w:tcW w:type="dxa" w:w="3000"/>
            <w:tcMar>
              <w:top w:type="dxa" w:w="80"/>
              <w:left w:type="dxa" w:w="90"/>
              <w:bottom w:type="dxa" w:w="80"/>
              <w:right w:type="dxa" w:w="90"/>
            </w:tcMar>
          </w:tcPr>
          <w:p>
            <w:pPr>
              <w:spacing w:after="0"/>
            </w:pPr>
            <w:r>
              <w:rPr>
                <w:b w:val="false"/>
                <w:bCs w:val="false"/>
                <w:color w:val="000000"/>
                <w:sz w:val="16"/>
                <w:szCs w:val="16"/>
              </w:rPr>
              <w:t xml:space="preserve">Build from a clean checkout, deploy to Azure, seed, verify, roll back.</w:t>
            </w:r>
          </w:p>
        </w:tc>
        <w:tc>
          <w:tcPr>
            <w:tcW w:type="dxa" w:w="3200"/>
            <w:tcMar>
              <w:top w:type="dxa" w:w="80"/>
              <w:left w:type="dxa" w:w="90"/>
              <w:bottom w:type="dxa" w:w="80"/>
              <w:right w:type="dxa" w:w="90"/>
            </w:tcMar>
          </w:tcPr>
          <w:p>
            <w:pPr>
              <w:spacing w:after="0"/>
            </w:pPr>
            <w:r>
              <w:rPr>
                <w:b w:val="false"/>
                <w:bCs w:val="false"/>
                <w:color w:val="000000"/>
                <w:sz w:val="16"/>
                <w:szCs w:val="16"/>
              </w:rPr>
              <w:t xml:space="preserve">The sprint reviews are accepted only on the cloud demo; an unrepeatable release blocks acceptance.</w:t>
            </w:r>
          </w:p>
        </w:tc>
        <w:tc>
          <w:tcPr>
            <w:tcW w:type="dxa" w:w="1060"/>
            <w:tcMar>
              <w:top w:type="dxa" w:w="80"/>
              <w:left w:type="dxa" w:w="90"/>
              <w:bottom w:type="dxa" w:w="80"/>
              <w:right w:type="dxa" w:w="90"/>
            </w:tcMar>
          </w:tcPr>
          <w:p>
            <w:pPr>
              <w:spacing w:after="0"/>
            </w:pPr>
            <w:r>
              <w:rPr>
                <w:b w:val="false"/>
                <w:bCs w:val="false"/>
                <w:color w:val="000000"/>
                <w:sz w:val="16"/>
                <w:szCs w:val="16"/>
              </w:rPr>
              <w:t xml:space="preserve">High</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Client user interface states</w:t>
            </w:r>
          </w:p>
        </w:tc>
        <w:tc>
          <w:tcPr>
            <w:tcW w:type="dxa" w:w="3000"/>
            <w:tcMar>
              <w:top w:type="dxa" w:w="80"/>
              <w:left w:type="dxa" w:w="90"/>
              <w:bottom w:type="dxa" w:w="80"/>
              <w:right w:type="dxa" w:w="90"/>
            </w:tcMar>
          </w:tcPr>
          <w:p>
            <w:pPr>
              <w:spacing w:after="0"/>
            </w:pPr>
            <w:r>
              <w:rPr>
                <w:b w:val="false"/>
                <w:bCs w:val="false"/>
                <w:color w:val="000000"/>
                <w:sz w:val="16"/>
                <w:szCs w:val="16"/>
              </w:rPr>
              <w:t xml:space="preserve">Loading, empty, error, forbidden and AI-unavailable states on every page.</w:t>
            </w:r>
          </w:p>
        </w:tc>
        <w:tc>
          <w:tcPr>
            <w:tcW w:type="dxa" w:w="3200"/>
            <w:tcMar>
              <w:top w:type="dxa" w:w="80"/>
              <w:left w:type="dxa" w:w="90"/>
              <w:bottom w:type="dxa" w:w="80"/>
              <w:right w:type="dxa" w:w="90"/>
            </w:tcMar>
          </w:tcPr>
          <w:p>
            <w:pPr>
              <w:spacing w:after="0"/>
            </w:pPr>
            <w:r>
              <w:rPr>
                <w:b w:val="false"/>
                <w:bCs w:val="false"/>
                <w:color w:val="000000"/>
                <w:sz w:val="16"/>
                <w:szCs w:val="16"/>
              </w:rPr>
              <w:t xml:space="preserve">A failure painted as an empty table makes users believe data was lost.</w:t>
            </w:r>
          </w:p>
        </w:tc>
        <w:tc>
          <w:tcPr>
            <w:tcW w:type="dxa" w:w="1060"/>
            <w:tcMar>
              <w:top w:type="dxa" w:w="80"/>
              <w:left w:type="dxa" w:w="90"/>
              <w:bottom w:type="dxa" w:w="80"/>
              <w:right w:type="dxa" w:w="90"/>
            </w:tcMar>
          </w:tcPr>
          <w:p>
            <w:pPr>
              <w:spacing w:after="0"/>
            </w:pPr>
            <w:r>
              <w:rPr>
                <w:b w:val="false"/>
                <w:bCs w:val="false"/>
                <w:color w:val="000000"/>
                <w:sz w:val="16"/>
                <w:szCs w:val="16"/>
              </w:rPr>
              <w:t xml:space="preserve">Medium</w:t>
            </w:r>
          </w:p>
        </w:tc>
      </w:tr>
    </w:tbl>
    <w:p>
      <w:pPr>
        <w:pStyle w:val="Heading1"/>
        <w:spacing w:after="100" w:before="220"/>
      </w:pPr>
      <w:r>
        <w:rPr>
          <w:b/>
          <w:bCs/>
          <w:color w:val="1F4E78"/>
          <w:sz w:val="26"/>
          <w:szCs w:val="26"/>
        </w:rPr>
        <w:t xml:space="preserve">5. Features Not to Be Tested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3400"/>
            <w:shd w:fill="1F4E78" w:val="clear"/>
            <w:tcMar>
              <w:top w:type="dxa" w:w="80"/>
              <w:left w:type="dxa" w:w="90"/>
              <w:bottom w:type="dxa" w:w="80"/>
              <w:right w:type="dxa" w:w="90"/>
            </w:tcMar>
          </w:tcPr>
          <w:p>
            <w:pPr>
              <w:spacing w:after="0"/>
            </w:pPr>
            <w:r>
              <w:rPr>
                <w:b/>
                <w:bCs/>
                <w:color w:val="FFFFFF"/>
                <w:sz w:val="17"/>
                <w:szCs w:val="17"/>
              </w:rPr>
              <w:t xml:space="preserve">Excluded item</w:t>
            </w:r>
          </w:p>
        </w:tc>
        <w:tc>
          <w:tcPr>
            <w:tcW w:type="dxa" w:w="5960"/>
            <w:shd w:fill="1F4E78" w:val="clear"/>
            <w:tcMar>
              <w:top w:type="dxa" w:w="80"/>
              <w:left w:type="dxa" w:w="90"/>
              <w:bottom w:type="dxa" w:w="80"/>
              <w:right w:type="dxa" w:w="90"/>
            </w:tcMar>
          </w:tcPr>
          <w:p>
            <w:pPr>
              <w:spacing w:after="0"/>
            </w:pPr>
            <w:r>
              <w:rPr>
                <w:b/>
                <w:bCs/>
                <w:color w:val="FFFFFF"/>
                <w:sz w:val="17"/>
                <w:szCs w:val="17"/>
              </w:rPr>
              <w:t xml:space="preserve">Reason not tested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Internal algorithms and availability of the AI provider, the vPIC VIN service, Google and Firebase sign-in</w:t>
            </w:r>
          </w:p>
        </w:tc>
        <w:tc>
          <w:tcPr>
            <w:tcW w:type="dxa" w:w="5960"/>
            <w:tcMar>
              <w:top w:type="dxa" w:w="80"/>
              <w:left w:type="dxa" w:w="90"/>
              <w:bottom w:type="dxa" w:w="80"/>
              <w:right w:type="dxa" w:w="90"/>
            </w:tcMar>
          </w:tcPr>
          <w:p>
            <w:pPr>
              <w:spacing w:after="0"/>
            </w:pPr>
            <w:r>
              <w:rPr>
                <w:b w:val="false"/>
                <w:bCs w:val="false"/>
                <w:color w:val="000000"/>
                <w:sz w:val="16"/>
                <w:szCs w:val="16"/>
              </w:rPr>
              <w:t xml:space="preserve">Outside the team’s control. Our adapters, timeouts and error mapping are tested instead.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Production-scale load, soak and disaster recovery</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environments are a single workstation and a small Azure plan; the capstone has no performance requirement to verify.</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Legal or OMVIC approval of an advertisement</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product explicitly disclaims legal approval; we test the implemented rule set only.</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Real marketplace publishing and card payment processing</w:t>
            </w:r>
          </w:p>
        </w:tc>
        <w:tc>
          <w:tcPr>
            <w:tcW w:type="dxa" w:w="5960"/>
            <w:tcMar>
              <w:top w:type="dxa" w:w="80"/>
              <w:left w:type="dxa" w:w="90"/>
              <w:bottom w:type="dxa" w:w="80"/>
              <w:right w:type="dxa" w:w="90"/>
            </w:tcMar>
          </w:tcPr>
          <w:p>
            <w:pPr>
              <w:spacing w:after="0"/>
            </w:pPr>
            <w:r>
              <w:rPr>
                <w:b w:val="false"/>
                <w:bCs w:val="false"/>
                <w:color w:val="000000"/>
                <w:sz w:val="16"/>
                <w:szCs w:val="16"/>
              </w:rPr>
              <w:t xml:space="preserve">Neither is implemented; marketplace publishing is a labelled simulation and payments are a ledger.</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Optical character recognition, message queues, a second database, a dealership switcher</w:t>
            </w:r>
          </w:p>
        </w:tc>
        <w:tc>
          <w:tcPr>
            <w:tcW w:type="dxa" w:w="5960"/>
            <w:tcMar>
              <w:top w:type="dxa" w:w="80"/>
              <w:left w:type="dxa" w:w="90"/>
              <w:bottom w:type="dxa" w:w="80"/>
              <w:right w:type="dxa" w:w="90"/>
            </w:tcMar>
          </w:tcPr>
          <w:p>
            <w:pPr>
              <w:spacing w:after="0"/>
            </w:pPr>
            <w:r>
              <w:rPr>
                <w:b w:val="false"/>
                <w:bCs w:val="false"/>
                <w:color w:val="000000"/>
                <w:sz w:val="16"/>
                <w:szCs w:val="16"/>
              </w:rPr>
              <w:t xml:space="preserve">Out of scope in the project baseline; no implementation exists.</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The retired Java and Vue implementation</w:t>
            </w:r>
          </w:p>
        </w:tc>
        <w:tc>
          <w:tcPr>
            <w:tcW w:type="dxa" w:w="5960"/>
            <w:tcMar>
              <w:top w:type="dxa" w:w="80"/>
              <w:left w:type="dxa" w:w="90"/>
              <w:bottom w:type="dxa" w:w="80"/>
              <w:right w:type="dxa" w:w="90"/>
            </w:tcMar>
          </w:tcPr>
          <w:p>
            <w:pPr>
              <w:spacing w:after="0"/>
            </w:pPr>
            <w:r>
              <w:rPr>
                <w:b w:val="false"/>
                <w:bCs w:val="false"/>
                <w:color w:val="000000"/>
                <w:sz w:val="16"/>
                <w:szCs w:val="16"/>
              </w:rPr>
              <w:t xml:space="preserve">Removed from the repository on the current baseline; keeping cases for it would report coverage that cannot be executed.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Native mobile applications</w:t>
            </w:r>
          </w:p>
        </w:tc>
        <w:tc>
          <w:tcPr>
            <w:tcW w:type="dxa" w:w="5960"/>
            <w:tcMar>
              <w:top w:type="dxa" w:w="80"/>
              <w:left w:type="dxa" w:w="90"/>
              <w:bottom w:type="dxa" w:w="80"/>
              <w:right w:type="dxa" w:w="90"/>
            </w:tcMar>
          </w:tcPr>
          <w:p>
            <w:pPr>
              <w:spacing w:after="0"/>
            </w:pPr>
            <w:r>
              <w:rPr>
                <w:b w:val="false"/>
                <w:bCs w:val="false"/>
                <w:color w:val="000000"/>
                <w:sz w:val="16"/>
                <w:szCs w:val="16"/>
              </w:rPr>
              <w:t xml:space="preserve">The deliverable is a browser client; phone-width browser checks are included instead.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Other students’ peer assessments</w:t>
            </w:r>
          </w:p>
        </w:tc>
        <w:tc>
          <w:tcPr>
            <w:tcW w:type="dxa" w:w="5960"/>
            <w:tcMar>
              <w:top w:type="dxa" w:w="80"/>
              <w:left w:type="dxa" w:w="90"/>
              <w:bottom w:type="dxa" w:w="80"/>
              <w:right w:type="dxa" w:w="90"/>
            </w:tcMar>
          </w:tcPr>
          <w:p>
            <w:pPr>
              <w:spacing w:after="0"/>
            </w:pPr>
            <w:r>
              <w:rPr>
                <w:b w:val="false"/>
                <w:bCs w:val="false"/>
                <w:color w:val="000000"/>
                <w:sz w:val="16"/>
                <w:szCs w:val="16"/>
              </w:rPr>
              <w:t xml:space="preserve">Submitted individually by each member and not part of this group artefact.</w:t>
            </w:r>
          </w:p>
        </w:tc>
      </w:tr>
    </w:tbl>
    <w:p>
      <w:pPr>
        <w:pStyle w:val="Heading1"/>
        <w:spacing w:after="100" w:before="220"/>
      </w:pPr>
      <w:r>
        <w:rPr>
          <w:b/>
          <w:bCs/>
          <w:color w:val="1F4E78"/>
          <w:sz w:val="26"/>
          <w:szCs w:val="26"/>
        </w:rPr>
        <w:t xml:space="preserve">6. Test Approach (strategy across the SDLC)</w:t>
      </w:r>
    </w:p>
    <w:p>
      <w:pPr>
        <w:spacing w:after="100" w:line="276"/>
      </w:pPr>
      <w:r>
        <w:rPr>
          <w:sz w:val="21"/>
          <w:szCs w:val="21"/>
        </w:rPr>
        <w:t xml:space="preserve">The approach follows chapter 5 of the course textbook: testing is planned for every phase of the life cycle rather than only before release, and each phase has measurable entry and exit criteria so a phase cannot start on an unready build or end on an open critical defect.</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Phase / level</w:t>
            </w:r>
          </w:p>
        </w:tc>
        <w:tc>
          <w:tcPr>
            <w:tcW w:type="dxa" w:w="3200"/>
            <w:shd w:fill="1F4E78" w:val="clear"/>
            <w:tcMar>
              <w:top w:type="dxa" w:w="80"/>
              <w:left w:type="dxa" w:w="90"/>
              <w:bottom w:type="dxa" w:w="80"/>
              <w:right w:type="dxa" w:w="90"/>
            </w:tcMar>
          </w:tcPr>
          <w:p>
            <w:pPr>
              <w:spacing w:after="0"/>
            </w:pPr>
            <w:r>
              <w:rPr>
                <w:b/>
                <w:bCs/>
                <w:color w:val="FFFFFF"/>
                <w:sz w:val="17"/>
                <w:szCs w:val="17"/>
              </w:rPr>
              <w:t xml:space="preserve">Purpose and techniques</w:t>
            </w:r>
          </w:p>
        </w:tc>
        <w:tc>
          <w:tcPr>
            <w:tcW w:type="dxa" w:w="2200"/>
            <w:shd w:fill="1F4E78" w:val="clear"/>
            <w:tcMar>
              <w:top w:type="dxa" w:w="80"/>
              <w:left w:type="dxa" w:w="90"/>
              <w:bottom w:type="dxa" w:w="80"/>
              <w:right w:type="dxa" w:w="90"/>
            </w:tcMar>
          </w:tcPr>
          <w:p>
            <w:pPr>
              <w:spacing w:after="0"/>
            </w:pPr>
            <w:r>
              <w:rPr>
                <w:b/>
                <w:bCs/>
                <w:color w:val="FFFFFF"/>
                <w:sz w:val="17"/>
                <w:szCs w:val="17"/>
              </w:rPr>
              <w:t xml:space="preserve">Entry criteria</w:t>
            </w:r>
          </w:p>
        </w:tc>
        <w:tc>
          <w:tcPr>
            <w:tcW w:type="dxa" w:w="2060"/>
            <w:shd w:fill="1F4E78" w:val="clear"/>
            <w:tcMar>
              <w:top w:type="dxa" w:w="80"/>
              <w:left w:type="dxa" w:w="90"/>
              <w:bottom w:type="dxa" w:w="80"/>
              <w:right w:type="dxa" w:w="90"/>
            </w:tcMar>
          </w:tcPr>
          <w:p>
            <w:pPr>
              <w:spacing w:after="0"/>
            </w:pPr>
            <w:r>
              <w:rPr>
                <w:b/>
                <w:bCs/>
                <w:color w:val="FFFFFF"/>
                <w:sz w:val="17"/>
                <w:szCs w:val="17"/>
              </w:rPr>
              <w:t xml:space="preserve">Exit criteria</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Requirements and design review</w:t>
            </w:r>
          </w:p>
        </w:tc>
        <w:tc>
          <w:tcPr>
            <w:tcW w:type="dxa" w:w="3200"/>
            <w:tcMar>
              <w:top w:type="dxa" w:w="80"/>
              <w:left w:type="dxa" w:w="90"/>
              <w:bottom w:type="dxa" w:w="80"/>
              <w:right w:type="dxa" w:w="90"/>
            </w:tcMar>
          </w:tcPr>
          <w:p>
            <w:pPr>
              <w:spacing w:after="0"/>
            </w:pPr>
            <w:r>
              <w:rPr>
                <w:b w:val="false"/>
                <w:bCs w:val="false"/>
                <w:color w:val="000000"/>
                <w:sz w:val="16"/>
                <w:szCs w:val="16"/>
              </w:rPr>
              <w:t xml:space="preserve">Static review: requirement inspection, traceability, abuse-case review and risk ranking across routes, roles, states and error codes.</w:t>
            </w:r>
          </w:p>
        </w:tc>
        <w:tc>
          <w:tcPr>
            <w:tcW w:type="dxa" w:w="2200"/>
            <w:tcMar>
              <w:top w:type="dxa" w:w="80"/>
              <w:left w:type="dxa" w:w="90"/>
              <w:bottom w:type="dxa" w:w="80"/>
              <w:right w:type="dxa" w:w="90"/>
            </w:tcMar>
          </w:tcPr>
          <w:p>
            <w:pPr>
              <w:spacing w:after="0"/>
            </w:pPr>
            <w:r>
              <w:rPr>
                <w:b w:val="false"/>
                <w:bCs w:val="false"/>
                <w:color w:val="000000"/>
                <w:sz w:val="16"/>
                <w:szCs w:val="16"/>
              </w:rPr>
              <w:t xml:space="preserve">Requirements, design documents and the working tree are available for the baseline.</w:t>
            </w:r>
          </w:p>
        </w:tc>
        <w:tc>
          <w:tcPr>
            <w:tcW w:type="dxa" w:w="2060"/>
            <w:tcMar>
              <w:top w:type="dxa" w:w="80"/>
              <w:left w:type="dxa" w:w="90"/>
              <w:bottom w:type="dxa" w:w="80"/>
              <w:right w:type="dxa" w:w="90"/>
            </w:tcMar>
          </w:tcPr>
          <w:p>
            <w:pPr>
              <w:spacing w:after="0"/>
            </w:pPr>
            <w:r>
              <w:rPr>
                <w:b w:val="false"/>
                <w:bCs w:val="false"/>
                <w:color w:val="000000"/>
                <w:sz w:val="16"/>
                <w:szCs w:val="16"/>
              </w:rPr>
              <w:t xml:space="preserve">Every Must requirement has a case and an owner; ambiguities are resolved or recorded as stated assumptions.</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Unit</w:t>
            </w:r>
          </w:p>
        </w:tc>
        <w:tc>
          <w:tcPr>
            <w:tcW w:type="dxa" w:w="3200"/>
            <w:tcMar>
              <w:top w:type="dxa" w:w="80"/>
              <w:left w:type="dxa" w:w="90"/>
              <w:bottom w:type="dxa" w:w="80"/>
              <w:right w:type="dxa" w:w="90"/>
            </w:tcMar>
          </w:tcPr>
          <w:p>
            <w:pPr>
              <w:spacing w:after="0"/>
            </w:pPr>
            <w:r>
              <w:rPr>
                <w:b w:val="false"/>
                <w:bCs w:val="false"/>
                <w:color w:val="000000"/>
                <w:sz w:val="16"/>
                <w:szCs w:val="16"/>
              </w:rPr>
              <w:t xml:space="preserve">White-box tests of single classes: validation, rule engine, state mapping, timeout mapping, prompt construction and ledger arithmetic, with no database or network.</w:t>
            </w:r>
          </w:p>
        </w:tc>
        <w:tc>
          <w:tcPr>
            <w:tcW w:type="dxa" w:w="2200"/>
            <w:tcMar>
              <w:top w:type="dxa" w:w="80"/>
              <w:left w:type="dxa" w:w="90"/>
              <w:bottom w:type="dxa" w:w="80"/>
              <w:right w:type="dxa" w:w="90"/>
            </w:tcMar>
          </w:tcPr>
          <w:p>
            <w:pPr>
              <w:spacing w:after="0"/>
            </w:pPr>
            <w:r>
              <w:rPr>
                <w:b w:val="false"/>
                <w:bCs w:val="false"/>
                <w:color w:val="000000"/>
                <w:sz w:val="16"/>
                <w:szCs w:val="16"/>
              </w:rPr>
              <w:t xml:space="preserve">The affected project builds; test data is deterministic.</w:t>
            </w:r>
          </w:p>
        </w:tc>
        <w:tc>
          <w:tcPr>
            <w:tcW w:type="dxa" w:w="2060"/>
            <w:tcMar>
              <w:top w:type="dxa" w:w="80"/>
              <w:left w:type="dxa" w:w="90"/>
              <w:bottom w:type="dxa" w:w="80"/>
              <w:right w:type="dxa" w:w="90"/>
            </w:tcMar>
          </w:tcPr>
          <w:p>
            <w:pPr>
              <w:spacing w:after="0"/>
            </w:pPr>
            <w:r>
              <w:rPr>
                <w:b w:val="false"/>
                <w:bCs w:val="false"/>
                <w:color w:val="000000"/>
                <w:sz w:val="16"/>
                <w:szCs w:val="16"/>
              </w:rPr>
              <w:t xml:space="preserve">All planned unit cases pass; no critical or major defect remains in the changed unit.</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Integration and API</w:t>
            </w:r>
          </w:p>
        </w:tc>
        <w:tc>
          <w:tcPr>
            <w:tcW w:type="dxa" w:w="3200"/>
            <w:tcMar>
              <w:top w:type="dxa" w:w="80"/>
              <w:left w:type="dxa" w:w="90"/>
              <w:bottom w:type="dxa" w:w="80"/>
              <w:right w:type="dxa" w:w="90"/>
            </w:tcMar>
          </w:tcPr>
          <w:p>
            <w:pPr>
              <w:spacing w:after="0"/>
            </w:pPr>
            <w:r>
              <w:rPr>
                <w:b w:val="false"/>
                <w:bCs w:val="false"/>
                <w:color w:val="000000"/>
                <w:sz w:val="16"/>
                <w:szCs w:val="16"/>
              </w:rPr>
              <w:t xml:space="preserve">Black-box API testing through the gateway against a real core, AI stub or live model and a real MySQL database; negative testing, cross-dealership matrix and controlled failure injection.</w:t>
            </w:r>
          </w:p>
        </w:tc>
        <w:tc>
          <w:tcPr>
            <w:tcW w:type="dxa" w:w="2200"/>
            <w:tcMar>
              <w:top w:type="dxa" w:w="80"/>
              <w:left w:type="dxa" w:w="90"/>
              <w:bottom w:type="dxa" w:w="80"/>
              <w:right w:type="dxa" w:w="90"/>
            </w:tcMar>
          </w:tcPr>
          <w:p>
            <w:pPr>
              <w:spacing w:after="0"/>
            </w:pPr>
            <w:r>
              <w:rPr>
                <w:b w:val="false"/>
                <w:bCs w:val="false"/>
                <w:color w:val="000000"/>
                <w:sz w:val="16"/>
                <w:szCs w:val="16"/>
              </w:rPr>
              <w:t xml:space="preserve">Unit exit met; the private test stack starts and the schema is created; seed data is loaded.</w:t>
            </w:r>
          </w:p>
        </w:tc>
        <w:tc>
          <w:tcPr>
            <w:tcW w:type="dxa" w:w="2060"/>
            <w:tcMar>
              <w:top w:type="dxa" w:w="80"/>
              <w:left w:type="dxa" w:w="90"/>
              <w:bottom w:type="dxa" w:w="80"/>
              <w:right w:type="dxa" w:w="90"/>
            </w:tcMar>
          </w:tcPr>
          <w:p>
            <w:pPr>
              <w:spacing w:after="0"/>
            </w:pPr>
            <w:r>
              <w:rPr>
                <w:b w:val="false"/>
                <w:bCs w:val="false"/>
                <w:color w:val="000000"/>
                <w:sz w:val="16"/>
                <w:szCs w:val="16"/>
              </w:rPr>
              <w:t xml:space="preserve">All High-priority API cases pass; isolation, authorisation, persistence, boundary and audit evidence is captured.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System (browser end-to-end)</w:t>
            </w:r>
          </w:p>
        </w:tc>
        <w:tc>
          <w:tcPr>
            <w:tcW w:type="dxa" w:w="3200"/>
            <w:tcMar>
              <w:top w:type="dxa" w:w="80"/>
              <w:left w:type="dxa" w:w="90"/>
              <w:bottom w:type="dxa" w:w="80"/>
              <w:right w:type="dxa" w:w="90"/>
            </w:tcMar>
          </w:tcPr>
          <w:p>
            <w:pPr>
              <w:spacing w:after="0"/>
            </w:pPr>
            <w:r>
              <w:rPr>
                <w:b w:val="false"/>
                <w:bCs w:val="false"/>
                <w:color w:val="000000"/>
                <w:sz w:val="16"/>
                <w:szCs w:val="16"/>
              </w:rPr>
              <w:t xml:space="preserve">Complete workflows in Chromium through the gateway; regression, exploratory, negative, security-boundary and response-time smoke checks.</w:t>
            </w:r>
          </w:p>
        </w:tc>
        <w:tc>
          <w:tcPr>
            <w:tcW w:type="dxa" w:w="2200"/>
            <w:tcMar>
              <w:top w:type="dxa" w:w="80"/>
              <w:left w:type="dxa" w:w="90"/>
              <w:bottom w:type="dxa" w:w="80"/>
              <w:right w:type="dxa" w:w="90"/>
            </w:tcMar>
          </w:tcPr>
          <w:p>
            <w:pPr>
              <w:spacing w:after="0"/>
            </w:pPr>
            <w:r>
              <w:rPr>
                <w:b w:val="false"/>
                <w:bCs w:val="false"/>
                <w:color w:val="000000"/>
                <w:sz w:val="16"/>
                <w:szCs w:val="16"/>
              </w:rPr>
              <w:t xml:space="preserve">Integration exit met; the full stack and the client build are running with seeded data.</w:t>
            </w:r>
          </w:p>
        </w:tc>
        <w:tc>
          <w:tcPr>
            <w:tcW w:type="dxa" w:w="2060"/>
            <w:tcMar>
              <w:top w:type="dxa" w:w="80"/>
              <w:left w:type="dxa" w:w="90"/>
              <w:bottom w:type="dxa" w:w="80"/>
              <w:right w:type="dxa" w:w="90"/>
            </w:tcMar>
          </w:tcPr>
          <w:p>
            <w:pPr>
              <w:spacing w:after="0"/>
            </w:pPr>
            <w:r>
              <w:rPr>
                <w:b w:val="false"/>
                <w:bCs w:val="false"/>
                <w:color w:val="000000"/>
                <w:sz w:val="16"/>
                <w:szCs w:val="16"/>
              </w:rPr>
              <w:t xml:space="preserve">All planned system cases executed; no open critical or major release blocker; the ready-and-export workflow is demonstrated end to end.</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Acceptance</w:t>
            </w:r>
          </w:p>
        </w:tc>
        <w:tc>
          <w:tcPr>
            <w:tcW w:type="dxa" w:w="3200"/>
            <w:tcMar>
              <w:top w:type="dxa" w:w="80"/>
              <w:left w:type="dxa" w:w="90"/>
              <w:bottom w:type="dxa" w:w="80"/>
              <w:right w:type="dxa" w:w="90"/>
            </w:tcMar>
          </w:tcPr>
          <w:p>
            <w:pPr>
              <w:spacing w:after="0"/>
            </w:pPr>
            <w:r>
              <w:rPr>
                <w:b w:val="false"/>
                <w:bCs w:val="false"/>
                <w:color w:val="000000"/>
                <w:sz w:val="16"/>
                <w:szCs w:val="16"/>
              </w:rPr>
              <w:t xml:space="preserve">Client-style scenarios on the cloud demo: the six classroom scripts, the audit walkthrough and the privacy scrub.</w:t>
            </w:r>
          </w:p>
        </w:tc>
        <w:tc>
          <w:tcPr>
            <w:tcW w:type="dxa" w:w="2200"/>
            <w:tcMar>
              <w:top w:type="dxa" w:w="80"/>
              <w:left w:type="dxa" w:w="90"/>
              <w:bottom w:type="dxa" w:w="80"/>
              <w:right w:type="dxa" w:w="90"/>
            </w:tcMar>
          </w:tcPr>
          <w:p>
            <w:pPr>
              <w:spacing w:after="0"/>
            </w:pPr>
            <w:r>
              <w:rPr>
                <w:b w:val="false"/>
                <w:bCs w:val="false"/>
                <w:color w:val="000000"/>
                <w:sz w:val="16"/>
                <w:szCs w:val="16"/>
              </w:rPr>
              <w:t xml:space="preserve">System exit met; the Azure demo is deployed from the pushed commit with the real AI key; the data set is approved.</w:t>
            </w:r>
          </w:p>
        </w:tc>
        <w:tc>
          <w:tcPr>
            <w:tcW w:type="dxa" w:w="2060"/>
            <w:tcMar>
              <w:top w:type="dxa" w:w="80"/>
              <w:left w:type="dxa" w:w="90"/>
              <w:bottom w:type="dxa" w:w="80"/>
              <w:right w:type="dxa" w:w="90"/>
            </w:tcMar>
          </w:tcPr>
          <w:p>
            <w:pPr>
              <w:spacing w:after="0"/>
            </w:pPr>
            <w:r>
              <w:rPr>
                <w:b w:val="false"/>
                <w:bCs w:val="false"/>
                <w:color w:val="000000"/>
                <w:sz w:val="16"/>
                <w:szCs w:val="16"/>
              </w:rPr>
              <w:t xml:space="preserve">The client or instructor signs off or records explicit deferrals; the summary states release readiness and residual risk.</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Deployment and release</w:t>
            </w:r>
          </w:p>
        </w:tc>
        <w:tc>
          <w:tcPr>
            <w:tcW w:type="dxa" w:w="3200"/>
            <w:tcMar>
              <w:top w:type="dxa" w:w="80"/>
              <w:left w:type="dxa" w:w="90"/>
              <w:bottom w:type="dxa" w:w="80"/>
              <w:right w:type="dxa" w:w="90"/>
            </w:tcMar>
          </w:tcPr>
          <w:p>
            <w:pPr>
              <w:spacing w:after="0"/>
            </w:pPr>
            <w:r>
              <w:rPr>
                <w:b w:val="false"/>
                <w:bCs w:val="false"/>
                <w:color w:val="000000"/>
                <w:sz w:val="16"/>
                <w:szCs w:val="16"/>
              </w:rPr>
              <w:t xml:space="preserve">Build, configuration, schema, seed, cloud deployment, health, observability and rollback drills.</w:t>
            </w:r>
          </w:p>
        </w:tc>
        <w:tc>
          <w:tcPr>
            <w:tcW w:type="dxa" w:w="2200"/>
            <w:tcMar>
              <w:top w:type="dxa" w:w="80"/>
              <w:left w:type="dxa" w:w="90"/>
              <w:bottom w:type="dxa" w:w="80"/>
              <w:right w:type="dxa" w:w="90"/>
            </w:tcMar>
          </w:tcPr>
          <w:p>
            <w:pPr>
              <w:spacing w:after="0"/>
            </w:pPr>
            <w:r>
              <w:rPr>
                <w:b w:val="false"/>
                <w:bCs w:val="false"/>
                <w:color w:val="000000"/>
                <w:sz w:val="16"/>
                <w:szCs w:val="16"/>
              </w:rPr>
              <w:t xml:space="preserve">No open release blocker; the build identifier is recorded.</w:t>
            </w:r>
          </w:p>
        </w:tc>
        <w:tc>
          <w:tcPr>
            <w:tcW w:type="dxa" w:w="2060"/>
            <w:tcMar>
              <w:top w:type="dxa" w:w="80"/>
              <w:left w:type="dxa" w:w="90"/>
              <w:bottom w:type="dxa" w:w="80"/>
              <w:right w:type="dxa" w:w="90"/>
            </w:tcMar>
          </w:tcPr>
          <w:p>
            <w:pPr>
              <w:spacing w:after="0"/>
            </w:pPr>
            <w:r>
              <w:rPr>
                <w:b w:val="false"/>
                <w:bCs w:val="false"/>
                <w:color w:val="000000"/>
                <w:sz w:val="16"/>
                <w:szCs w:val="16"/>
              </w:rPr>
              <w:t xml:space="preserve">A clean checkout builds and starts; Terraform recreates the stack; health and release endpoints answer; the rollback drill restores the previous rows.</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Regression</w:t>
            </w:r>
          </w:p>
        </w:tc>
        <w:tc>
          <w:tcPr>
            <w:tcW w:type="dxa" w:w="3200"/>
            <w:tcMar>
              <w:top w:type="dxa" w:w="80"/>
              <w:left w:type="dxa" w:w="90"/>
              <w:bottom w:type="dxa" w:w="80"/>
              <w:right w:type="dxa" w:w="90"/>
            </w:tcMar>
          </w:tcPr>
          <w:p>
            <w:pPr>
              <w:spacing w:after="0"/>
            </w:pPr>
            <w:r>
              <w:rPr>
                <w:b w:val="false"/>
                <w:bCs w:val="false"/>
                <w:color w:val="000000"/>
                <w:sz w:val="16"/>
                <w:szCs w:val="16"/>
              </w:rPr>
              <w:t xml:space="preserve">Re-execution of the linked case and the High-priority bundle after every fix or new build; confirmation testing.</w:t>
            </w:r>
          </w:p>
        </w:tc>
        <w:tc>
          <w:tcPr>
            <w:tcW w:type="dxa" w:w="2200"/>
            <w:tcMar>
              <w:top w:type="dxa" w:w="80"/>
              <w:left w:type="dxa" w:w="90"/>
              <w:bottom w:type="dxa" w:w="80"/>
              <w:right w:type="dxa" w:w="90"/>
            </w:tcMar>
          </w:tcPr>
          <w:p>
            <w:pPr>
              <w:spacing w:after="0"/>
            </w:pPr>
            <w:r>
              <w:rPr>
                <w:b w:val="false"/>
                <w:bCs w:val="false"/>
                <w:color w:val="000000"/>
                <w:sz w:val="16"/>
                <w:szCs w:val="16"/>
              </w:rPr>
              <w:t xml:space="preserve">A fix build with a recorded identifier and the linked case id is available.</w:t>
            </w:r>
          </w:p>
        </w:tc>
        <w:tc>
          <w:tcPr>
            <w:tcW w:type="dxa" w:w="2060"/>
            <w:tcMar>
              <w:top w:type="dxa" w:w="80"/>
              <w:left w:type="dxa" w:w="90"/>
              <w:bottom w:type="dxa" w:w="80"/>
              <w:right w:type="dxa" w:w="90"/>
            </w:tcMar>
          </w:tcPr>
          <w:p>
            <w:pPr>
              <w:spacing w:after="0"/>
            </w:pPr>
            <w:r>
              <w:rPr>
                <w:b w:val="false"/>
                <w:bCs w:val="false"/>
                <w:color w:val="000000"/>
                <w:sz w:val="16"/>
                <w:szCs w:val="16"/>
              </w:rPr>
              <w:t xml:space="preserve">The linked cases pass, the bundle has no open critical or major defect, and the final summary is approved.</w:t>
            </w:r>
          </w:p>
        </w:tc>
      </w:tr>
    </w:tbl>
    <w:p>
      <w:pPr>
        <w:spacing w:after="100" w:line="276"/>
      </w:pPr>
      <w:r>
        <w:rPr>
          <w:sz w:val="20"/>
          <w:szCs w:val="20"/>
        </w:rPr>
        <w:t xml:space="preserve">Coverage targets: 100% of High-priority cases executed in every full pass, at least 95% of all 70 cases executed before the final summary, 100% of the requirement rows in §3 covered by at least one case, and recorded evidence for every executed case. A case is not passed because the screen looks right: the expected status code, response body, stored value, boundary and error code are observed wherever the case names them.</w:t>
      </w:r>
    </w:p>
    <w:p>
      <w:pPr>
        <w:pStyle w:val="Heading1"/>
        <w:spacing w:after="100" w:before="220"/>
      </w:pPr>
      <w:r>
        <w:rPr>
          <w:b/>
          <w:bCs/>
          <w:color w:val="1F4E78"/>
          <w:sz w:val="26"/>
          <w:szCs w:val="26"/>
        </w:rPr>
        <w:t xml:space="preserve">6A. Testing details for each development phase</w:t>
      </w:r>
    </w:p>
    <w:p>
      <w:pPr>
        <w:spacing w:after="100" w:line="276"/>
      </w:pPr>
      <w:r>
        <w:rPr>
          <w:sz w:val="21"/>
          <w:szCs w:val="21"/>
        </w:rPr>
        <w:t xml:space="preserve">This section expands §6 into an execution playbook. Each phase states its purpose, activities, techniques, tools, entry and exit criteria, deliverables, owner and the case identifiers in the companion workbook, so another tester can pick up the phase and run it without asking the author.</w:t>
      </w:r>
    </w:p>
    <w:p>
      <w:pPr>
        <w:pStyle w:val="Heading2"/>
        <w:spacing w:after="100" w:before="220"/>
      </w:pPr>
      <w:r>
        <w:rPr>
          <w:b/>
          <w:bCs/>
          <w:color w:val="1F4E78"/>
          <w:sz w:val="23"/>
          <w:szCs w:val="23"/>
        </w:rPr>
        <w:t xml:space="preserve">6A.1 Requirements and design review phase</w:t>
      </w:r>
    </w:p>
    <w:p>
      <w:pPr>
        <w:spacing w:after="100" w:line="276"/>
      </w:pPr>
      <w:r>
        <w:rPr>
          <w:sz w:val="20"/>
          <w:szCs w:val="20"/>
        </w:rPr>
        <w:t xml:space="preserve">Purpose: agree what will be tested, and prove each requirement is testable, before any case or code is written. Defects found here cost a conversation instead of a release.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Walk through the requirement families and the design documents; map every requirement id to a test item in §3; brainstorm abuse cases (spoofed dealerId, forged internal header, stale check, over-paid ledger); rank risk as High, Medium or Low; confirm ambiguous business rules with the client or instructor; approve the traceability table.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Static review and inspection, traceability analysis, boundary-value analysis on the written requirement, abuse-case review, risk-based prioritisation.</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 and artefacts</w:t>
            </w:r>
          </w:p>
        </w:tc>
        <w:tc>
          <w:tcPr>
            <w:tcW w:type="dxa" w:w="7660"/>
            <w:tcMar>
              <w:top w:type="dxa" w:w="80"/>
              <w:left w:type="dxa" w:w="90"/>
              <w:bottom w:type="dxa" w:w="80"/>
              <w:right w:type="dxa" w:w="90"/>
            </w:tcMar>
          </w:tcPr>
          <w:p>
            <w:pPr>
              <w:spacing w:after="0"/>
            </w:pPr>
            <w:r>
              <w:rPr>
                <w:b w:val="false"/>
                <w:bCs w:val="false"/>
                <w:color w:val="000000"/>
                <w:sz w:val="16"/>
                <w:szCs w:val="16"/>
              </w:rPr>
              <w:t xml:space="preserve">requirements/DealerOps-Requirements.md, the design/ documents, dealer-platform/openapi.yaml, the working tree, this plan and the case workbook, the project issue tracker for ambiguities.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Baseline requirements, acceptance design and architecture documents are current for the commit under test.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Every Must requirement has at least one case and one owner; every ambiguity is resolved or recorded as a stated assumption on the affected case.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Approved §3 traceability table, the risk ranking, the list of stated assumptions, and planning defects for uncovered requirements.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Yuandong Yang (QA lead), with both members reviewing their own areas.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RV-01 to RV-06 (6 cases).</w:t>
            </w:r>
          </w:p>
        </w:tc>
      </w:tr>
    </w:tbl>
    <w:p>
      <w:pPr>
        <w:pStyle w:val="Heading2"/>
        <w:spacing w:after="100" w:before="220"/>
      </w:pPr>
      <w:r>
        <w:rPr>
          <w:b/>
          <w:bCs/>
          <w:color w:val="1F4E78"/>
          <w:sz w:val="23"/>
          <w:szCs w:val="23"/>
        </w:rPr>
        <w:t xml:space="preserve">6A.2 Unit testing phase</w:t>
      </w:r>
    </w:p>
    <w:p>
      <w:pPr>
        <w:spacing w:after="100" w:line="276"/>
      </w:pPr>
      <w:r>
        <w:rPr>
          <w:sz w:val="20"/>
          <w:szCs w:val="20"/>
        </w:rPr>
        <w:t xml:space="preserve">Purpose: verify single classes in isolation, where a failure points straight at one method. This is where the rule engine, the state mapper and every validator are pinned down.</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Execute unit cases for VIN normalisation, money and date validation, the sell pair, the OMVIC rule engine for CASH, FINANCE and LEASE, the check-state mapper, AI failure mapping, prompt redaction, audit value capture, ledger arithmetic and slug derivation. Review what the Playwright suite already covers at a higher level so unit cases stay focused on logic, not wiring.</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White-box statement and branch coverage of the class under test, boundary-value analysis, equivalence partitioning, state-transition testing, error-guessing on provider failures.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.NET 10 SDK, xUnit with dotnet test, in-memory substitutes for the AI provider and the clock. No database, no network, no gateway.</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affected project compiles; fixtures are deterministic; the advertisement fixtures from the ad-check fixture document are available.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All planned unit cases pass; no critical or major defect remains in the changed unit; the run summary is attached to the build record.</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dotnet test output, the unit rows of the workbook with their actual results, and a defect entry for every failure.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Daniel Watson (validation, inventory, ledger) and Xiaomei He (rule engine, AI mapping, prompt and audit redaction).</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UT-01 to UT-12 (12 cases).</w:t>
            </w:r>
          </w:p>
        </w:tc>
      </w:tr>
    </w:tbl>
    <w:p>
      <w:pPr>
        <w:pStyle w:val="Heading2"/>
        <w:spacing w:after="100" w:before="220"/>
      </w:pPr>
      <w:r>
        <w:rPr>
          <w:b/>
          <w:bCs/>
          <w:color w:val="1F4E78"/>
          <w:sz w:val="23"/>
          <w:szCs w:val="23"/>
        </w:rPr>
        <w:t xml:space="preserve">6A.3 Integration and API testing phase</w:t>
      </w:r>
    </w:p>
    <w:p>
      <w:pPr>
        <w:spacing w:after="100" w:line="276"/>
      </w:pPr>
      <w:r>
        <w:rPr>
          <w:sz w:val="20"/>
          <w:szCs w:val="20"/>
        </w:rPr>
        <w:t xml:space="preserve">Purpose: verify that the parts work together — client to gateway, gateway to core and the AI service, core to MySQL — and that the contract in the OpenAPI document is what the running system actually answers.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Drive every business route through the gateway with real tokens for the administrator, a manager and two dealerships’ staff; run the dealership A to B matrix on every resource; inject AI timeouts, outages and a missing key; attempt direct access to core and the AI service and a forged internal header; verify stored values in MySQL after each refusal; exercise the public buyer-site routes anonymously and against the rate limit.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Black-box API testing, equivalence partitioning and boundary values on request fields, negative and abuse testing, state transition on the five check states, controlled failure injection, database verification after each write or refusal.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private end-to-end stack from playwright/scripts/e2e-stack.sh (gateway 18080, core 18081, database dealer_core_e2e) with the shared AI service on 8082; the Playwright API specifications under playwright/tests/api; httpie or curl for ad-hoc probes; the MySQL client for verification; service logs under log-sum/ and .stack/logs/.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Unit exit met; the private stack starts and refuses to use the shared ports or database; the schema is created and the seed is loaded; tokens for all four actor types are obtained.</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All High-priority API cases pass; isolation, authorisation, persistence, compliance-state and audit evidence is captured; no open critical defect in sign-in, isolation, the gateway boundary or the compliance gate.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Request and response evidence per case, database verification notes, the Playwright HTML and JSON reports, integration rows of the workbook, and the defect log.</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Daniel Watson (authentication, isolation, DMS, CRM, payments) with Xiaomei He (advertising, AI, assistant, audit).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IT-01 to IT-26 (26 cases).</w:t>
            </w:r>
          </w:p>
        </w:tc>
      </w:tr>
    </w:tbl>
    <w:p>
      <w:pPr>
        <w:pStyle w:val="Heading2"/>
        <w:spacing w:after="100" w:before="220"/>
      </w:pPr>
      <w:r>
        <w:rPr>
          <w:b/>
          <w:bCs/>
          <w:color w:val="1F4E78"/>
          <w:sz w:val="23"/>
          <w:szCs w:val="23"/>
        </w:rPr>
        <w:t xml:space="preserve">6A.4 System testing phase</w:t>
      </w:r>
    </w:p>
    <w:p>
      <w:pPr>
        <w:spacing w:after="100" w:line="276"/>
      </w:pPr>
      <w:r>
        <w:rPr>
          <w:sz w:val="20"/>
          <w:szCs w:val="20"/>
        </w:rPr>
        <w:t xml:space="preserve">Purpose: verify complete workflows the way a dealership experiences them, in a real browser through the real stack, including what the user is told when something fails.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Walk the role guards; record a vehicle, a customer and a link and prove the other dealership sees none of it; page, search and filter the inventory; run blocked, passed, unavailable and stale advertisement flows with the network panel open; sell a vehicle, record payments and print the bill of sale; compare the dashboard with the report endpoints; browse the public buyer site and send an inquiry; compare the manager and staff surfaces; force loading, empty, error and forbidden states; expire a session; repeat the walk at phone width; record response times on the gateway path.</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Black-box end-to-end workflows, regression of previously passing workflows, exploratory testing, negative testing, security-boundary checks from the browser, usability review of the English copy, response-time smoke measurement.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Chromium at desktop and phone width with developer tools (network, console, storage); the Playwright UI specifications under playwright/tests/ui and the roles walk; screenshots, traces and videos retained on failure; the service logs.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Integration exit met; the full stack and the client build are running with seeded data; the AI key is configured for the cases that need it.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All planned system cases executed; no open critical or major release blocker; the complete record-to-export workflow is demonstrated; no failure is shown to the user as an empty table.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Screenshots and traces per case, network and console evidence for the AI and boundary cases, timing notes, system rows of the workbook, and the defect log.</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Daniel Watson, with Xiaomei He for the advertisement and assistant flows.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SYS-01 to SYS-12 (12 cases).</w:t>
            </w:r>
          </w:p>
        </w:tc>
      </w:tr>
    </w:tbl>
    <w:p>
      <w:pPr>
        <w:pStyle w:val="Heading2"/>
        <w:spacing w:after="100" w:before="220"/>
      </w:pPr>
      <w:r>
        <w:rPr>
          <w:b/>
          <w:bCs/>
          <w:color w:val="1F4E78"/>
          <w:sz w:val="23"/>
          <w:szCs w:val="23"/>
        </w:rPr>
        <w:t xml:space="preserve">6A.5 Acceptance testing phase</w:t>
      </w:r>
    </w:p>
    <w:p>
      <w:pPr>
        <w:spacing w:after="100" w:line="276"/>
      </w:pPr>
      <w:r>
        <w:rPr>
          <w:sz w:val="20"/>
          <w:szCs w:val="20"/>
        </w:rPr>
        <w:t xml:space="preserve">Purpose: confirm with the client and the instructor that the product meets the agreed needs, on the cloud demo rather than a developer machine, because the sprint reviews are accepted only in the cloud.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Run the six classroom scripts on the Azure demo: the administrator opens two dealerships and binds staff; isolation in the browser and the administrator refused at the API; a blocked advertisement that never calls AI; a real model review that passes within the timeout; a price change that makes the pass stale and stops the export. Then the audit walkthrough for the manager and the administrator, the client walkthrough of the whole demo set, and the privacy and secret scrub of the evidence.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Scenario-based acceptance testing, confirmation testing of earlier defects, usability review with a non-developer present, and a pre-submission data and secret scrub.</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deployed Azure demo over HTTPS with the real provider key from Key Vault; a browser with the network panel; a terminal for the administrator API check; the evidence checklist; the signed walkthrough record.</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System exit met; the cloud demo is deployed from the pushed commit; the acceptance data set is loaded; residual defects are dispositioned and known to the client.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client or instructor signs off or records explicit deferrals; every classroom script has evidence; no real customer data and no secret remains in the evidence set.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Signed walkthrough record, per-script evidence, acceptance rows of the workbook, and the final test summary.</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Yuandong Yang (QA lead) with the client representative or instructor; each member presents their own area.</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AT-01 to AT-08 (8 cases).</w:t>
            </w:r>
          </w:p>
        </w:tc>
      </w:tr>
    </w:tbl>
    <w:p>
      <w:pPr>
        <w:pStyle w:val="Heading2"/>
        <w:spacing w:after="100" w:before="220"/>
      </w:pPr>
      <w:r>
        <w:rPr>
          <w:b/>
          <w:bCs/>
          <w:color w:val="1F4E78"/>
          <w:sz w:val="23"/>
          <w:szCs w:val="23"/>
        </w:rPr>
        <w:t xml:space="preserve">6A.6 Deployment and release phase</w:t>
      </w:r>
    </w:p>
    <w:p>
      <w:pPr>
        <w:spacing w:after="100" w:line="276"/>
      </w:pPr>
      <w:r>
        <w:rPr>
          <w:sz w:val="20"/>
          <w:szCs w:val="20"/>
        </w:rPr>
        <w:t xml:space="preserve">Purpose: verify that the build is deployable, configurable, observable and reversible. This is the "and deployment" half of the course, and it is the phase that decides whether a review demo can happen at all.</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Build all four .NET projects and the React client from a clean checkout; start the stack with ./start-local.sh and poll the health endpoints in dependency order; create the schema on an empty database and prove the start-up column patches are idempotent; load and reset the committed demo seed; run terraform apply and inventory the created Azure resources; run ./deploy/deploy.sh --apply --seed and confirm it refuses an unclean or unpushed tree; verify the release endpoint, Application Insights and the log files; import an Azure backup to prove the data rollback; destroy and recreate the stack.</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Configuration testing, schema and migration testing, smoke testing, log and telemetry inspection, negative testing of the release guard, and a rollback drill.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.NET 10 SDK, Node 20+, MySQL 8.4, Azure CLI, Terraform, deploy/deploy.sh and the seed scripts under deploy/seed and dealer-platform/seed, the health and release endpoints, log-sum/ and Application Insights.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No open release blocker from the earlier phases; the intended commit is pushed; the Azure subscription and credentials are available.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A clean checkout builds and starts; all four applications report healthy on their configured ports; secrets exist only in Key Vault and the environment; the release endpoint reports the pushed commit; the rollback restores the previous rows; destroy and apply can be repeated without a portal step.</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Deployment checklist, resource inventory, health and release output, seed and rollback evidence, deployment rows of the workbook, and the release recommendation.</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Yuandong Yang (release) with Daniel Watson for the schema and seed steps.</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DEP-01 to DEP-06 (6 cases), plus the smoke bundle IT-18, SYS-05 and AT-04 run against the deployed build.</w:t>
            </w:r>
          </w:p>
        </w:tc>
      </w:tr>
    </w:tbl>
    <w:p>
      <w:pPr>
        <w:pStyle w:val="Heading2"/>
        <w:spacing w:after="100" w:before="220"/>
      </w:pPr>
      <w:r>
        <w:rPr>
          <w:b/>
          <w:bCs/>
          <w:color w:val="1F4E78"/>
          <w:sz w:val="23"/>
          <w:szCs w:val="23"/>
        </w:rPr>
        <w:t xml:space="preserve">6A.7 Regression and release-readiness phase</w:t>
      </w:r>
    </w:p>
    <w:p>
      <w:pPr>
        <w:spacing w:after="100" w:line="276"/>
      </w:pPr>
      <w:r>
        <w:rPr>
          <w:sz w:val="20"/>
          <w:szCs w:val="20"/>
        </w:rPr>
        <w:t xml:space="preserve">Purpose: make sure a fix fixes only what it should. Every closed defect and every new build re-opens the cases around it before the release is recommended.</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700"/>
            <w:shd w:fill="1F4E78" w:val="clear"/>
            <w:tcMar>
              <w:top w:type="dxa" w:w="80"/>
              <w:left w:type="dxa" w:w="90"/>
              <w:bottom w:type="dxa" w:w="80"/>
              <w:right w:type="dxa" w:w="90"/>
            </w:tcMar>
          </w:tcPr>
          <w:p>
            <w:pPr>
              <w:spacing w:after="0"/>
            </w:pPr>
            <w:r>
              <w:rPr>
                <w:b/>
                <w:bCs/>
                <w:color w:val="FFFFFF"/>
                <w:sz w:val="17"/>
                <w:szCs w:val="17"/>
              </w:rPr>
              <w:t xml:space="preserve">Attribute</w:t>
            </w:r>
          </w:p>
        </w:tc>
        <w:tc>
          <w:tcPr>
            <w:tcW w:type="dxa" w:w="7660"/>
            <w:shd w:fill="1F4E78" w:val="clear"/>
            <w:tcMar>
              <w:top w:type="dxa" w:w="80"/>
              <w:left w:type="dxa" w:w="90"/>
              <w:bottom w:type="dxa" w:w="80"/>
              <w:right w:type="dxa" w:w="90"/>
            </w:tcMar>
          </w:tcPr>
          <w:p>
            <w:pPr>
              <w:spacing w:after="0"/>
            </w:pPr>
            <w:r>
              <w:rPr>
                <w:b/>
                <w:bCs/>
                <w:color w:val="FFFFFF"/>
                <w:sz w:val="17"/>
                <w:szCs w:val="17"/>
              </w:rPr>
              <w:t xml:space="preserve">Detail</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Activities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For each closed defect, re-execute the linked case and the cases that share its data or workflow; then execute the regression bundle of all High-priority cases; run a short smoke pass against the final build; reconcile the defect log with the case list before the final summary.</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Techniques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Confirmation testing, regression testing, risk-based selection of the re-run set, smoke testing.</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Tools</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same tooling as the integration, system and deployment phases; the Playwright suite as the repeatable part of the bundle; the defect log.</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Entry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A fix build with a recorded identifier; the defect reproduction steps and the linked case id are attached to the defect.</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Exit criteria</w:t>
            </w:r>
          </w:p>
        </w:tc>
        <w:tc>
          <w:tcPr>
            <w:tcW w:type="dxa" w:w="7660"/>
            <w:tcMar>
              <w:top w:type="dxa" w:w="80"/>
              <w:left w:type="dxa" w:w="90"/>
              <w:bottom w:type="dxa" w:w="80"/>
              <w:right w:type="dxa" w:w="90"/>
            </w:tcMar>
          </w:tcPr>
          <w:p>
            <w:pPr>
              <w:spacing w:after="0"/>
            </w:pPr>
            <w:r>
              <w:rPr>
                <w:b w:val="false"/>
                <w:bCs w:val="false"/>
                <w:color w:val="000000"/>
                <w:sz w:val="16"/>
                <w:szCs w:val="16"/>
              </w:rPr>
              <w:t xml:space="preserve">Every linked case passes; the regression bundle has no open critical or major defect; the final summary and the release recommendation are approved by the group.</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Deliverables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Regression evidence, the updated defect log with retest results, the final test summary and the release recommendation.</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Owner</w:t>
            </w:r>
          </w:p>
        </w:tc>
        <w:tc>
          <w:tcPr>
            <w:tcW w:type="dxa" w:w="7660"/>
            <w:tcMar>
              <w:top w:type="dxa" w:w="80"/>
              <w:left w:type="dxa" w:w="90"/>
              <w:bottom w:type="dxa" w:w="80"/>
              <w:right w:type="dxa" w:w="90"/>
            </w:tcMar>
          </w:tcPr>
          <w:p>
            <w:pPr>
              <w:spacing w:after="0"/>
            </w:pPr>
            <w:r>
              <w:rPr>
                <w:b w:val="false"/>
                <w:bCs w:val="false"/>
                <w:color w:val="000000"/>
                <w:sz w:val="16"/>
                <w:szCs w:val="16"/>
              </w:rPr>
              <w:t xml:space="preserve">Yuandong Yang (QA lead), with the owner of each affected service.</w:t>
            </w:r>
          </w:p>
        </w:tc>
      </w:tr>
      <w:tr>
        <w:trPr>
          <w:cantSplit/>
        </w:trPr>
        <w:tc>
          <w:tcPr>
            <w:tcW w:type="dxa" w:w="1700"/>
            <w:tcMar>
              <w:top w:type="dxa" w:w="80"/>
              <w:left w:type="dxa" w:w="90"/>
              <w:bottom w:type="dxa" w:w="80"/>
              <w:right w:type="dxa" w:w="90"/>
            </w:tcMar>
          </w:tcPr>
          <w:p>
            <w:pPr>
              <w:spacing w:after="0"/>
            </w:pPr>
            <w:r>
              <w:rPr>
                <w:b w:val="false"/>
                <w:bCs w:val="false"/>
                <w:color w:val="000000"/>
                <w:sz w:val="16"/>
                <w:szCs w:val="16"/>
              </w:rPr>
              <w:t xml:space="preserve">Cases</w:t>
            </w:r>
          </w:p>
        </w:tc>
        <w:tc>
          <w:tcPr>
            <w:tcW w:type="dxa" w:w="7660"/>
            <w:tcMar>
              <w:top w:type="dxa" w:w="80"/>
              <w:left w:type="dxa" w:w="90"/>
              <w:bottom w:type="dxa" w:w="80"/>
              <w:right w:type="dxa" w:w="90"/>
            </w:tcMar>
          </w:tcPr>
          <w:p>
            <w:pPr>
              <w:spacing w:after="0"/>
            </w:pPr>
            <w:r>
              <w:rPr>
                <w:b w:val="false"/>
                <w:bCs w:val="false"/>
                <w:color w:val="000000"/>
                <w:sz w:val="16"/>
                <w:szCs w:val="16"/>
              </w:rPr>
              <w:t xml:space="preserve">The regression bundle is every High-priority case across RV, UT, IT, SYS, AT and DEP.</w:t>
            </w:r>
          </w:p>
        </w:tc>
      </w:tr>
    </w:tbl>
    <w:p>
      <w:pPr>
        <w:pStyle w:val="Heading1"/>
        <w:spacing w:after="100" w:before="220"/>
      </w:pPr>
      <w:r>
        <w:rPr>
          <w:b/>
          <w:bCs/>
          <w:color w:val="1F4E78"/>
          <w:sz w:val="26"/>
          <w:szCs w:val="26"/>
        </w:rPr>
        <w:t xml:space="preserve">7. Item Pass/Fail Criteria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tblGrid>
      <w:tr>
        <w:tc>
          <w:tcPr>
            <w:tcW w:type="dxa" w:w="1500"/>
            <w:shd w:fill="1F4E78" w:val="clear"/>
            <w:tcMar>
              <w:top w:type="dxa" w:w="80"/>
              <w:left w:type="dxa" w:w="90"/>
              <w:bottom w:type="dxa" w:w="80"/>
              <w:right w:type="dxa" w:w="90"/>
            </w:tcMar>
          </w:tcPr>
          <w:p>
            <w:pPr>
              <w:spacing w:after="0"/>
            </w:pPr>
            <w:r>
              <w:rPr>
                <w:b/>
                <w:bCs/>
                <w:color w:val="FFFFFF"/>
                <w:sz w:val="17"/>
                <w:szCs w:val="17"/>
              </w:rPr>
              <w:t xml:space="preserve">Decision</w:t>
            </w:r>
          </w:p>
        </w:tc>
        <w:tc>
          <w:tcPr>
            <w:tcW w:type="dxa" w:w="7860"/>
            <w:shd w:fill="1F4E78" w:val="clear"/>
            <w:tcMar>
              <w:top w:type="dxa" w:w="80"/>
              <w:left w:type="dxa" w:w="90"/>
              <w:bottom w:type="dxa" w:w="80"/>
              <w:right w:type="dxa" w:w="90"/>
            </w:tcMar>
          </w:tcPr>
          <w:p>
            <w:pPr>
              <w:spacing w:after="0"/>
            </w:pPr>
            <w:r>
              <w:rPr>
                <w:b/>
                <w:bCs/>
                <w:color w:val="FFFFFF"/>
                <w:sz w:val="17"/>
                <w:szCs w:val="17"/>
              </w:rPr>
              <w:t xml:space="preserve">Objective rule</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Pass</w:t>
            </w:r>
          </w:p>
        </w:tc>
        <w:tc>
          <w:tcPr>
            <w:tcW w:type="dxa" w:w="7860"/>
            <w:tcMar>
              <w:top w:type="dxa" w:w="80"/>
              <w:left w:type="dxa" w:w="90"/>
              <w:bottom w:type="dxa" w:w="80"/>
              <w:right w:type="dxa" w:w="90"/>
            </w:tcMar>
          </w:tcPr>
          <w:p>
            <w:pPr>
              <w:spacing w:after="0"/>
            </w:pPr>
            <w:r>
              <w:rPr>
                <w:b w:val="false"/>
                <w:bCs w:val="false"/>
                <w:color w:val="000000"/>
                <w:sz w:val="16"/>
                <w:szCs w:val="16"/>
              </w:rPr>
              <w:t xml:space="preserve">The observed result matches the expected result named in the case: the HTTP status and error code, the response body, the stored value in MySQL, the user-visible copy and the audit row all agree. No unhandled error, no leaked secret or contact value, and the response-time thresholds hold (a normal gateway request under 3 seconds; an AI review answered or recorded as unavailable within 15 seconds).</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Fail</w:t>
            </w:r>
          </w:p>
        </w:tc>
        <w:tc>
          <w:tcPr>
            <w:tcW w:type="dxa" w:w="7860"/>
            <w:tcMar>
              <w:top w:type="dxa" w:w="80"/>
              <w:left w:type="dxa" w:w="90"/>
              <w:bottom w:type="dxa" w:w="80"/>
              <w:right w:type="dxa" w:w="90"/>
            </w:tcMar>
          </w:tcPr>
          <w:p>
            <w:pPr>
              <w:spacing w:after="0"/>
            </w:pPr>
            <w:r>
              <w:rPr>
                <w:b w:val="false"/>
                <w:bCs w:val="false"/>
                <w:color w:val="000000"/>
                <w:sz w:val="16"/>
                <w:szCs w:val="16"/>
              </w:rPr>
              <w:t xml:space="preserve">Any expected status, code, body, stored value or copy differs; an unauthorised call succeeds; another dealership’s data is returned or changed; a blocked or stale advertisement becomes ready, exported or publicly listed; a sold record is mutated or re-sold; the ledger exceeds the sold price; a contact value appears in a prompt, log or assistant answer; or a service crashes or returns a stack trace.</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Blocked</w:t>
            </w:r>
          </w:p>
        </w:tc>
        <w:tc>
          <w:tcPr>
            <w:tcW w:type="dxa" w:w="7860"/>
            <w:tcMar>
              <w:top w:type="dxa" w:w="80"/>
              <w:left w:type="dxa" w:w="90"/>
              <w:bottom w:type="dxa" w:w="80"/>
              <w:right w:type="dxa" w:w="90"/>
            </w:tcMar>
          </w:tcPr>
          <w:p>
            <w:pPr>
              <w:spacing w:after="0"/>
            </w:pPr>
            <w:r>
              <w:rPr>
                <w:b w:val="false"/>
                <w:bCs w:val="false"/>
                <w:color w:val="000000"/>
                <w:sz w:val="16"/>
                <w:szCs w:val="16"/>
              </w:rPr>
              <w:t xml:space="preserve">The case cannot run because the environment, a dependency or the data is unavailable. A blocked case is reported as blocked with its reason and is never counted as a pass.</w:t>
            </w:r>
          </w:p>
        </w:tc>
      </w:tr>
      <w:tr>
        <w:trPr>
          <w:cantSplit/>
        </w:trPr>
        <w:tc>
          <w:tcPr>
            <w:tcW w:type="dxa" w:w="1500"/>
            <w:tcMar>
              <w:top w:type="dxa" w:w="80"/>
              <w:left w:type="dxa" w:w="90"/>
              <w:bottom w:type="dxa" w:w="80"/>
              <w:right w:type="dxa" w:w="90"/>
            </w:tcMar>
          </w:tcPr>
          <w:p>
            <w:pPr>
              <w:spacing w:after="0"/>
            </w:pPr>
            <w:r>
              <w:rPr>
                <w:b w:val="false"/>
                <w:bCs w:val="false"/>
                <w:color w:val="000000"/>
                <w:sz w:val="16"/>
                <w:szCs w:val="16"/>
              </w:rPr>
              <w:t xml:space="preserve">Severity</w:t>
            </w:r>
          </w:p>
        </w:tc>
        <w:tc>
          <w:tcPr>
            <w:tcW w:type="dxa" w:w="7860"/>
            <w:tcMar>
              <w:top w:type="dxa" w:w="80"/>
              <w:left w:type="dxa" w:w="90"/>
              <w:bottom w:type="dxa" w:w="80"/>
              <w:right w:type="dxa" w:w="90"/>
            </w:tcMar>
          </w:tcPr>
          <w:p>
            <w:pPr>
              <w:spacing w:after="0"/>
            </w:pPr>
            <w:r>
              <w:rPr>
                <w:b w:val="false"/>
                <w:bCs w:val="false"/>
                <w:color w:val="000000"/>
                <w:sz w:val="16"/>
                <w:szCs w:val="16"/>
              </w:rPr>
              <w:t xml:space="preserve">Critical: data exposure or loss, authorisation bypass, a false pass on the compliance gate, or a release-blocking outage. Major: a high-impact feature failure with a workaround. Minor: validation wording, cosmetic or low-impact issues. Critical and major defects must be fixed or formally waived by the client before the release is recommended.</w:t>
            </w:r>
          </w:p>
        </w:tc>
      </w:tr>
    </w:tbl>
    <w:p>
      <w:pPr>
        <w:pStyle w:val="Heading1"/>
        <w:spacing w:after="100" w:before="220"/>
      </w:pPr>
      <w:r>
        <w:rPr>
          <w:b/>
          <w:bCs/>
          <w:color w:val="1F4E78"/>
          <w:sz w:val="26"/>
          <w:szCs w:val="26"/>
        </w:rPr>
        <w:t xml:space="preserve">8. Suspension and Resumption Criteria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3000"/>
            <w:shd w:fill="1F4E78" w:val="clear"/>
            <w:tcMar>
              <w:top w:type="dxa" w:w="80"/>
              <w:left w:type="dxa" w:w="90"/>
              <w:bottom w:type="dxa" w:w="80"/>
              <w:right w:type="dxa" w:w="90"/>
            </w:tcMar>
          </w:tcPr>
          <w:p>
            <w:pPr>
              <w:spacing w:after="0"/>
            </w:pPr>
            <w:r>
              <w:rPr>
                <w:b/>
                <w:bCs/>
                <w:color w:val="FFFFFF"/>
                <w:sz w:val="17"/>
                <w:szCs w:val="17"/>
              </w:rPr>
              <w:t xml:space="preserve">Condition</w:t>
            </w:r>
          </w:p>
        </w:tc>
        <w:tc>
          <w:tcPr>
            <w:tcW w:type="dxa" w:w="3200"/>
            <w:shd w:fill="1F4E78" w:val="clear"/>
            <w:tcMar>
              <w:top w:type="dxa" w:w="80"/>
              <w:left w:type="dxa" w:w="90"/>
              <w:bottom w:type="dxa" w:w="80"/>
              <w:right w:type="dxa" w:w="90"/>
            </w:tcMar>
          </w:tcPr>
          <w:p>
            <w:pPr>
              <w:spacing w:after="0"/>
            </w:pPr>
            <w:r>
              <w:rPr>
                <w:b/>
                <w:bCs/>
                <w:color w:val="FFFFFF"/>
                <w:sz w:val="17"/>
                <w:szCs w:val="17"/>
              </w:rPr>
              <w:t xml:space="preserve">Suspension action</w:t>
            </w:r>
          </w:p>
        </w:tc>
        <w:tc>
          <w:tcPr>
            <w:tcW w:type="dxa" w:w="3160"/>
            <w:shd w:fill="1F4E78" w:val="clear"/>
            <w:tcMar>
              <w:top w:type="dxa" w:w="80"/>
              <w:left w:type="dxa" w:w="90"/>
              <w:bottom w:type="dxa" w:w="80"/>
              <w:right w:type="dxa" w:w="90"/>
            </w:tcMar>
          </w:tcPr>
          <w:p>
            <w:pPr>
              <w:spacing w:after="0"/>
            </w:pPr>
            <w:r>
              <w:rPr>
                <w:b/>
                <w:bCs/>
                <w:color w:val="FFFFFF"/>
                <w:sz w:val="17"/>
                <w:szCs w:val="17"/>
              </w:rPr>
              <w:t xml:space="preserve">Resumption action</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A test environment is unavailable for more than 30 minutes, or the schema cannot be created</w:t>
            </w:r>
          </w:p>
        </w:tc>
        <w:tc>
          <w:tcPr>
            <w:tcW w:type="dxa" w:w="3200"/>
            <w:tcMar>
              <w:top w:type="dxa" w:w="80"/>
              <w:left w:type="dxa" w:w="90"/>
              <w:bottom w:type="dxa" w:w="80"/>
              <w:right w:type="dxa" w:w="90"/>
            </w:tcMar>
          </w:tcPr>
          <w:p>
            <w:pPr>
              <w:spacing w:after="0"/>
            </w:pPr>
            <w:r>
              <w:rPr>
                <w:b w:val="false"/>
                <w:bCs w:val="false"/>
                <w:color w:val="000000"/>
                <w:sz w:val="16"/>
                <w:szCs w:val="16"/>
              </w:rPr>
              <w:t xml:space="preserve">Pause the affected cases, preserve the logs and record an environment blocker (not a product defect).</w:t>
            </w:r>
          </w:p>
        </w:tc>
        <w:tc>
          <w:tcPr>
            <w:tcW w:type="dxa" w:w="3160"/>
            <w:tcMar>
              <w:top w:type="dxa" w:w="80"/>
              <w:left w:type="dxa" w:w="90"/>
              <w:bottom w:type="dxa" w:w="80"/>
              <w:right w:type="dxa" w:w="90"/>
            </w:tcMar>
          </w:tcPr>
          <w:p>
            <w:pPr>
              <w:spacing w:after="0"/>
            </w:pPr>
            <w:r>
              <w:rPr>
                <w:b w:val="false"/>
                <w:bCs w:val="false"/>
                <w:color w:val="000000"/>
                <w:sz w:val="16"/>
                <w:szCs w:val="16"/>
              </w:rPr>
              <w:t xml:space="preserve">Confirm service health, schema creation and the seed load, then pass one smoke case before continuing.</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Any open critical defect in sign-in, dealership isolation, the sold lock, the compliance gate or the export</w:t>
            </w:r>
          </w:p>
        </w:tc>
        <w:tc>
          <w:tcPr>
            <w:tcW w:type="dxa" w:w="3200"/>
            <w:tcMar>
              <w:top w:type="dxa" w:w="80"/>
              <w:left w:type="dxa" w:w="90"/>
              <w:bottom w:type="dxa" w:w="80"/>
              <w:right w:type="dxa" w:w="90"/>
            </w:tcMar>
          </w:tcPr>
          <w:p>
            <w:pPr>
              <w:spacing w:after="0"/>
            </w:pPr>
            <w:r>
              <w:rPr>
                <w:b w:val="false"/>
                <w:bCs w:val="false"/>
                <w:color w:val="000000"/>
                <w:sz w:val="16"/>
                <w:szCs w:val="16"/>
              </w:rPr>
              <w:t xml:space="preserve">Stop the dependent cases and raise a release blocker to the whole group.</w:t>
            </w:r>
          </w:p>
        </w:tc>
        <w:tc>
          <w:tcPr>
            <w:tcW w:type="dxa" w:w="3160"/>
            <w:tcMar>
              <w:top w:type="dxa" w:w="80"/>
              <w:left w:type="dxa" w:w="90"/>
              <w:bottom w:type="dxa" w:w="80"/>
              <w:right w:type="dxa" w:w="90"/>
            </w:tcMar>
          </w:tcPr>
          <w:p>
            <w:pPr>
              <w:spacing w:after="0"/>
            </w:pPr>
            <w:r>
              <w:rPr>
                <w:b w:val="false"/>
                <w:bCs w:val="false"/>
                <w:color w:val="000000"/>
                <w:sz w:val="16"/>
                <w:szCs w:val="16"/>
              </w:rPr>
              <w:t xml:space="preserve">A fix build is delivered with its identifier; the linked case and the surrounding regression set pass.</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Two or more open major defects in the same workflow</w:t>
            </w:r>
          </w:p>
        </w:tc>
        <w:tc>
          <w:tcPr>
            <w:tcW w:type="dxa" w:w="3200"/>
            <w:tcMar>
              <w:top w:type="dxa" w:w="80"/>
              <w:left w:type="dxa" w:w="90"/>
              <w:bottom w:type="dxa" w:w="80"/>
              <w:right w:type="dxa" w:w="90"/>
            </w:tcMar>
          </w:tcPr>
          <w:p>
            <w:pPr>
              <w:spacing w:after="0"/>
            </w:pPr>
            <w:r>
              <w:rPr>
                <w:b w:val="false"/>
                <w:bCs w:val="false"/>
                <w:color w:val="000000"/>
                <w:sz w:val="16"/>
                <w:szCs w:val="16"/>
              </w:rPr>
              <w:t xml:space="preserve">Pause that workflow so later failures are not counted twice.</w:t>
            </w:r>
          </w:p>
        </w:tc>
        <w:tc>
          <w:tcPr>
            <w:tcW w:type="dxa" w:w="3160"/>
            <w:tcMar>
              <w:top w:type="dxa" w:w="80"/>
              <w:left w:type="dxa" w:w="90"/>
              <w:bottom w:type="dxa" w:w="80"/>
              <w:right w:type="dxa" w:w="90"/>
            </w:tcMar>
          </w:tcPr>
          <w:p>
            <w:pPr>
              <w:spacing w:after="0"/>
            </w:pPr>
            <w:r>
              <w:rPr>
                <w:b w:val="false"/>
                <w:bCs w:val="false"/>
                <w:color w:val="000000"/>
                <w:sz w:val="16"/>
                <w:szCs w:val="16"/>
              </w:rPr>
              <w:t xml:space="preserve">The triage owner confirms the fix or an agreed workaround, then every linked case is re-executed.</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Seed data is missing, corrupted, or contaminated with real customer data</w:t>
            </w:r>
          </w:p>
        </w:tc>
        <w:tc>
          <w:tcPr>
            <w:tcW w:type="dxa" w:w="3200"/>
            <w:tcMar>
              <w:top w:type="dxa" w:w="80"/>
              <w:left w:type="dxa" w:w="90"/>
              <w:bottom w:type="dxa" w:w="80"/>
              <w:right w:type="dxa" w:w="90"/>
            </w:tcMar>
          </w:tcPr>
          <w:p>
            <w:pPr>
              <w:spacing w:after="0"/>
            </w:pPr>
            <w:r>
              <w:rPr>
                <w:b w:val="false"/>
                <w:bCs w:val="false"/>
                <w:color w:val="000000"/>
                <w:sz w:val="16"/>
                <w:szCs w:val="16"/>
              </w:rPr>
              <w:t xml:space="preserve">Stop the cases that use it, quarantine the evidence and regenerate the data set.</w:t>
            </w:r>
          </w:p>
        </w:tc>
        <w:tc>
          <w:tcPr>
            <w:tcW w:type="dxa" w:w="3160"/>
            <w:tcMar>
              <w:top w:type="dxa" w:w="80"/>
              <w:left w:type="dxa" w:w="90"/>
              <w:bottom w:type="dxa" w:w="80"/>
              <w:right w:type="dxa" w:w="90"/>
            </w:tcMar>
          </w:tcPr>
          <w:p>
            <w:pPr>
              <w:spacing w:after="0"/>
            </w:pPr>
            <w:r>
              <w:rPr>
                <w:b w:val="false"/>
                <w:bCs w:val="false"/>
                <w:color w:val="000000"/>
                <w:sz w:val="16"/>
                <w:szCs w:val="16"/>
              </w:rPr>
              <w:t xml:space="preserve">The data owner verifies the reset and the privacy checklist, then one data-integrity smoke case passes.</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The AI provider is unavailable or its key is missing</w:t>
            </w:r>
          </w:p>
        </w:tc>
        <w:tc>
          <w:tcPr>
            <w:tcW w:type="dxa" w:w="3200"/>
            <w:tcMar>
              <w:top w:type="dxa" w:w="80"/>
              <w:left w:type="dxa" w:w="90"/>
              <w:bottom w:type="dxa" w:w="80"/>
              <w:right w:type="dxa" w:w="90"/>
            </w:tcMar>
          </w:tcPr>
          <w:p>
            <w:pPr>
              <w:spacing w:after="0"/>
            </w:pPr>
            <w:r>
              <w:rPr>
                <w:b w:val="false"/>
                <w:bCs w:val="false"/>
                <w:color w:val="000000"/>
                <w:sz w:val="16"/>
                <w:szCs w:val="16"/>
              </w:rPr>
              <w:t xml:space="preserve">Do not suspend the plan: execute the failure-safe cases and mark the live-model cases blocked with evidence.</w:t>
            </w:r>
          </w:p>
        </w:tc>
        <w:tc>
          <w:tcPr>
            <w:tcW w:type="dxa" w:w="3160"/>
            <w:tcMar>
              <w:top w:type="dxa" w:w="80"/>
              <w:left w:type="dxa" w:w="90"/>
              <w:bottom w:type="dxa" w:w="80"/>
              <w:right w:type="dxa" w:w="90"/>
            </w:tcMar>
          </w:tcPr>
          <w:p>
            <w:pPr>
              <w:spacing w:after="0"/>
            </w:pPr>
            <w:r>
              <w:rPr>
                <w:b w:val="false"/>
                <w:bCs w:val="false"/>
                <w:color w:val="000000"/>
                <w:sz w:val="16"/>
                <w:szCs w:val="16"/>
              </w:rPr>
              <w:t xml:space="preserve">The provider or key is restored; the live-model cases are re-run and the unavailable-path evidence is kept.</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The cloud demo cannot be deployed before a sprint review</w:t>
            </w:r>
          </w:p>
        </w:tc>
        <w:tc>
          <w:tcPr>
            <w:tcW w:type="dxa" w:w="3200"/>
            <w:tcMar>
              <w:top w:type="dxa" w:w="80"/>
              <w:left w:type="dxa" w:w="90"/>
              <w:bottom w:type="dxa" w:w="80"/>
              <w:right w:type="dxa" w:w="90"/>
            </w:tcMar>
          </w:tcPr>
          <w:p>
            <w:pPr>
              <w:spacing w:after="0"/>
            </w:pPr>
            <w:r>
              <w:rPr>
                <w:b w:val="false"/>
                <w:bCs w:val="false"/>
                <w:color w:val="000000"/>
                <w:sz w:val="16"/>
                <w:szCs w:val="16"/>
              </w:rPr>
              <w:t xml:space="preserve">Suspend acceptance and report the risk to the client and instructor the same day.</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Deployment succeeds from the pushed commit and the health and release endpoints answer; acceptance restarts at AT-01.</w:t>
            </w:r>
          </w:p>
        </w:tc>
      </w:tr>
    </w:tbl>
    <w:p>
      <w:pPr>
        <w:pStyle w:val="Heading1"/>
        <w:spacing w:after="100" w:before="220"/>
      </w:pPr>
      <w:r>
        <w:rPr>
          <w:b/>
          <w:bCs/>
          <w:color w:val="1F4E78"/>
          <w:sz w:val="26"/>
          <w:szCs w:val="26"/>
        </w:rPr>
        <w:t xml:space="preserve">9. Test Deliverables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300"/>
            <w:shd w:fill="1F4E78" w:val="clear"/>
            <w:tcMar>
              <w:top w:type="dxa" w:w="80"/>
              <w:left w:type="dxa" w:w="90"/>
              <w:bottom w:type="dxa" w:w="80"/>
              <w:right w:type="dxa" w:w="90"/>
            </w:tcMar>
          </w:tcPr>
          <w:p>
            <w:pPr>
              <w:spacing w:after="0"/>
            </w:pPr>
            <w:r>
              <w:rPr>
                <w:b/>
                <w:bCs/>
                <w:color w:val="FFFFFF"/>
                <w:sz w:val="17"/>
                <w:szCs w:val="17"/>
              </w:rPr>
              <w:t xml:space="preserve">Deliverable</w:t>
            </w:r>
          </w:p>
        </w:tc>
        <w:tc>
          <w:tcPr>
            <w:tcW w:type="dxa" w:w="3900"/>
            <w:shd w:fill="1F4E78" w:val="clear"/>
            <w:tcMar>
              <w:top w:type="dxa" w:w="80"/>
              <w:left w:type="dxa" w:w="90"/>
              <w:bottom w:type="dxa" w:w="80"/>
              <w:right w:type="dxa" w:w="90"/>
            </w:tcMar>
          </w:tcPr>
          <w:p>
            <w:pPr>
              <w:spacing w:after="0"/>
            </w:pPr>
            <w:r>
              <w:rPr>
                <w:b/>
                <w:bCs/>
                <w:color w:val="FFFFFF"/>
                <w:sz w:val="17"/>
                <w:szCs w:val="17"/>
              </w:rPr>
              <w:t xml:space="preserve">Description</w:t>
            </w:r>
          </w:p>
        </w:tc>
        <w:tc>
          <w:tcPr>
            <w:tcW w:type="dxa" w:w="1900"/>
            <w:shd w:fill="1F4E78" w:val="clear"/>
            <w:tcMar>
              <w:top w:type="dxa" w:w="80"/>
              <w:left w:type="dxa" w:w="90"/>
              <w:bottom w:type="dxa" w:w="80"/>
              <w:right w:type="dxa" w:w="90"/>
            </w:tcMar>
          </w:tcPr>
          <w:p>
            <w:pPr>
              <w:spacing w:after="0"/>
            </w:pPr>
            <w:r>
              <w:rPr>
                <w:b/>
                <w:bCs/>
                <w:color w:val="FFFFFF"/>
                <w:sz w:val="17"/>
                <w:szCs w:val="17"/>
              </w:rPr>
              <w:t xml:space="preserve">Owner</w:t>
            </w:r>
          </w:p>
        </w:tc>
        <w:tc>
          <w:tcPr>
            <w:tcW w:type="dxa" w:w="1260"/>
            <w:shd w:fill="1F4E78" w:val="clear"/>
            <w:tcMar>
              <w:top w:type="dxa" w:w="80"/>
              <w:left w:type="dxa" w:w="90"/>
              <w:bottom w:type="dxa" w:w="80"/>
              <w:right w:type="dxa" w:w="90"/>
            </w:tcMar>
          </w:tcPr>
          <w:p>
            <w:pPr>
              <w:spacing w:after="0"/>
            </w:pPr>
            <w:r>
              <w:rPr>
                <w:b/>
                <w:bCs/>
                <w:color w:val="FFFFFF"/>
                <w:sz w:val="17"/>
                <w:szCs w:val="17"/>
              </w:rPr>
              <w:t xml:space="preserve">Due</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Test plan (this document)</w:t>
            </w:r>
          </w:p>
        </w:tc>
        <w:tc>
          <w:tcPr>
            <w:tcW w:type="dxa" w:w="3900"/>
            <w:tcMar>
              <w:top w:type="dxa" w:w="80"/>
              <w:left w:type="dxa" w:w="90"/>
              <w:bottom w:type="dxa" w:w="80"/>
              <w:right w:type="dxa" w:w="90"/>
            </w:tcMar>
          </w:tcPr>
          <w:p>
            <w:pPr>
              <w:spacing w:after="0"/>
            </w:pPr>
            <w:r>
              <w:rPr>
                <w:b w:val="false"/>
                <w:bCs w:val="false"/>
                <w:color w:val="000000"/>
                <w:sz w:val="16"/>
                <w:szCs w:val="16"/>
              </w:rPr>
              <w:t xml:space="preserve">Scope, objectives, approach per phase, environment, data sources, schedule, responsibilities and traceability.</w:t>
            </w:r>
          </w:p>
        </w:tc>
        <w:tc>
          <w:tcPr>
            <w:tcW w:type="dxa" w:w="1900"/>
            <w:tcMar>
              <w:top w:type="dxa" w:w="80"/>
              <w:left w:type="dxa" w:w="90"/>
              <w:bottom w:type="dxa" w:w="80"/>
              <w:right w:type="dxa" w:w="90"/>
            </w:tcMar>
          </w:tcPr>
          <w:p>
            <w:pPr>
              <w:spacing w:after="0"/>
            </w:pPr>
            <w:r>
              <w:rPr>
                <w:b w:val="false"/>
                <w:bCs w:val="false"/>
                <w:color w:val="000000"/>
                <w:sz w:val="16"/>
                <w:szCs w:val="16"/>
              </w:rPr>
              <w:t xml:space="preserve">Group, approved by all three members</w:t>
            </w:r>
          </w:p>
        </w:tc>
        <w:tc>
          <w:tcPr>
            <w:tcW w:type="dxa" w:w="1260"/>
            <w:tcMar>
              <w:top w:type="dxa" w:w="80"/>
              <w:left w:type="dxa" w:w="90"/>
              <w:bottom w:type="dxa" w:w="80"/>
              <w:right w:type="dxa" w:w="90"/>
            </w:tcMar>
          </w:tcPr>
          <w:p>
            <w:pPr>
              <w:spacing w:after="0"/>
            </w:pPr>
            <w:r>
              <w:rPr>
                <w:b w:val="false"/>
                <w:bCs w:val="false"/>
                <w:color w:val="000000"/>
                <w:sz w:val="16"/>
                <w:szCs w:val="16"/>
              </w:rPr>
              <w:t xml:space="preserve">Oct 27, 2026</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Test case document</w:t>
            </w:r>
          </w:p>
        </w:tc>
        <w:tc>
          <w:tcPr>
            <w:tcW w:type="dxa" w:w="3900"/>
            <w:tcMar>
              <w:top w:type="dxa" w:w="80"/>
              <w:left w:type="dxa" w:w="90"/>
              <w:bottom w:type="dxa" w:w="80"/>
              <w:right w:type="dxa" w:w="90"/>
            </w:tcMar>
          </w:tcPr>
          <w:p>
            <w:pPr>
              <w:spacing w:after="0"/>
            </w:pPr>
            <w:r>
              <w:rPr>
                <w:b w:val="false"/>
                <w:bCs w:val="false"/>
                <w:color w:val="000000"/>
                <w:sz w:val="16"/>
                <w:szCs w:val="16"/>
              </w:rPr>
              <w:t xml:space="preserve">Excel workbook of 70 cases across six development phases, in the supplied template columns.</w:t>
            </w:r>
          </w:p>
        </w:tc>
        <w:tc>
          <w:tcPr>
            <w:tcW w:type="dxa" w:w="1900"/>
            <w:tcMar>
              <w:top w:type="dxa" w:w="80"/>
              <w:left w:type="dxa" w:w="90"/>
              <w:bottom w:type="dxa" w:w="80"/>
              <w:right w:type="dxa" w:w="90"/>
            </w:tcMar>
          </w:tcPr>
          <w:p>
            <w:pPr>
              <w:spacing w:after="0"/>
            </w:pPr>
            <w:r>
              <w:rPr>
                <w:b w:val="false"/>
                <w:bCs w:val="false"/>
                <w:color w:val="000000"/>
                <w:sz w:val="16"/>
                <w:szCs w:val="16"/>
              </w:rPr>
              <w:t xml:space="preserve">Group</w:t>
            </w:r>
          </w:p>
        </w:tc>
        <w:tc>
          <w:tcPr>
            <w:tcW w:type="dxa" w:w="1260"/>
            <w:tcMar>
              <w:top w:type="dxa" w:w="80"/>
              <w:left w:type="dxa" w:w="90"/>
              <w:bottom w:type="dxa" w:w="80"/>
              <w:right w:type="dxa" w:w="90"/>
            </w:tcMar>
          </w:tcPr>
          <w:p>
            <w:pPr>
              <w:spacing w:after="0"/>
            </w:pPr>
            <w:r>
              <w:rPr>
                <w:b w:val="false"/>
                <w:bCs w:val="false"/>
                <w:color w:val="000000"/>
                <w:sz w:val="16"/>
                <w:szCs w:val="16"/>
              </w:rPr>
              <w:t xml:space="preserve">Oct 27, 2026</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Execution evidence</w:t>
            </w:r>
          </w:p>
        </w:tc>
        <w:tc>
          <w:tcPr>
            <w:tcW w:type="dxa" w:w="3900"/>
            <w:tcMar>
              <w:top w:type="dxa" w:w="80"/>
              <w:left w:type="dxa" w:w="90"/>
              <w:bottom w:type="dxa" w:w="80"/>
              <w:right w:type="dxa" w:w="90"/>
            </w:tcMar>
          </w:tcPr>
          <w:p>
            <w:pPr>
              <w:spacing w:after="0"/>
            </w:pPr>
            <w:r>
              <w:rPr>
                <w:b w:val="false"/>
                <w:bCs w:val="false"/>
                <w:color w:val="000000"/>
                <w:sz w:val="16"/>
                <w:szCs w:val="16"/>
              </w:rPr>
              <w:t xml:space="preserve">API responses, database checks, screenshots, traces, logs, Playwright reports and timing notes, filed by case id.</w:t>
            </w:r>
          </w:p>
        </w:tc>
        <w:tc>
          <w:tcPr>
            <w:tcW w:type="dxa" w:w="1900"/>
            <w:tcMar>
              <w:top w:type="dxa" w:w="80"/>
              <w:left w:type="dxa" w:w="90"/>
              <w:bottom w:type="dxa" w:w="80"/>
              <w:right w:type="dxa" w:w="90"/>
            </w:tcMar>
          </w:tcPr>
          <w:p>
            <w:pPr>
              <w:spacing w:after="0"/>
            </w:pPr>
            <w:r>
              <w:rPr>
                <w:b w:val="false"/>
                <w:bCs w:val="false"/>
                <w:color w:val="000000"/>
                <w:sz w:val="16"/>
                <w:szCs w:val="16"/>
              </w:rPr>
              <w:t xml:space="preserve">The tester who ran the case</w:t>
            </w:r>
          </w:p>
        </w:tc>
        <w:tc>
          <w:tcPr>
            <w:tcW w:type="dxa" w:w="1260"/>
            <w:tcMar>
              <w:top w:type="dxa" w:w="80"/>
              <w:left w:type="dxa" w:w="90"/>
              <w:bottom w:type="dxa" w:w="80"/>
              <w:right w:type="dxa" w:w="90"/>
            </w:tcMar>
          </w:tcPr>
          <w:p>
            <w:pPr>
              <w:spacing w:after="0"/>
            </w:pPr>
            <w:r>
              <w:rPr>
                <w:b w:val="false"/>
                <w:bCs w:val="false"/>
                <w:color w:val="000000"/>
                <w:sz w:val="16"/>
                <w:szCs w:val="16"/>
              </w:rPr>
              <w:t xml:space="preserve">Continuous</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Defect log</w:t>
            </w:r>
          </w:p>
        </w:tc>
        <w:tc>
          <w:tcPr>
            <w:tcW w:type="dxa" w:w="3900"/>
            <w:tcMar>
              <w:top w:type="dxa" w:w="80"/>
              <w:left w:type="dxa" w:w="90"/>
              <w:bottom w:type="dxa" w:w="80"/>
              <w:right w:type="dxa" w:w="90"/>
            </w:tcMar>
          </w:tcPr>
          <w:p>
            <w:pPr>
              <w:spacing w:after="0"/>
            </w:pPr>
            <w:r>
              <w:rPr>
                <w:b w:val="false"/>
                <w:bCs w:val="false"/>
                <w:color w:val="000000"/>
                <w:sz w:val="16"/>
                <w:szCs w:val="16"/>
              </w:rPr>
              <w:t xml:space="preserve">Id, steps, expected and actual result, severity, owner, status, retest result and the linked case id.</w:t>
            </w:r>
          </w:p>
        </w:tc>
        <w:tc>
          <w:tcPr>
            <w:tcW w:type="dxa" w:w="1900"/>
            <w:tcMar>
              <w:top w:type="dxa" w:w="80"/>
              <w:left w:type="dxa" w:w="90"/>
              <w:bottom w:type="dxa" w:w="80"/>
              <w:right w:type="dxa" w:w="90"/>
            </w:tcMar>
          </w:tcPr>
          <w:p>
            <w:pPr>
              <w:spacing w:after="0"/>
            </w:pPr>
            <w:r>
              <w:rPr>
                <w:b w:val="false"/>
                <w:bCs w:val="false"/>
                <w:color w:val="000000"/>
                <w:sz w:val="16"/>
                <w:szCs w:val="16"/>
              </w:rPr>
              <w:t xml:space="preserve">Tester raising it; QA lead maintains it</w:t>
            </w:r>
          </w:p>
        </w:tc>
        <w:tc>
          <w:tcPr>
            <w:tcW w:type="dxa" w:w="1260"/>
            <w:tcMar>
              <w:top w:type="dxa" w:w="80"/>
              <w:left w:type="dxa" w:w="90"/>
              <w:bottom w:type="dxa" w:w="80"/>
              <w:right w:type="dxa" w:w="90"/>
            </w:tcMar>
          </w:tcPr>
          <w:p>
            <w:pPr>
              <w:spacing w:after="0"/>
            </w:pPr>
            <w:r>
              <w:rPr>
                <w:b w:val="false"/>
                <w:bCs w:val="false"/>
                <w:color w:val="000000"/>
                <w:sz w:val="16"/>
                <w:szCs w:val="16"/>
              </w:rPr>
              <w:t xml:space="preserve">Continuous</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Deployment and rollback checklist</w:t>
            </w:r>
          </w:p>
        </w:tc>
        <w:tc>
          <w:tcPr>
            <w:tcW w:type="dxa" w:w="3900"/>
            <w:tcMar>
              <w:top w:type="dxa" w:w="80"/>
              <w:left w:type="dxa" w:w="90"/>
              <w:bottom w:type="dxa" w:w="80"/>
              <w:right w:type="dxa" w:w="90"/>
            </w:tcMar>
          </w:tcPr>
          <w:p>
            <w:pPr>
              <w:spacing w:after="0"/>
            </w:pPr>
            <w:r>
              <w:rPr>
                <w:b w:val="false"/>
                <w:bCs w:val="false"/>
                <w:color w:val="000000"/>
                <w:sz w:val="16"/>
                <w:szCs w:val="16"/>
              </w:rPr>
              <w:t xml:space="preserve">Build identifiers, resource inventory, health and release output, seed and rollback evidence.</w:t>
            </w:r>
          </w:p>
        </w:tc>
        <w:tc>
          <w:tcPr>
            <w:tcW w:type="dxa" w:w="1900"/>
            <w:tcMar>
              <w:top w:type="dxa" w:w="80"/>
              <w:left w:type="dxa" w:w="90"/>
              <w:bottom w:type="dxa" w:w="80"/>
              <w:right w:type="dxa" w:w="90"/>
            </w:tcMar>
          </w:tcPr>
          <w:p>
            <w:pPr>
              <w:spacing w:after="0"/>
            </w:pPr>
            <w:r>
              <w:rPr>
                <w:b w:val="false"/>
                <w:bCs w:val="false"/>
                <w:color w:val="000000"/>
                <w:sz w:val="16"/>
                <w:szCs w:val="16"/>
              </w:rPr>
              <w:t xml:space="preserve">Yuandong Yang</w:t>
            </w:r>
          </w:p>
        </w:tc>
        <w:tc>
          <w:tcPr>
            <w:tcW w:type="dxa" w:w="1260"/>
            <w:tcMar>
              <w:top w:type="dxa" w:w="80"/>
              <w:left w:type="dxa" w:w="90"/>
              <w:bottom w:type="dxa" w:w="80"/>
              <w:right w:type="dxa" w:w="90"/>
            </w:tcMar>
          </w:tcPr>
          <w:p>
            <w:pPr>
              <w:spacing w:after="0"/>
            </w:pPr>
            <w:r>
              <w:rPr>
                <w:b w:val="false"/>
                <w:bCs w:val="false"/>
                <w:color w:val="000000"/>
                <w:sz w:val="16"/>
                <w:szCs w:val="16"/>
              </w:rPr>
              <w:t xml:space="preserve">Nov 10, 2026</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Final test summary</w:t>
            </w:r>
          </w:p>
        </w:tc>
        <w:tc>
          <w:tcPr>
            <w:tcW w:type="dxa" w:w="3900"/>
            <w:tcMar>
              <w:top w:type="dxa" w:w="80"/>
              <w:left w:type="dxa" w:w="90"/>
              <w:bottom w:type="dxa" w:w="80"/>
              <w:right w:type="dxa" w:w="90"/>
            </w:tcMar>
          </w:tcPr>
          <w:p>
            <w:pPr>
              <w:spacing w:after="0"/>
            </w:pPr>
            <w:r>
              <w:rPr>
                <w:b w:val="false"/>
                <w:bCs w:val="false"/>
                <w:color w:val="000000"/>
                <w:sz w:val="16"/>
                <w:szCs w:val="16"/>
              </w:rPr>
              <w:t xml:space="preserve">Executed, passed, failed and blocked counts, defect trend, residual risk and the release recommendation.</w:t>
            </w:r>
          </w:p>
        </w:tc>
        <w:tc>
          <w:tcPr>
            <w:tcW w:type="dxa" w:w="1900"/>
            <w:tcMar>
              <w:top w:type="dxa" w:w="80"/>
              <w:left w:type="dxa" w:w="90"/>
              <w:bottom w:type="dxa" w:w="80"/>
              <w:right w:type="dxa" w:w="90"/>
            </w:tcMar>
          </w:tcPr>
          <w:p>
            <w:pPr>
              <w:spacing w:after="0"/>
            </w:pPr>
            <w:r>
              <w:rPr>
                <w:b w:val="false"/>
                <w:bCs w:val="false"/>
                <w:color w:val="000000"/>
                <w:sz w:val="16"/>
                <w:szCs w:val="16"/>
              </w:rPr>
              <w:t xml:space="preserve">Yuandong Yang (QA lead)</w:t>
            </w:r>
          </w:p>
        </w:tc>
        <w:tc>
          <w:tcPr>
            <w:tcW w:type="dxa" w:w="1260"/>
            <w:tcMar>
              <w:top w:type="dxa" w:w="80"/>
              <w:left w:type="dxa" w:w="90"/>
              <w:bottom w:type="dxa" w:w="80"/>
              <w:right w:type="dxa" w:w="90"/>
            </w:tcMar>
          </w:tcPr>
          <w:p>
            <w:pPr>
              <w:spacing w:after="0"/>
            </w:pPr>
            <w:r>
              <w:rPr>
                <w:b w:val="false"/>
                <w:bCs w:val="false"/>
                <w:color w:val="000000"/>
                <w:sz w:val="16"/>
                <w:szCs w:val="16"/>
              </w:rPr>
              <w:t xml:space="preserve">Nov 14, 2026</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Peer assessment (individual)</w:t>
            </w:r>
          </w:p>
        </w:tc>
        <w:tc>
          <w:tcPr>
            <w:tcW w:type="dxa" w:w="3900"/>
            <w:tcMar>
              <w:top w:type="dxa" w:w="80"/>
              <w:left w:type="dxa" w:w="90"/>
              <w:bottom w:type="dxa" w:w="80"/>
              <w:right w:type="dxa" w:w="90"/>
            </w:tcMar>
          </w:tcPr>
          <w:p>
            <w:pPr>
              <w:spacing w:after="0"/>
            </w:pPr>
            <w:r>
              <w:rPr>
                <w:b w:val="false"/>
                <w:bCs w:val="false"/>
                <w:color w:val="000000"/>
                <w:sz w:val="16"/>
                <w:szCs w:val="16"/>
              </w:rPr>
              <w:t xml:space="preserve">One per member, on the course form, using the 1 to 3 scale.</w:t>
            </w:r>
          </w:p>
        </w:tc>
        <w:tc>
          <w:tcPr>
            <w:tcW w:type="dxa" w:w="1900"/>
            <w:tcMar>
              <w:top w:type="dxa" w:w="80"/>
              <w:left w:type="dxa" w:w="90"/>
              <w:bottom w:type="dxa" w:w="80"/>
              <w:right w:type="dxa" w:w="90"/>
            </w:tcMar>
          </w:tcPr>
          <w:p>
            <w:pPr>
              <w:spacing w:after="0"/>
            </w:pPr>
            <w:r>
              <w:rPr>
                <w:b w:val="false"/>
                <w:bCs w:val="false"/>
                <w:color w:val="000000"/>
                <w:sz w:val="16"/>
                <w:szCs w:val="16"/>
              </w:rPr>
              <w:t xml:space="preserve">Each member</w:t>
            </w:r>
          </w:p>
        </w:tc>
        <w:tc>
          <w:tcPr>
            <w:tcW w:type="dxa" w:w="1260"/>
            <w:tcMar>
              <w:top w:type="dxa" w:w="80"/>
              <w:left w:type="dxa" w:w="90"/>
              <w:bottom w:type="dxa" w:w="80"/>
              <w:right w:type="dxa" w:w="90"/>
            </w:tcMar>
          </w:tcPr>
          <w:p>
            <w:pPr>
              <w:spacing w:after="0"/>
            </w:pPr>
            <w:r>
              <w:rPr>
                <w:b w:val="false"/>
                <w:bCs w:val="false"/>
                <w:color w:val="000000"/>
                <w:sz w:val="16"/>
                <w:szCs w:val="16"/>
              </w:rPr>
              <w:t xml:space="preserve">Nov 16, 2026</w:t>
            </w:r>
          </w:p>
        </w:tc>
      </w:tr>
    </w:tbl>
    <w:p>
      <w:pPr>
        <w:pStyle w:val="Heading1"/>
        <w:spacing w:after="100" w:before="220"/>
      </w:pPr>
      <w:r>
        <w:rPr>
          <w:b/>
          <w:bCs/>
          <w:color w:val="1F4E78"/>
          <w:sz w:val="26"/>
          <w:szCs w:val="26"/>
        </w:rPr>
        <w:t xml:space="preserve">10. Testing Tasks and Responsibilities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300"/>
            <w:shd w:fill="1F4E78" w:val="clear"/>
            <w:tcMar>
              <w:top w:type="dxa" w:w="80"/>
              <w:left w:type="dxa" w:w="90"/>
              <w:bottom w:type="dxa" w:w="80"/>
              <w:right w:type="dxa" w:w="90"/>
            </w:tcMar>
          </w:tcPr>
          <w:p>
            <w:pPr>
              <w:spacing w:after="0"/>
            </w:pPr>
            <w:r>
              <w:rPr>
                <w:b/>
                <w:bCs/>
                <w:color w:val="FFFFFF"/>
                <w:sz w:val="17"/>
                <w:szCs w:val="17"/>
              </w:rPr>
              <w:t xml:space="preserve">Role</w:t>
            </w:r>
          </w:p>
        </w:tc>
        <w:tc>
          <w:tcPr>
            <w:tcW w:type="dxa" w:w="5100"/>
            <w:shd w:fill="1F4E78" w:val="clear"/>
            <w:tcMar>
              <w:top w:type="dxa" w:w="80"/>
              <w:left w:type="dxa" w:w="90"/>
              <w:bottom w:type="dxa" w:w="80"/>
              <w:right w:type="dxa" w:w="90"/>
            </w:tcMar>
          </w:tcPr>
          <w:p>
            <w:pPr>
              <w:spacing w:after="0"/>
            </w:pPr>
            <w:r>
              <w:rPr>
                <w:b/>
                <w:bCs/>
                <w:color w:val="FFFFFF"/>
                <w:sz w:val="17"/>
                <w:szCs w:val="17"/>
              </w:rPr>
              <w:t xml:space="preserve">Measurable responsibilities</w:t>
            </w:r>
          </w:p>
        </w:tc>
        <w:tc>
          <w:tcPr>
            <w:tcW w:type="dxa" w:w="1960"/>
            <w:shd w:fill="1F4E78" w:val="clear"/>
            <w:tcMar>
              <w:top w:type="dxa" w:w="80"/>
              <w:left w:type="dxa" w:w="90"/>
              <w:bottom w:type="dxa" w:w="80"/>
              <w:right w:type="dxa" w:w="90"/>
            </w:tcMar>
          </w:tcPr>
          <w:p>
            <w:pPr>
              <w:spacing w:after="0"/>
            </w:pPr>
            <w:r>
              <w:rPr>
                <w:b/>
                <w:bCs/>
                <w:color w:val="FFFFFF"/>
                <w:sz w:val="17"/>
                <w:szCs w:val="17"/>
              </w:rPr>
              <w:t xml:space="preserve">Owner</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QA lead and plan coordinator</w:t>
            </w:r>
          </w:p>
        </w:tc>
        <w:tc>
          <w:tcPr>
            <w:tcW w:type="dxa" w:w="5100"/>
            <w:tcMar>
              <w:top w:type="dxa" w:w="80"/>
              <w:left w:type="dxa" w:w="90"/>
              <w:bottom w:type="dxa" w:w="80"/>
              <w:right w:type="dxa" w:w="90"/>
            </w:tcMar>
          </w:tcPr>
          <w:p>
            <w:pPr>
              <w:spacing w:after="0"/>
            </w:pPr>
            <w:r>
              <w:rPr>
                <w:b w:val="false"/>
                <w:bCs w:val="false"/>
                <w:color w:val="000000"/>
                <w:sz w:val="16"/>
                <w:szCs w:val="16"/>
              </w:rPr>
              <w:t xml:space="preserve">Maintain this plan and the traceability table; review 100% of High-priority cases before execution; publish a weekly status line and the final summary; own the privacy scrub and the release recommendation.</w:t>
            </w:r>
          </w:p>
        </w:tc>
        <w:tc>
          <w:tcPr>
            <w:tcW w:type="dxa" w:w="19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Platform and user-interface tester</w:t>
            </w:r>
          </w:p>
        </w:tc>
        <w:tc>
          <w:tcPr>
            <w:tcW w:type="dxa" w:w="5100"/>
            <w:tcMar>
              <w:top w:type="dxa" w:w="80"/>
              <w:left w:type="dxa" w:w="90"/>
              <w:bottom w:type="dxa" w:w="80"/>
              <w:right w:type="dxa" w:w="90"/>
            </w:tcMar>
          </w:tcPr>
          <w:p>
            <w:pPr>
              <w:spacing w:after="0"/>
            </w:pPr>
            <w:r>
              <w:rPr>
                <w:b w:val="false"/>
                <w:bCs w:val="false"/>
                <w:color w:val="000000"/>
                <w:sz w:val="16"/>
                <w:szCs w:val="16"/>
              </w:rPr>
              <w:t xml:space="preserve">Execute the sign-in, role, isolation, inventory, CRM, lead, work-order, payment and browser cases; verify stored values in MySQL; attach request and screenshot evidence.</w:t>
            </w:r>
          </w:p>
        </w:tc>
        <w:tc>
          <w:tcPr>
            <w:tcW w:type="dxa" w:w="19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Advertising, AI and audit tester</w:t>
            </w:r>
          </w:p>
        </w:tc>
        <w:tc>
          <w:tcPr>
            <w:tcW w:type="dxa" w:w="5100"/>
            <w:tcMar>
              <w:top w:type="dxa" w:w="80"/>
              <w:left w:type="dxa" w:w="90"/>
              <w:bottom w:type="dxa" w:w="80"/>
              <w:right w:type="dxa" w:w="90"/>
            </w:tcMar>
          </w:tcPr>
          <w:p>
            <w:pPr>
              <w:spacing w:after="0"/>
            </w:pPr>
            <w:r>
              <w:rPr>
                <w:b w:val="false"/>
                <w:bCs w:val="false"/>
                <w:color w:val="000000"/>
                <w:sz w:val="16"/>
                <w:szCs w:val="16"/>
              </w:rPr>
              <w:t xml:space="preserve">Execute the rule-engine, check-state, AI failure-safe, assistant, buyer-site and audit cases; verify that no prompt or log carries contact data; maintain the advertisement fixtures.</w:t>
            </w:r>
          </w:p>
        </w:tc>
        <w:tc>
          <w:tcPr>
            <w:tcW w:type="dxa" w:w="19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Release owner</w:t>
            </w:r>
          </w:p>
        </w:tc>
        <w:tc>
          <w:tcPr>
            <w:tcW w:type="dxa" w:w="5100"/>
            <w:tcMar>
              <w:top w:type="dxa" w:w="80"/>
              <w:left w:type="dxa" w:w="90"/>
              <w:bottom w:type="dxa" w:w="80"/>
              <w:right w:type="dxa" w:w="90"/>
            </w:tcMar>
          </w:tcPr>
          <w:p>
            <w:pPr>
              <w:spacing w:after="0"/>
            </w:pPr>
            <w:r>
              <w:rPr>
                <w:b w:val="false"/>
                <w:bCs w:val="false"/>
                <w:color w:val="000000"/>
                <w:sz w:val="16"/>
                <w:szCs w:val="16"/>
              </w:rPr>
              <w:t xml:space="preserve">Build from a clean checkout, deploy to Azure, record build identifiers, run the health, seed and rollback cases, and keep secrets out of the repository.</w:t>
            </w:r>
          </w:p>
        </w:tc>
        <w:tc>
          <w:tcPr>
            <w:tcW w:type="dxa" w:w="19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Developer support and triage</w:t>
            </w:r>
          </w:p>
        </w:tc>
        <w:tc>
          <w:tcPr>
            <w:tcW w:type="dxa" w:w="5100"/>
            <w:tcMar>
              <w:top w:type="dxa" w:w="80"/>
              <w:left w:type="dxa" w:w="90"/>
              <w:bottom w:type="dxa" w:w="80"/>
              <w:right w:type="dxa" w:w="90"/>
            </w:tcMar>
          </w:tcPr>
          <w:p>
            <w:pPr>
              <w:spacing w:after="0"/>
            </w:pPr>
            <w:r>
              <w:rPr>
                <w:b w:val="false"/>
                <w:bCs w:val="false"/>
                <w:color w:val="000000"/>
                <w:sz w:val="16"/>
                <w:szCs w:val="16"/>
              </w:rPr>
              <w:t xml:space="preserve">Supply build identifiers, investigate failures, fix defects and record the root cause without editing test evidence.</w:t>
            </w:r>
          </w:p>
        </w:tc>
        <w:tc>
          <w:tcPr>
            <w:tcW w:type="dxa" w:w="1960"/>
            <w:tcMar>
              <w:top w:type="dxa" w:w="80"/>
              <w:left w:type="dxa" w:w="90"/>
              <w:bottom w:type="dxa" w:w="80"/>
              <w:right w:type="dxa" w:w="90"/>
            </w:tcMar>
          </w:tcPr>
          <w:p>
            <w:pPr>
              <w:spacing w:after="0"/>
            </w:pPr>
            <w:r>
              <w:rPr>
                <w:b w:val="false"/>
                <w:bCs w:val="false"/>
                <w:color w:val="000000"/>
                <w:sz w:val="16"/>
                <w:szCs w:val="16"/>
              </w:rPr>
              <w:t xml:space="preserve">The member who owns the affected service</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Acceptance reviewer</w:t>
            </w:r>
          </w:p>
        </w:tc>
        <w:tc>
          <w:tcPr>
            <w:tcW w:type="dxa" w:w="5100"/>
            <w:tcMar>
              <w:top w:type="dxa" w:w="80"/>
              <w:left w:type="dxa" w:w="90"/>
              <w:bottom w:type="dxa" w:w="80"/>
              <w:right w:type="dxa" w:w="90"/>
            </w:tcMar>
          </w:tcPr>
          <w:p>
            <w:pPr>
              <w:spacing w:after="0"/>
            </w:pPr>
            <w:r>
              <w:rPr>
                <w:b w:val="false"/>
                <w:bCs w:val="false"/>
                <w:color w:val="000000"/>
                <w:sz w:val="16"/>
                <w:szCs w:val="16"/>
              </w:rPr>
              <w:t xml:space="preserve">Review the client-facing scenarios and sign off or record residual risk before submission.</w:t>
            </w:r>
          </w:p>
        </w:tc>
        <w:tc>
          <w:tcPr>
            <w:tcW w:type="dxa" w:w="1960"/>
            <w:tcMar>
              <w:top w:type="dxa" w:w="80"/>
              <w:left w:type="dxa" w:w="90"/>
              <w:bottom w:type="dxa" w:w="80"/>
              <w:right w:type="dxa" w:w="90"/>
            </w:tcMar>
          </w:tcPr>
          <w:p>
            <w:pPr>
              <w:spacing w:after="0"/>
            </w:pPr>
            <w:r>
              <w:rPr>
                <w:b w:val="false"/>
                <w:bCs w:val="false"/>
                <w:color w:val="000000"/>
                <w:sz w:val="16"/>
                <w:szCs w:val="16"/>
              </w:rPr>
              <w:t xml:space="preserve">Client representative or instructor, with the group present</w:t>
            </w:r>
          </w:p>
        </w:tc>
      </w:tr>
    </w:tbl>
    <w:p>
      <w:pPr>
        <w:pStyle w:val="Heading1"/>
        <w:spacing w:after="100" w:before="220"/>
      </w:pPr>
      <w:r>
        <w:rPr>
          <w:b/>
          <w:bCs/>
          <w:color w:val="1F4E78"/>
          <w:sz w:val="26"/>
          <w:szCs w:val="26"/>
        </w:rPr>
        <w:t xml:space="preserve">11. Environmental Needs</w:t>
      </w:r>
    </w:p>
    <w:p>
      <w:pPr>
        <w:spacing w:after="100" w:line="276"/>
      </w:pPr>
      <w:r>
        <w:rPr>
          <w:sz w:val="21"/>
          <w:szCs w:val="21"/>
        </w:rPr>
        <w:t xml:space="preserve">Three environments are used, and they are deliberately separated so that a test run can never damage the data a demo depends on. Every item below names the version and the person responsible, so another tester can rebuild the environment from this table alone.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1900"/>
            <w:shd w:fill="1F4E78" w:val="clear"/>
            <w:tcMar>
              <w:top w:type="dxa" w:w="80"/>
              <w:left w:type="dxa" w:w="90"/>
              <w:bottom w:type="dxa" w:w="80"/>
              <w:right w:type="dxa" w:w="90"/>
            </w:tcMar>
          </w:tcPr>
          <w:p>
            <w:pPr>
              <w:spacing w:after="0"/>
            </w:pPr>
            <w:r>
              <w:rPr>
                <w:b/>
                <w:bCs/>
                <w:color w:val="FFFFFF"/>
                <w:sz w:val="17"/>
                <w:szCs w:val="17"/>
              </w:rPr>
              <w:t xml:space="preserve">Item</w:t>
            </w:r>
          </w:p>
        </w:tc>
        <w:tc>
          <w:tcPr>
            <w:tcW w:type="dxa" w:w="5800"/>
            <w:shd w:fill="1F4E78" w:val="clear"/>
            <w:tcMar>
              <w:top w:type="dxa" w:w="80"/>
              <w:left w:type="dxa" w:w="90"/>
              <w:bottom w:type="dxa" w:w="80"/>
              <w:right w:type="dxa" w:w="90"/>
            </w:tcMar>
          </w:tcPr>
          <w:p>
            <w:pPr>
              <w:spacing w:after="0"/>
            </w:pPr>
            <w:r>
              <w:rPr>
                <w:b/>
                <w:bCs/>
                <w:color w:val="FFFFFF"/>
                <w:sz w:val="17"/>
                <w:szCs w:val="17"/>
              </w:rPr>
              <w:t xml:space="preserve">Requirements, specification and management</w:t>
            </w:r>
          </w:p>
        </w:tc>
        <w:tc>
          <w:tcPr>
            <w:tcW w:type="dxa" w:w="1660"/>
            <w:shd w:fill="1F4E78" w:val="clear"/>
            <w:tcMar>
              <w:top w:type="dxa" w:w="80"/>
              <w:left w:type="dxa" w:w="90"/>
              <w:bottom w:type="dxa" w:w="80"/>
              <w:right w:type="dxa" w:w="90"/>
            </w:tcMar>
          </w:tcPr>
          <w:p>
            <w:pPr>
              <w:spacing w:after="0"/>
            </w:pPr>
            <w:r>
              <w:rPr>
                <w:b/>
                <w:bCs/>
                <w:color w:val="FFFFFF"/>
                <w:sz w:val="17"/>
                <w:szCs w:val="17"/>
              </w:rPr>
              <w:t xml:space="preserve">Responsible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Workstation hardware</w:t>
            </w:r>
          </w:p>
        </w:tc>
        <w:tc>
          <w:tcPr>
            <w:tcW w:type="dxa" w:w="5800"/>
            <w:tcMar>
              <w:top w:type="dxa" w:w="80"/>
              <w:left w:type="dxa" w:w="90"/>
              <w:bottom w:type="dxa" w:w="80"/>
              <w:right w:type="dxa" w:w="90"/>
            </w:tcMar>
          </w:tcPr>
          <w:p>
            <w:pPr>
              <w:spacing w:after="0"/>
            </w:pPr>
            <w:r>
              <w:rPr>
                <w:b w:val="false"/>
                <w:bCs w:val="false"/>
                <w:color w:val="000000"/>
                <w:sz w:val="16"/>
                <w:szCs w:val="16"/>
              </w:rPr>
              <w:t xml:space="preserve">4 or more CPU cores, 8 GB or more RAM, 10 GB free disk; a display at 1440x900 or larger for browser evidence. No container runtime is needed: every service runs as a plain process.</w:t>
            </w:r>
          </w:p>
        </w:tc>
        <w:tc>
          <w:tcPr>
            <w:tcW w:type="dxa" w:w="1660"/>
            <w:tcMar>
              <w:top w:type="dxa" w:w="80"/>
              <w:left w:type="dxa" w:w="90"/>
              <w:bottom w:type="dxa" w:w="80"/>
              <w:right w:type="dxa" w:w="90"/>
            </w:tcMar>
          </w:tcPr>
          <w:p>
            <w:pPr>
              <w:spacing w:after="0"/>
            </w:pPr>
            <w:r>
              <w:rPr>
                <w:b w:val="false"/>
                <w:bCs w:val="false"/>
                <w:color w:val="000000"/>
                <w:sz w:val="16"/>
                <w:szCs w:val="16"/>
              </w:rPr>
              <w:t xml:space="preserve">Each member</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Development environment (shared)</w:t>
            </w:r>
          </w:p>
        </w:tc>
        <w:tc>
          <w:tcPr>
            <w:tcW w:type="dxa" w:w="5800"/>
            <w:tcMar>
              <w:top w:type="dxa" w:w="80"/>
              <w:left w:type="dxa" w:w="90"/>
              <w:bottom w:type="dxa" w:w="80"/>
              <w:right w:type="dxa" w:w="90"/>
            </w:tcMar>
          </w:tcPr>
          <w:p>
            <w:pPr>
              <w:spacing w:after="0"/>
            </w:pPr>
            <w:r>
              <w:rPr>
                <w:b w:val="false"/>
                <w:bCs w:val="false"/>
                <w:color w:val="000000"/>
                <w:sz w:val="16"/>
                <w:szCs w:val="16"/>
              </w:rPr>
              <w:t xml:space="preserve">Web 5174, gateway 8080, core 8081, AI service 8082, MySQL 8.4 on 3306 with database dealer_core. Started with ./start-local.sh, which also creates the database and the local accounts. Used for exploratory work and demos; test runs must not write to it.</w:t>
            </w:r>
          </w:p>
        </w:tc>
        <w:tc>
          <w:tcPr>
            <w:tcW w:type="dxa" w:w="16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Test environment (private end-to-end stack)</w:t>
            </w:r>
          </w:p>
        </w:tc>
        <w:tc>
          <w:tcPr>
            <w:tcW w:type="dxa" w:w="5800"/>
            <w:tcMar>
              <w:top w:type="dxa" w:w="80"/>
              <w:left w:type="dxa" w:w="90"/>
              <w:bottom w:type="dxa" w:w="80"/>
              <w:right w:type="dxa" w:w="90"/>
            </w:tcMar>
          </w:tcPr>
          <w:p>
            <w:pPr>
              <w:spacing w:after="0"/>
            </w:pPr>
            <w:r>
              <w:rPr>
                <w:b w:val="false"/>
                <w:bCs w:val="false"/>
                <w:color w:val="000000"/>
                <w:sz w:val="16"/>
                <w:szCs w:val="16"/>
              </w:rPr>
              <w:t xml:space="preserve">Web 5175, gateway 18080, core 18081, database dealer_core_e2e, with the shared AI service on 8082. Built from the working tree by playwright/scripts/e2e-stack.sh, which refuses to start on the shared ports or database and recreates dealer_core_e2e on every start, so each run begins with clean data. Logs in playwright/.stack/logs/.</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Cloud environment (acceptance and release)</w:t>
            </w:r>
          </w:p>
        </w:tc>
        <w:tc>
          <w:tcPr>
            <w:tcW w:type="dxa" w:w="5800"/>
            <w:tcMar>
              <w:top w:type="dxa" w:w="80"/>
              <w:left w:type="dxa" w:w="90"/>
              <w:bottom w:type="dxa" w:w="80"/>
              <w:right w:type="dxa" w:w="90"/>
            </w:tcMar>
          </w:tcPr>
          <w:p>
            <w:pPr>
              <w:spacing w:after="0"/>
            </w:pPr>
            <w:r>
              <w:rPr>
                <w:b w:val="false"/>
                <w:bCs w:val="false"/>
                <w:color w:val="000000"/>
                <w:sz w:val="16"/>
                <w:szCs w:val="16"/>
              </w:rPr>
              <w:t xml:space="preserve">Azure resource group created by Terraform: App Service plan, four Linux web apps (web, gateway, core, AI service), Azure Database for MySQL Flexible Server, Key Vault, Log Analytics and Application Insights, HTTPS only, demo at the published Azure web address. Created and updated by ./deploy/deploy.sh --apply --seed.</w:t>
            </w:r>
          </w:p>
        </w:tc>
        <w:tc>
          <w:tcPr>
            <w:tcW w:type="dxa" w:w="16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Runtime and build tools</w:t>
            </w:r>
          </w:p>
        </w:tc>
        <w:tc>
          <w:tcPr>
            <w:tcW w:type="dxa" w:w="5800"/>
            <w:tcMar>
              <w:top w:type="dxa" w:w="80"/>
              <w:left w:type="dxa" w:w="90"/>
              <w:bottom w:type="dxa" w:w="80"/>
              <w:right w:type="dxa" w:w="90"/>
            </w:tcMar>
          </w:tcPr>
          <w:p>
            <w:pPr>
              <w:spacing w:after="0"/>
            </w:pPr>
            <w:r>
              <w:rPr>
                <w:b w:val="false"/>
                <w:bCs w:val="false"/>
                <w:color w:val="000000"/>
                <w:sz w:val="16"/>
                <w:szCs w:val="16"/>
              </w:rPr>
              <w:t xml:space="preserve">.NET SDK 10 for the four projects, Node.js 20 or newer and npm for the client and the Playwright suite, MySQL 8.4 server and client, Azure CLI and Terraform for the cloud, Git for the build identifier. Versions are recorded in the execution log of each batch.</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Database management</w:t>
            </w:r>
          </w:p>
        </w:tc>
        <w:tc>
          <w:tcPr>
            <w:tcW w:type="dxa" w:w="5800"/>
            <w:tcMar>
              <w:top w:type="dxa" w:w="80"/>
              <w:left w:type="dxa" w:w="90"/>
              <w:bottom w:type="dxa" w:w="80"/>
              <w:right w:type="dxa" w:w="90"/>
            </w:tcMar>
          </w:tcPr>
          <w:p>
            <w:pPr>
              <w:spacing w:after="0"/>
            </w:pPr>
            <w:r>
              <w:rPr>
                <w:b w:val="false"/>
                <w:bCs w:val="false"/>
                <w:color w:val="000000"/>
                <w:sz w:val="16"/>
                <w:szCs w:val="16"/>
              </w:rPr>
              <w:t xml:space="preserve">Core creates the schema at start-up (EnsureCreated plus idempotent column patches); there are no migration scripts to run. The test database is recreated per stack start; the development database is reset by reloading the committed seed; the cloud database is replaced only by the deployment script, which backs up the existing rows first.</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Browser</w:t>
            </w:r>
          </w:p>
        </w:tc>
        <w:tc>
          <w:tcPr>
            <w:tcW w:type="dxa" w:w="5800"/>
            <w:tcMar>
              <w:top w:type="dxa" w:w="80"/>
              <w:left w:type="dxa" w:w="90"/>
              <w:bottom w:type="dxa" w:w="80"/>
              <w:right w:type="dxa" w:w="90"/>
            </w:tcMar>
          </w:tcPr>
          <w:p>
            <w:pPr>
              <w:spacing w:after="0"/>
            </w:pPr>
            <w:r>
              <w:rPr>
                <w:b w:val="false"/>
                <w:bCs w:val="false"/>
                <w:color w:val="000000"/>
                <w:sz w:val="16"/>
                <w:szCs w:val="16"/>
              </w:rPr>
              <w:t xml:space="preserve">Current Chromium (Playwright build) at desktop width and at phone width for the roles walk; developer tools used for network, console and storage evidence. The browser must never be pointed at core or the AI service directly.</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Network and security</w:t>
            </w:r>
          </w:p>
        </w:tc>
        <w:tc>
          <w:tcPr>
            <w:tcW w:type="dxa" w:w="5800"/>
            <w:tcMar>
              <w:top w:type="dxa" w:w="80"/>
              <w:left w:type="dxa" w:w="90"/>
              <w:bottom w:type="dxa" w:w="80"/>
              <w:right w:type="dxa" w:w="90"/>
            </w:tcMar>
          </w:tcPr>
          <w:p>
            <w:pPr>
              <w:spacing w:after="0"/>
            </w:pPr>
            <w:r>
              <w:rPr>
                <w:b w:val="false"/>
                <w:bCs w:val="false"/>
                <w:color w:val="000000"/>
                <w:sz w:val="16"/>
                <w:szCs w:val="16"/>
              </w:rPr>
              <w:t xml:space="preserve">The gateway is the only entry point for the browser; core and the AI service answer only with the X-Dealer-Internal token; CORS is limited to the configured web origins; public buyer-site routes pass without a token and inquiries carry a per-IP limit.</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Configuration and secrets</w:t>
            </w:r>
          </w:p>
        </w:tc>
        <w:tc>
          <w:tcPr>
            <w:tcW w:type="dxa" w:w="5800"/>
            <w:tcMar>
              <w:top w:type="dxa" w:w="80"/>
              <w:left w:type="dxa" w:w="90"/>
              <w:bottom w:type="dxa" w:w="80"/>
              <w:right w:type="dxa" w:w="90"/>
            </w:tcMar>
          </w:tcPr>
          <w:p>
            <w:pPr>
              <w:spacing w:after="0"/>
            </w:pPr>
            <w:r>
              <w:rPr>
                <w:b w:val="false"/>
                <w:bCs w:val="false"/>
                <w:color w:val="000000"/>
                <w:sz w:val="16"/>
                <w:szCs w:val="16"/>
              </w:rPr>
              <w:t xml:space="preserve">Database connection, JWT signing key, internal token, AI provider key, administrator seed credentials and service URLs come from environment variables locally and from Key Vault references in the cloud. Nothing is hardcoded, committed, pasted into the workbook or shown unmasked in evidence.</w:t>
            </w:r>
          </w:p>
        </w:tc>
        <w:tc>
          <w:tcPr>
            <w:tcW w:type="dxa" w:w="16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Build and version control</w:t>
            </w:r>
          </w:p>
        </w:tc>
        <w:tc>
          <w:tcPr>
            <w:tcW w:type="dxa" w:w="5800"/>
            <w:tcMar>
              <w:top w:type="dxa" w:w="80"/>
              <w:left w:type="dxa" w:w="90"/>
              <w:bottom w:type="dxa" w:w="80"/>
              <w:right w:type="dxa" w:w="90"/>
            </w:tcMar>
          </w:tcPr>
          <w:p>
            <w:pPr>
              <w:spacing w:after="0"/>
            </w:pPr>
            <w:r>
              <w:rPr>
                <w:b w:val="false"/>
                <w:bCs w:val="false"/>
                <w:color w:val="000000"/>
                <w:sz w:val="16"/>
                <w:szCs w:val="16"/>
              </w:rPr>
              <w:t xml:space="preserve">Every execution batch records the Git commit, the .NET, Node and MySQL versions, the service ports, the browser version and the data set used. The deployment script refuses to publish from an unclean or unpushed checkout, so the cloud build always matches a commit.</w:t>
            </w:r>
          </w:p>
        </w:tc>
        <w:tc>
          <w:tcPr>
            <w:tcW w:type="dxa" w:w="16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Observability</w:t>
            </w:r>
          </w:p>
        </w:tc>
        <w:tc>
          <w:tcPr>
            <w:tcW w:type="dxa" w:w="5800"/>
            <w:tcMar>
              <w:top w:type="dxa" w:w="80"/>
              <w:left w:type="dxa" w:w="90"/>
              <w:bottom w:type="dxa" w:w="80"/>
              <w:right w:type="dxa" w:w="90"/>
            </w:tcMar>
          </w:tcPr>
          <w:p>
            <w:pPr>
              <w:spacing w:after="0"/>
            </w:pPr>
            <w:r>
              <w:rPr>
                <w:b w:val="false"/>
                <w:bCs w:val="false"/>
                <w:color w:val="000000"/>
                <w:sz w:val="16"/>
                <w:szCs w:val="16"/>
              </w:rPr>
              <w:t xml:space="preserve">Service logs under log-sum/&lt;service&gt;-&lt;date&gt;.log locally and in .stack/logs/ for the test stack; Application Insights and Log Analytics in the cloud; /actuator/health for readiness and /actuator/release for the build times of all four applications.</w:t>
            </w:r>
          </w:p>
        </w:tc>
        <w:tc>
          <w:tcPr>
            <w:tcW w:type="dxa" w:w="16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1900"/>
            <w:tcMar>
              <w:top w:type="dxa" w:w="80"/>
              <w:left w:type="dxa" w:w="90"/>
              <w:bottom w:type="dxa" w:w="80"/>
              <w:right w:type="dxa" w:w="90"/>
            </w:tcMar>
          </w:tcPr>
          <w:p>
            <w:pPr>
              <w:spacing w:after="0"/>
            </w:pPr>
            <w:r>
              <w:rPr>
                <w:b w:val="false"/>
                <w:bCs w:val="false"/>
                <w:color w:val="000000"/>
                <w:sz w:val="16"/>
                <w:szCs w:val="16"/>
              </w:rPr>
              <w:t xml:space="preserve">Backup, reset and restore</w:t>
            </w:r>
          </w:p>
        </w:tc>
        <w:tc>
          <w:tcPr>
            <w:tcW w:type="dxa" w:w="5800"/>
            <w:tcMar>
              <w:top w:type="dxa" w:w="80"/>
              <w:left w:type="dxa" w:w="90"/>
              <w:bottom w:type="dxa" w:w="80"/>
              <w:right w:type="dxa" w:w="90"/>
            </w:tcMar>
          </w:tcPr>
          <w:p>
            <w:pPr>
              <w:spacing w:after="0"/>
            </w:pPr>
            <w:r>
              <w:rPr>
                <w:b w:val="false"/>
                <w:bCs w:val="false"/>
                <w:color w:val="000000"/>
                <w:sz w:val="16"/>
                <w:szCs w:val="16"/>
              </w:rPr>
              <w:t xml:space="preserve">Before destructive cases, record the seed identifiers; restore by recreating the test database or re-running the seed loader; in the cloud, deployment writes a timestamped backup before replacing rows and that file is the documented rollback path (DEP-06).</w:t>
            </w:r>
          </w:p>
        </w:tc>
        <w:tc>
          <w:tcPr>
            <w:tcW w:type="dxa" w:w="1660"/>
            <w:tcMar>
              <w:top w:type="dxa" w:w="80"/>
              <w:left w:type="dxa" w:w="90"/>
              <w:bottom w:type="dxa" w:w="80"/>
              <w:right w:type="dxa" w:w="90"/>
            </w:tcMar>
          </w:tcPr>
          <w:p>
            <w:pPr>
              <w:spacing w:after="0"/>
            </w:pPr>
            <w:r>
              <w:rPr>
                <w:b w:val="false"/>
                <w:bCs w:val="false"/>
                <w:color w:val="000000"/>
                <w:sz w:val="16"/>
                <w:szCs w:val="16"/>
              </w:rPr>
              <w:t xml:space="preserve">Daniel Watson</w:t>
            </w:r>
          </w:p>
        </w:tc>
      </w:tr>
    </w:tbl>
    <w:p>
      <w:pPr>
        <w:pStyle w:val="Heading1"/>
        <w:spacing w:after="100" w:before="220"/>
      </w:pPr>
      <w:r>
        <w:rPr>
          <w:b/>
          <w:bCs/>
          <w:color w:val="1F4E78"/>
          <w:sz w:val="26"/>
          <w:szCs w:val="26"/>
        </w:rPr>
        <w:t xml:space="preserve">11A. Sources of test data</w:t>
      </w:r>
    </w:p>
    <w:p>
      <w:pPr>
        <w:spacing w:after="100" w:line="276"/>
      </w:pPr>
      <w:r>
        <w:rPr>
          <w:sz w:val="21"/>
          <w:szCs w:val="21"/>
        </w:rPr>
        <w:t xml:space="preserve">Test data is a first-class deliverable of this plan: an incorrect, missing or production-sourced data set would invalidate every result above it. This section states where each category of data comes from, how it is generated, how privacy is protected, how it is set up and reset, and which cases consume it.</w:t>
      </w:r>
    </w:p>
    <w:p>
      <w:pPr>
        <w:pStyle w:val="Heading2"/>
        <w:spacing w:after="100" w:before="220"/>
      </w:pPr>
      <w:r>
        <w:rPr>
          <w:b/>
          <w:bCs/>
          <w:color w:val="1F4E78"/>
          <w:sz w:val="23"/>
          <w:szCs w:val="23"/>
        </w:rPr>
        <w:t xml:space="preserve">11A.1 Data strategy and rules</w:t>
      </w:r>
    </w:p>
    <w:p>
      <w:pPr>
        <w:pStyle w:val="ListParagraph"/>
        <w:numPr>
          <w:ilvl w:val="0"/>
          <w:numId w:val="1"/>
        </w:numPr>
        <w:spacing w:after="60"/>
      </w:pPr>
      <w:r>
        <w:rPr>
          <w:sz w:val="20"/>
          <w:szCs w:val="20"/>
        </w:rPr>
        <w:t xml:space="preserve">Synthetic-only rule: no real customer, dealer or employee data enters any test input, screenshot, log or evidence file. Dealership and customer records are generated; customer telephone numbers use the reserved fictional 555-01xx range and e-mail addresses use reserved example domains. If real data is ever discovered in evidence, the artefact is quarantined, deleted and regenerated (AT-08).</w:t>
      </w:r>
    </w:p>
    <w:p>
      <w:pPr>
        <w:pStyle w:val="ListParagraph"/>
        <w:numPr>
          <w:ilvl w:val="0"/>
          <w:numId w:val="1"/>
        </w:numPr>
        <w:spacing w:after="60"/>
      </w:pPr>
      <w:r>
        <w:rPr>
          <w:sz w:val="20"/>
          <w:szCs w:val="20"/>
        </w:rPr>
        <w:t xml:space="preserve">Deterministic rule: every data set is reproducible. The seed is generated by committed Python generators into committed JSON contract files and SQL files, so re-running the loader reproduces the same dealerships, vehicles, customers, listings, leads, work orders and audit rows. No case depends on a row typed in by hand that cannot be rebuilt.</w:t>
      </w:r>
    </w:p>
    <w:p>
      <w:pPr>
        <w:pStyle w:val="ListParagraph"/>
        <w:numPr>
          <w:ilvl w:val="0"/>
          <w:numId w:val="1"/>
        </w:numPr>
        <w:spacing w:after="60"/>
      </w:pPr>
      <w:r>
        <w:rPr>
          <w:sz w:val="20"/>
          <w:szCs w:val="20"/>
        </w:rPr>
        <w:t xml:space="preserve">Isolation rule: the private end-to-end stack recreates its own database on every start, so a destructive case cannot affect the shared development data or another case. Cases that must share state name the predecessor case in their pre-conditions.</w:t>
      </w:r>
    </w:p>
    <w:p>
      <w:pPr>
        <w:pStyle w:val="ListParagraph"/>
        <w:numPr>
          <w:ilvl w:val="0"/>
          <w:numId w:val="1"/>
        </w:numPr>
        <w:spacing w:after="60"/>
      </w:pPr>
      <w:r>
        <w:rPr>
          <w:sz w:val="20"/>
          <w:szCs w:val="20"/>
        </w:rPr>
        <w:t xml:space="preserve">Boundary rule: every category includes at least one valid value, one invalid value and one boundary value, so both the acceptance and the rejection path are exercised (for example a 2 MB photo and a 3 MB photo, a 17-character VIN and a 16-character VIN, a payment at the balance and one above it).</w:t>
      </w:r>
    </w:p>
    <w:p>
      <w:pPr>
        <w:pStyle w:val="ListParagraph"/>
        <w:numPr>
          <w:ilvl w:val="0"/>
          <w:numId w:val="1"/>
        </w:numPr>
        <w:spacing w:after="60"/>
      </w:pPr>
      <w:r>
        <w:rPr>
          <w:sz w:val="20"/>
          <w:szCs w:val="20"/>
        </w:rPr>
        <w:t xml:space="preserve">No-secret rule: keys, tokens, connection strings and passwords are configuration, not test data. They are supplied by environment variables locally and by Key Vault in the cloud, and evidence shows masked values only.</w:t>
      </w:r>
    </w:p>
    <w:p>
      <w:pPr>
        <w:pStyle w:val="ListParagraph"/>
        <w:numPr>
          <w:ilvl w:val="0"/>
          <w:numId w:val="1"/>
        </w:numPr>
        <w:spacing w:after="60"/>
      </w:pPr>
      <w:r>
        <w:rPr>
          <w:sz w:val="20"/>
          <w:szCs w:val="20"/>
        </w:rPr>
        <w:t xml:space="preserve">Realism rule: where realistic data makes a test meaningful, it comes from a public source rather than invention. Vehicle facts (VIN, year, trim, mileage, colour, asking price) come from a snapshot of real public Ontario used-vehicle listings, and vehicle photographs are freely licensed Wikimedia Commons images of the same make and model. Photographs from the source listings are never loaded, because they carry other dealerships’ branding.</w:t>
      </w:r>
    </w:p>
    <w:p>
      <w:pPr>
        <w:pStyle w:val="Heading2"/>
        <w:spacing w:after="100" w:before="220"/>
      </w:pPr>
      <w:r>
        <w:rPr>
          <w:b/>
          <w:bCs/>
          <w:color w:val="1F4E78"/>
          <w:sz w:val="23"/>
          <w:szCs w:val="23"/>
        </w:rPr>
        <w:t xml:space="preserve">11A.2 Data source inventory</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gridCol w:w="100"/>
      </w:tblGrid>
      <w:tr>
        <w:tc>
          <w:tcPr>
            <w:tcW w:type="dxa" w:w="1600"/>
            <w:shd w:fill="1F4E78" w:val="clear"/>
            <w:tcMar>
              <w:top w:type="dxa" w:w="80"/>
              <w:left w:type="dxa" w:w="90"/>
              <w:bottom w:type="dxa" w:w="80"/>
              <w:right w:type="dxa" w:w="90"/>
            </w:tcMar>
          </w:tcPr>
          <w:p>
            <w:pPr>
              <w:spacing w:after="0"/>
            </w:pPr>
            <w:r>
              <w:rPr>
                <w:b/>
                <w:bCs/>
                <w:color w:val="FFFFFF"/>
                <w:sz w:val="17"/>
                <w:szCs w:val="17"/>
              </w:rPr>
              <w:t xml:space="preserve">Data category</w:t>
            </w:r>
          </w:p>
        </w:tc>
        <w:tc>
          <w:tcPr>
            <w:tcW w:type="dxa" w:w="1700"/>
            <w:shd w:fill="1F4E78" w:val="clear"/>
            <w:tcMar>
              <w:top w:type="dxa" w:w="80"/>
              <w:left w:type="dxa" w:w="90"/>
              <w:bottom w:type="dxa" w:w="80"/>
              <w:right w:type="dxa" w:w="90"/>
            </w:tcMar>
          </w:tcPr>
          <w:p>
            <w:pPr>
              <w:spacing w:after="0"/>
            </w:pPr>
            <w:r>
              <w:rPr>
                <w:b/>
                <w:bCs/>
                <w:color w:val="FFFFFF"/>
                <w:sz w:val="17"/>
                <w:szCs w:val="17"/>
              </w:rPr>
              <w:t xml:space="preserve">Source</w:t>
            </w:r>
          </w:p>
        </w:tc>
        <w:tc>
          <w:tcPr>
            <w:tcW w:type="dxa" w:w="2100"/>
            <w:shd w:fill="1F4E78" w:val="clear"/>
            <w:tcMar>
              <w:top w:type="dxa" w:w="80"/>
              <w:left w:type="dxa" w:w="90"/>
              <w:bottom w:type="dxa" w:w="80"/>
              <w:right w:type="dxa" w:w="90"/>
            </w:tcMar>
          </w:tcPr>
          <w:p>
            <w:pPr>
              <w:spacing w:after="0"/>
            </w:pPr>
            <w:r>
              <w:rPr>
                <w:b/>
                <w:bCs/>
                <w:color w:val="FFFFFF"/>
                <w:sz w:val="17"/>
                <w:szCs w:val="17"/>
              </w:rPr>
              <w:t xml:space="preserve">Generation method</w:t>
            </w:r>
          </w:p>
        </w:tc>
        <w:tc>
          <w:tcPr>
            <w:tcW w:type="dxa" w:w="1700"/>
            <w:shd w:fill="1F4E78" w:val="clear"/>
            <w:tcMar>
              <w:top w:type="dxa" w:w="80"/>
              <w:left w:type="dxa" w:w="90"/>
              <w:bottom w:type="dxa" w:w="80"/>
              <w:right w:type="dxa" w:w="90"/>
            </w:tcMar>
          </w:tcPr>
          <w:p>
            <w:pPr>
              <w:spacing w:after="0"/>
            </w:pPr>
            <w:r>
              <w:rPr>
                <w:b/>
                <w:bCs/>
                <w:color w:val="FFFFFF"/>
                <w:sz w:val="17"/>
                <w:szCs w:val="17"/>
              </w:rPr>
              <w:t xml:space="preserve">Privacy handling</w:t>
            </w:r>
          </w:p>
        </w:tc>
        <w:tc>
          <w:tcPr>
            <w:tcW w:type="dxa" w:w="1300"/>
            <w:shd w:fill="1F4E78" w:val="clear"/>
            <w:tcMar>
              <w:top w:type="dxa" w:w="80"/>
              <w:left w:type="dxa" w:w="90"/>
              <w:bottom w:type="dxa" w:w="80"/>
              <w:right w:type="dxa" w:w="90"/>
            </w:tcMar>
          </w:tcPr>
          <w:p>
            <w:pPr>
              <w:spacing w:after="0"/>
            </w:pPr>
            <w:r>
              <w:rPr>
                <w:b/>
                <w:bCs/>
                <w:color w:val="FFFFFF"/>
                <w:sz w:val="17"/>
                <w:szCs w:val="17"/>
              </w:rPr>
              <w:t xml:space="preserve">Setup and reset</w:t>
            </w:r>
          </w:p>
        </w:tc>
        <w:tc>
          <w:tcPr>
            <w:tcW w:type="dxa" w:w="960"/>
            <w:shd w:fill="1F4E78" w:val="clear"/>
            <w:tcMar>
              <w:top w:type="dxa" w:w="80"/>
              <w:left w:type="dxa" w:w="90"/>
              <w:bottom w:type="dxa" w:w="80"/>
              <w:right w:type="dxa" w:w="90"/>
            </w:tcMar>
          </w:tcPr>
          <w:p>
            <w:pPr>
              <w:spacing w:after="0"/>
            </w:pPr>
            <w:r>
              <w:rPr>
                <w:b/>
                <w:bCs/>
                <w:color w:val="FFFFFF"/>
                <w:sz w:val="17"/>
                <w:szCs w:val="17"/>
              </w:rPr>
              <w:t xml:space="preserve">Consumed by</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Dealerships (30, D01 to D30)</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dealer-platform/seed/contract/dealers.json, generated by scripts/gen_contract.py</w:t>
            </w:r>
          </w:p>
        </w:tc>
        <w:tc>
          <w:tcPr>
            <w:tcW w:type="dxa" w:w="2100"/>
            <w:tcMar>
              <w:top w:type="dxa" w:w="80"/>
              <w:left w:type="dxa" w:w="90"/>
              <w:bottom w:type="dxa" w:w="80"/>
              <w:right w:type="dxa" w:w="90"/>
            </w:tcMar>
          </w:tcPr>
          <w:p>
            <w:pPr>
              <w:spacing w:after="0"/>
            </w:pPr>
            <w:r>
              <w:rPr>
                <w:b w:val="false"/>
                <w:bCs w:val="false"/>
                <w:color w:val="000000"/>
                <w:sz w:val="16"/>
                <w:szCs w:val="16"/>
              </w:rPr>
              <w:t xml:space="preserve">Deterministic generator writes the contract file; sql/01_dealers_users.sql loads dealer rows resolved by natural key (contact e-mail), never by auto-increment id</w:t>
            </w:r>
          </w:p>
        </w:tc>
        <w:tc>
          <w:tcPr>
            <w:tcW w:type="dxa" w:w="1700"/>
            <w:tcMar>
              <w:top w:type="dxa" w:w="80"/>
              <w:left w:type="dxa" w:w="90"/>
              <w:bottom w:type="dxa" w:w="80"/>
              <w:right w:type="dxa" w:w="90"/>
            </w:tcMar>
          </w:tcPr>
          <w:p>
            <w:pPr>
              <w:spacing w:after="0"/>
            </w:pPr>
            <w:r>
              <w:rPr>
                <w:b w:val="false"/>
                <w:bCs w:val="false"/>
                <w:color w:val="000000"/>
                <w:sz w:val="16"/>
                <w:szCs w:val="16"/>
              </w:rPr>
              <w:t xml:space="preserve">Fictitious legal names, addresses and contact details; no real dealership identity</w:t>
            </w:r>
          </w:p>
        </w:tc>
        <w:tc>
          <w:tcPr>
            <w:tcW w:type="dxa" w:w="1300"/>
            <w:tcMar>
              <w:top w:type="dxa" w:w="80"/>
              <w:left w:type="dxa" w:w="90"/>
              <w:bottom w:type="dxa" w:w="80"/>
              <w:right w:type="dxa" w:w="90"/>
            </w:tcMar>
          </w:tcPr>
          <w:p>
            <w:pPr>
              <w:spacing w:after="0"/>
            </w:pPr>
            <w:r>
              <w:rPr>
                <w:b w:val="false"/>
                <w:bCs w:val="false"/>
                <w:color w:val="000000"/>
                <w:sz w:val="16"/>
                <w:szCs w:val="16"/>
              </w:rPr>
              <w:t xml:space="preserve">Loaded by scripts/load-seed.sh; --reset removes only the 30 seed dealerships and everything they own</w:t>
            </w:r>
          </w:p>
        </w:tc>
        <w:tc>
          <w:tcPr>
            <w:tcW w:type="dxa" w:w="960"/>
            <w:tcMar>
              <w:top w:type="dxa" w:w="80"/>
              <w:left w:type="dxa" w:w="90"/>
              <w:bottom w:type="dxa" w:w="80"/>
              <w:right w:type="dxa" w:w="90"/>
            </w:tcMar>
          </w:tcPr>
          <w:p>
            <w:pPr>
              <w:spacing w:after="0"/>
            </w:pPr>
            <w:r>
              <w:rPr>
                <w:b w:val="false"/>
                <w:bCs w:val="false"/>
                <w:color w:val="000000"/>
                <w:sz w:val="16"/>
                <w:szCs w:val="16"/>
              </w:rPr>
              <w:t xml:space="preserve">IT-07, IT-08, IT-09, SYS-02, SYS-09, AT-01, AT-02, DEP-03</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Staff and administrator accounts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Same contract file (two staff per dealership) plus the platform administrator seeded from ADMIN_USERNAME and ADMIN_PASSWORD on first start</w:t>
            </w:r>
          </w:p>
        </w:tc>
        <w:tc>
          <w:tcPr>
            <w:tcW w:type="dxa" w:w="2100"/>
            <w:tcMar>
              <w:top w:type="dxa" w:w="80"/>
              <w:left w:type="dxa" w:w="90"/>
              <w:bottom w:type="dxa" w:w="80"/>
              <w:right w:type="dxa" w:w="90"/>
            </w:tcMar>
          </w:tcPr>
          <w:p>
            <w:pPr>
              <w:spacing w:after="0"/>
            </w:pPr>
            <w:r>
              <w:rPr>
                <w:b w:val="false"/>
                <w:bCs w:val="false"/>
                <w:color w:val="000000"/>
                <w:sz w:val="16"/>
                <w:szCs w:val="16"/>
              </w:rPr>
              <w:t xml:space="preserve">Deterministic usernames and display names; one shared BCrypt hash for all seed accounts; the plaintext demo password is handed over out of band and is never committed</w:t>
            </w:r>
          </w:p>
        </w:tc>
        <w:tc>
          <w:tcPr>
            <w:tcW w:type="dxa" w:w="1700"/>
            <w:tcMar>
              <w:top w:type="dxa" w:w="80"/>
              <w:left w:type="dxa" w:w="90"/>
              <w:bottom w:type="dxa" w:w="80"/>
              <w:right w:type="dxa" w:w="90"/>
            </w:tcMar>
          </w:tcPr>
          <w:p>
            <w:pPr>
              <w:spacing w:after="0"/>
            </w:pPr>
            <w:r>
              <w:rPr>
                <w:b w:val="false"/>
                <w:bCs w:val="false"/>
                <w:color w:val="000000"/>
                <w:sz w:val="16"/>
                <w:szCs w:val="16"/>
              </w:rPr>
              <w:t xml:space="preserve">Synthetic usernames and reserved example e-mail domains; passwords never appear in the workbook or evidence</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Reseeded with the dealerships; the administrator password comes from the environment and is rotated for the cloud demo</w:t>
            </w:r>
          </w:p>
        </w:tc>
        <w:tc>
          <w:tcPr>
            <w:tcW w:type="dxa" w:w="960"/>
            <w:tcMar>
              <w:top w:type="dxa" w:w="80"/>
              <w:left w:type="dxa" w:w="90"/>
              <w:bottom w:type="dxa" w:w="80"/>
              <w:right w:type="dxa" w:w="90"/>
            </w:tcMar>
          </w:tcPr>
          <w:p>
            <w:pPr>
              <w:spacing w:after="0"/>
            </w:pPr>
            <w:r>
              <w:rPr>
                <w:b w:val="false"/>
                <w:bCs w:val="false"/>
                <w:color w:val="000000"/>
                <w:sz w:val="16"/>
                <w:szCs w:val="16"/>
              </w:rPr>
              <w:t xml:space="preserve">IT-01 to IT-06, IT-20, IT-22, SYS-01, SYS-10, AT-01</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JWT tokens</w:t>
            </w:r>
          </w:p>
        </w:tc>
        <w:tc>
          <w:tcPr>
            <w:tcW w:type="dxa" w:w="1700"/>
            <w:tcMar>
              <w:top w:type="dxa" w:w="80"/>
              <w:left w:type="dxa" w:w="90"/>
              <w:bottom w:type="dxa" w:w="80"/>
              <w:right w:type="dxa" w:w="90"/>
            </w:tcMar>
          </w:tcPr>
          <w:p>
            <w:pPr>
              <w:spacing w:after="0"/>
            </w:pPr>
            <w:r>
              <w:rPr>
                <w:b w:val="false"/>
                <w:bCs w:val="false"/>
                <w:color w:val="000000"/>
                <w:sz w:val="16"/>
                <w:szCs w:val="16"/>
              </w:rPr>
              <w:t xml:space="preserve">Issued by the running core at test time</w:t>
            </w:r>
          </w:p>
        </w:tc>
        <w:tc>
          <w:tcPr>
            <w:tcW w:type="dxa" w:w="2100"/>
            <w:tcMar>
              <w:top w:type="dxa" w:w="80"/>
              <w:left w:type="dxa" w:w="90"/>
              <w:bottom w:type="dxa" w:w="80"/>
              <w:right w:type="dxa" w:w="90"/>
            </w:tcMar>
          </w:tcPr>
          <w:p>
            <w:pPr>
              <w:spacing w:after="0"/>
            </w:pPr>
            <w:r>
              <w:rPr>
                <w:b w:val="false"/>
                <w:bCs w:val="false"/>
                <w:color w:val="000000"/>
                <w:sz w:val="16"/>
                <w:szCs w:val="16"/>
              </w:rPr>
              <w:t xml:space="preserve">Sign in with seed credentials through the gateway; short-lived tokens for the expiry case; an altered signature for the tamper case</w:t>
            </w:r>
          </w:p>
        </w:tc>
        <w:tc>
          <w:tcPr>
            <w:tcW w:type="dxa" w:w="1700"/>
            <w:tcMar>
              <w:top w:type="dxa" w:w="80"/>
              <w:left w:type="dxa" w:w="90"/>
              <w:bottom w:type="dxa" w:w="80"/>
              <w:right w:type="dxa" w:w="90"/>
            </w:tcMar>
          </w:tcPr>
          <w:p>
            <w:pPr>
              <w:spacing w:after="0"/>
            </w:pPr>
            <w:r>
              <w:rPr>
                <w:b w:val="false"/>
                <w:bCs w:val="false"/>
                <w:color w:val="000000"/>
                <w:sz w:val="16"/>
                <w:szCs w:val="16"/>
              </w:rPr>
              <w:t xml:space="preserve">Claims carry the username and role only; tokens are masked in evidence</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Reissued for every batch; expired and altered tokens are produced on demand</w:t>
            </w:r>
          </w:p>
        </w:tc>
        <w:tc>
          <w:tcPr>
            <w:tcW w:type="dxa" w:w="960"/>
            <w:tcMar>
              <w:top w:type="dxa" w:w="80"/>
              <w:left w:type="dxa" w:w="90"/>
              <w:bottom w:type="dxa" w:w="80"/>
              <w:right w:type="dxa" w:w="90"/>
            </w:tcMar>
          </w:tcPr>
          <w:p>
            <w:pPr>
              <w:spacing w:after="0"/>
            </w:pPr>
            <w:r>
              <w:rPr>
                <w:b w:val="false"/>
                <w:bCs w:val="false"/>
                <w:color w:val="000000"/>
                <w:sz w:val="16"/>
                <w:szCs w:val="16"/>
              </w:rPr>
              <w:t xml:space="preserve">IT-01 to IT-08, SYS-12</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Vehicles (120 across the dealerships)</w:t>
            </w:r>
          </w:p>
        </w:tc>
        <w:tc>
          <w:tcPr>
            <w:tcW w:type="dxa" w:w="1700"/>
            <w:tcMar>
              <w:top w:type="dxa" w:w="80"/>
              <w:left w:type="dxa" w:w="90"/>
              <w:bottom w:type="dxa" w:w="80"/>
              <w:right w:type="dxa" w:w="90"/>
            </w:tcMar>
          </w:tcPr>
          <w:p>
            <w:pPr>
              <w:spacing w:after="0"/>
            </w:pPr>
            <w:r>
              <w:rPr>
                <w:b w:val="false"/>
                <w:bCs w:val="false"/>
                <w:color w:val="000000"/>
                <w:sz w:val="16"/>
                <w:szCs w:val="16"/>
              </w:rPr>
              <w:t xml:space="preserve">contract/vehicles-plan.json, derived from contract/kijiji-snapshot.json (real public Ontario listings fetched by scripts/fetch_kijiji.py)</w:t>
            </w:r>
          </w:p>
        </w:tc>
        <w:tc>
          <w:tcPr>
            <w:tcW w:type="dxa" w:w="2100"/>
            <w:tcMar>
              <w:top w:type="dxa" w:w="80"/>
              <w:left w:type="dxa" w:w="90"/>
              <w:bottom w:type="dxa" w:w="80"/>
              <w:right w:type="dxa" w:w="90"/>
            </w:tcMar>
          </w:tcPr>
          <w:p>
            <w:pPr>
              <w:spacing w:after="0"/>
            </w:pPr>
            <w:r>
              <w:rPr>
                <w:b w:val="false"/>
                <w:bCs w:val="false"/>
                <w:color w:val="000000"/>
                <w:sz w:val="16"/>
                <w:szCs w:val="16"/>
              </w:rPr>
              <w:t xml:space="preserve">Real VIN, year, trim, mileage, colour and asking price; purchase cost and sale price derived from the asking price; source, condition, status and dates generated so that sold vehicles carry both a sold date and a sold price</w:t>
            </w:r>
          </w:p>
        </w:tc>
        <w:tc>
          <w:tcPr>
            <w:tcW w:type="dxa" w:w="1700"/>
            <w:tcMar>
              <w:top w:type="dxa" w:w="80"/>
              <w:left w:type="dxa" w:w="90"/>
              <w:bottom w:type="dxa" w:w="80"/>
              <w:right w:type="dxa" w:w="90"/>
            </w:tcMar>
          </w:tcPr>
          <w:p>
            <w:pPr>
              <w:spacing w:after="0"/>
            </w:pPr>
            <w:r>
              <w:rPr>
                <w:b w:val="false"/>
                <w:bCs w:val="false"/>
                <w:color w:val="000000"/>
                <w:sz w:val="16"/>
                <w:szCs w:val="16"/>
              </w:rPr>
              <w:t xml:space="preserve">Vehicle facts are public listing data and carry no personal information; the source listings’ own photographs are never loaded</w:t>
            </w:r>
          </w:p>
        </w:tc>
        <w:tc>
          <w:tcPr>
            <w:tcW w:type="dxa" w:w="1300"/>
            <w:tcMar>
              <w:top w:type="dxa" w:w="80"/>
              <w:left w:type="dxa" w:w="90"/>
              <w:bottom w:type="dxa" w:w="80"/>
              <w:right w:type="dxa" w:w="90"/>
            </w:tcMar>
          </w:tcPr>
          <w:p>
            <w:pPr>
              <w:spacing w:after="0"/>
            </w:pPr>
            <w:r>
              <w:rPr>
                <w:b w:val="false"/>
                <w:bCs w:val="false"/>
                <w:color w:val="000000"/>
                <w:sz w:val="16"/>
                <w:szCs w:val="16"/>
              </w:rPr>
              <w:t xml:space="preserve">sql/02_vehicles.sql; reset by reloading the seed or recreating the test database</w:t>
            </w:r>
          </w:p>
        </w:tc>
        <w:tc>
          <w:tcPr>
            <w:tcW w:type="dxa" w:w="960"/>
            <w:tcMar>
              <w:top w:type="dxa" w:w="80"/>
              <w:left w:type="dxa" w:w="90"/>
              <w:bottom w:type="dxa" w:w="80"/>
              <w:right w:type="dxa" w:w="90"/>
            </w:tcMar>
          </w:tcPr>
          <w:p>
            <w:pPr>
              <w:spacing w:after="0"/>
            </w:pPr>
            <w:r>
              <w:rPr>
                <w:b w:val="false"/>
                <w:bCs w:val="false"/>
                <w:color w:val="000000"/>
                <w:sz w:val="16"/>
                <w:szCs w:val="16"/>
              </w:rPr>
              <w:t xml:space="preserve">UT-01 to UT-03, IT-09 to IT-11, IT-19, IT-24, SYS-03, SYS-07, AT-02</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Invalid and boundary vehicle data</w:t>
            </w:r>
          </w:p>
        </w:tc>
        <w:tc>
          <w:tcPr>
            <w:tcW w:type="dxa" w:w="1700"/>
            <w:tcMar>
              <w:top w:type="dxa" w:w="80"/>
              <w:left w:type="dxa" w:w="90"/>
              <w:bottom w:type="dxa" w:w="80"/>
              <w:right w:type="dxa" w:w="90"/>
            </w:tcMar>
          </w:tcPr>
          <w:p>
            <w:pPr>
              <w:spacing w:after="0"/>
            </w:pPr>
            <w:r>
              <w:rPr>
                <w:b w:val="false"/>
                <w:bCs w:val="false"/>
                <w:color w:val="000000"/>
                <w:sz w:val="16"/>
                <w:szCs w:val="16"/>
              </w:rPr>
              <w:t xml:space="preserve">Hand-written fixtures listed in the case steps</w:t>
            </w:r>
          </w:p>
        </w:tc>
        <w:tc>
          <w:tcPr>
            <w:tcW w:type="dxa" w:w="2100"/>
            <w:tcMar>
              <w:top w:type="dxa" w:w="80"/>
              <w:left w:type="dxa" w:w="90"/>
              <w:bottom w:type="dxa" w:w="80"/>
              <w:right w:type="dxa" w:w="90"/>
            </w:tcMar>
          </w:tcPr>
          <w:p>
            <w:pPr>
              <w:spacing w:after="0"/>
            </w:pPr>
            <w:r>
              <w:rPr>
                <w:b w:val="false"/>
                <w:bCs w:val="false"/>
                <w:color w:val="000000"/>
                <w:sz w:val="16"/>
                <w:szCs w:val="16"/>
              </w:rPr>
              <w:t xml:space="preserve">A 16-character VIN, VINs containing I, O and Q, money with three decimals, a negative amount, a duplicate VIN inside one dealership and the same VIN in another, a duplicate stock number</w:t>
            </w:r>
          </w:p>
        </w:tc>
        <w:tc>
          <w:tcPr>
            <w:tcW w:type="dxa" w:w="1700"/>
            <w:tcMar>
              <w:top w:type="dxa" w:w="80"/>
              <w:left w:type="dxa" w:w="90"/>
              <w:bottom w:type="dxa" w:w="80"/>
              <w:right w:type="dxa" w:w="90"/>
            </w:tcMar>
          </w:tcPr>
          <w:p>
            <w:pPr>
              <w:spacing w:after="0"/>
            </w:pPr>
            <w:r>
              <w:rPr>
                <w:b w:val="false"/>
                <w:bCs w:val="false"/>
                <w:color w:val="000000"/>
                <w:sz w:val="16"/>
                <w:szCs w:val="16"/>
              </w:rPr>
              <w:t xml:space="preserve">No personal data involved</w:t>
            </w:r>
          </w:p>
        </w:tc>
        <w:tc>
          <w:tcPr>
            <w:tcW w:type="dxa" w:w="1300"/>
            <w:tcMar>
              <w:top w:type="dxa" w:w="80"/>
              <w:left w:type="dxa" w:w="90"/>
              <w:bottom w:type="dxa" w:w="80"/>
              <w:right w:type="dxa" w:w="90"/>
            </w:tcMar>
          </w:tcPr>
          <w:p>
            <w:pPr>
              <w:spacing w:after="0"/>
            </w:pPr>
            <w:r>
              <w:rPr>
                <w:b w:val="false"/>
                <w:bCs w:val="false"/>
                <w:color w:val="000000"/>
                <w:sz w:val="16"/>
                <w:szCs w:val="16"/>
              </w:rPr>
              <w:t xml:space="preserve">Produced at run time by the case itself</w:t>
            </w:r>
          </w:p>
        </w:tc>
        <w:tc>
          <w:tcPr>
            <w:tcW w:type="dxa" w:w="960"/>
            <w:tcMar>
              <w:top w:type="dxa" w:w="80"/>
              <w:left w:type="dxa" w:w="90"/>
              <w:bottom w:type="dxa" w:w="80"/>
              <w:right w:type="dxa" w:w="90"/>
            </w:tcMar>
          </w:tcPr>
          <w:p>
            <w:pPr>
              <w:spacing w:after="0"/>
            </w:pPr>
            <w:r>
              <w:rPr>
                <w:b w:val="false"/>
                <w:bCs w:val="false"/>
                <w:color w:val="000000"/>
                <w:sz w:val="16"/>
                <w:szCs w:val="16"/>
              </w:rPr>
              <w:t xml:space="preserve">UT-01, UT-02, IT-09, IT-26</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Vehicle photographs</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dealer-platform/seed/images plus scripts/load_photos.py</w:t>
            </w:r>
          </w:p>
        </w:tc>
        <w:tc>
          <w:tcPr>
            <w:tcW w:type="dxa" w:w="2100"/>
            <w:tcMar>
              <w:top w:type="dxa" w:w="80"/>
              <w:left w:type="dxa" w:w="90"/>
              <w:bottom w:type="dxa" w:w="80"/>
              <w:right w:type="dxa" w:w="90"/>
            </w:tcMar>
          </w:tcPr>
          <w:p>
            <w:pPr>
              <w:spacing w:after="0"/>
            </w:pPr>
            <w:r>
              <w:rPr>
                <w:b w:val="false"/>
                <w:bCs w:val="false"/>
                <w:color w:val="000000"/>
                <w:sz w:val="16"/>
                <w:szCs w:val="16"/>
              </w:rPr>
              <w:t xml:space="preserve">Freely licensed Wikimedia Commons photographs of the same make and model as the seeded vehicle</w:t>
            </w:r>
          </w:p>
        </w:tc>
        <w:tc>
          <w:tcPr>
            <w:tcW w:type="dxa" w:w="1700"/>
            <w:tcMar>
              <w:top w:type="dxa" w:w="80"/>
              <w:left w:type="dxa" w:w="90"/>
              <w:bottom w:type="dxa" w:w="80"/>
              <w:right w:type="dxa" w:w="90"/>
            </w:tcMar>
          </w:tcPr>
          <w:p>
            <w:pPr>
              <w:spacing w:after="0"/>
            </w:pPr>
            <w:r>
              <w:rPr>
                <w:b w:val="false"/>
                <w:bCs w:val="false"/>
                <w:color w:val="000000"/>
                <w:sz w:val="16"/>
                <w:szCs w:val="16"/>
              </w:rPr>
              <w:t xml:space="preserve">Public-domain or freely licensed images only; no dealership branding</w:t>
            </w:r>
          </w:p>
        </w:tc>
        <w:tc>
          <w:tcPr>
            <w:tcW w:type="dxa" w:w="1300"/>
            <w:tcMar>
              <w:top w:type="dxa" w:w="80"/>
              <w:left w:type="dxa" w:w="90"/>
              <w:bottom w:type="dxa" w:w="80"/>
              <w:right w:type="dxa" w:w="90"/>
            </w:tcMar>
          </w:tcPr>
          <w:p>
            <w:pPr>
              <w:spacing w:after="0"/>
            </w:pPr>
            <w:r>
              <w:rPr>
                <w:b w:val="false"/>
                <w:bCs w:val="false"/>
                <w:color w:val="000000"/>
                <w:sz w:val="16"/>
                <w:szCs w:val="16"/>
              </w:rPr>
              <w:t xml:space="preserve">Loaded by the seed loader; read-only afterwards</w:t>
            </w:r>
          </w:p>
        </w:tc>
        <w:tc>
          <w:tcPr>
            <w:tcW w:type="dxa" w:w="960"/>
            <w:tcMar>
              <w:top w:type="dxa" w:w="80"/>
              <w:left w:type="dxa" w:w="90"/>
              <w:bottom w:type="dxa" w:w="80"/>
              <w:right w:type="dxa" w:w="90"/>
            </w:tcMar>
          </w:tcPr>
          <w:p>
            <w:pPr>
              <w:spacing w:after="0"/>
            </w:pPr>
            <w:r>
              <w:rPr>
                <w:b w:val="false"/>
                <w:bCs w:val="false"/>
                <w:color w:val="000000"/>
                <w:sz w:val="16"/>
                <w:szCs w:val="16"/>
              </w:rPr>
              <w:t xml:space="preserve">IT-19, SYS-09</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Photo upload boundary files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Fixture files prepared by the tester</w:t>
            </w:r>
          </w:p>
        </w:tc>
        <w:tc>
          <w:tcPr>
            <w:tcW w:type="dxa" w:w="2100"/>
            <w:tcMar>
              <w:top w:type="dxa" w:w="80"/>
              <w:left w:type="dxa" w:w="90"/>
              <w:bottom w:type="dxa" w:w="80"/>
              <w:right w:type="dxa" w:w="90"/>
            </w:tcMar>
          </w:tcPr>
          <w:p>
            <w:pPr>
              <w:spacing w:after="0"/>
            </w:pPr>
            <w:r>
              <w:rPr>
                <w:b w:val="false"/>
                <w:bCs w:val="false"/>
                <w:color w:val="000000"/>
                <w:sz w:val="16"/>
                <w:szCs w:val="16"/>
              </w:rPr>
              <w:t xml:space="preserve">A 1 MB JPEG, a PNG, a 3 MB JPEG and a text file renamed to .jpg</w:t>
            </w:r>
          </w:p>
        </w:tc>
        <w:tc>
          <w:tcPr>
            <w:tcW w:type="dxa" w:w="1700"/>
            <w:tcMar>
              <w:top w:type="dxa" w:w="80"/>
              <w:left w:type="dxa" w:w="90"/>
              <w:bottom w:type="dxa" w:w="80"/>
              <w:right w:type="dxa" w:w="90"/>
            </w:tcMar>
          </w:tcPr>
          <w:p>
            <w:pPr>
              <w:spacing w:after="0"/>
            </w:pPr>
            <w:r>
              <w:rPr>
                <w:b w:val="false"/>
                <w:bCs w:val="false"/>
                <w:color w:val="000000"/>
                <w:sz w:val="16"/>
                <w:szCs w:val="16"/>
              </w:rPr>
              <w:t xml:space="preserve">Self-generated images only</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Re-created from the case steps; not committed</w:t>
            </w:r>
          </w:p>
        </w:tc>
        <w:tc>
          <w:tcPr>
            <w:tcW w:type="dxa" w:w="960"/>
            <w:tcMar>
              <w:top w:type="dxa" w:w="80"/>
              <w:left w:type="dxa" w:w="90"/>
              <w:bottom w:type="dxa" w:w="80"/>
              <w:right w:type="dxa" w:w="90"/>
            </w:tcMar>
          </w:tcPr>
          <w:p>
            <w:pPr>
              <w:spacing w:after="0"/>
            </w:pPr>
            <w:r>
              <w:rPr>
                <w:b w:val="false"/>
                <w:bCs w:val="false"/>
                <w:color w:val="000000"/>
                <w:sz w:val="16"/>
                <w:szCs w:val="16"/>
              </w:rPr>
              <w:t xml:space="preserve">IT-19</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Advertisements and compliance checks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sql/04_listings.sql generated by scripts/gen_listings.py, plus the fixture set FX-01 to FX-24 in the ad-check fixture design document</w:t>
            </w:r>
          </w:p>
        </w:tc>
        <w:tc>
          <w:tcPr>
            <w:tcW w:type="dxa" w:w="2100"/>
            <w:tcMar>
              <w:top w:type="dxa" w:w="80"/>
              <w:left w:type="dxa" w:w="90"/>
              <w:bottom w:type="dxa" w:w="80"/>
              <w:right w:type="dxa" w:w="90"/>
            </w:tcMar>
          </w:tcPr>
          <w:p>
            <w:pPr>
              <w:spacing w:after="0"/>
            </w:pPr>
            <w:r>
              <w:rPr>
                <w:b w:val="false"/>
                <w:bCs w:val="false"/>
                <w:color w:val="000000"/>
                <w:sz w:val="16"/>
                <w:szCs w:val="16"/>
              </w:rPr>
              <w:t xml:space="preserve">Advertisement copy that describes each real seeded vehicle, with findings that follow the rule engine; the fixtures provide runnable CASH, FINANCE and LEASE copy with the expected state for each</w:t>
            </w:r>
          </w:p>
        </w:tc>
        <w:tc>
          <w:tcPr>
            <w:tcW w:type="dxa" w:w="1700"/>
            <w:tcMar>
              <w:top w:type="dxa" w:w="80"/>
              <w:left w:type="dxa" w:w="90"/>
              <w:bottom w:type="dxa" w:w="80"/>
              <w:right w:type="dxa" w:w="90"/>
            </w:tcMar>
          </w:tcPr>
          <w:p>
            <w:pPr>
              <w:spacing w:after="0"/>
            </w:pPr>
            <w:r>
              <w:rPr>
                <w:b w:val="false"/>
                <w:bCs w:val="false"/>
                <w:color w:val="000000"/>
                <w:sz w:val="16"/>
                <w:szCs w:val="16"/>
              </w:rPr>
              <w:t xml:space="preserve">Advertisement copy is public-facing text and contains no customer data</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Reseeded with the vehicles; a stale state is produced on demand by editing the price digits in the body</w:t>
            </w:r>
          </w:p>
        </w:tc>
        <w:tc>
          <w:tcPr>
            <w:tcW w:type="dxa" w:w="960"/>
            <w:tcMar>
              <w:top w:type="dxa" w:w="80"/>
              <w:left w:type="dxa" w:w="90"/>
              <w:bottom w:type="dxa" w:w="80"/>
              <w:right w:type="dxa" w:w="90"/>
            </w:tcMar>
          </w:tcPr>
          <w:p>
            <w:pPr>
              <w:spacing w:after="0"/>
            </w:pPr>
            <w:r>
              <w:rPr>
                <w:b w:val="false"/>
                <w:bCs w:val="false"/>
                <w:color w:val="000000"/>
                <w:sz w:val="16"/>
                <w:szCs w:val="16"/>
              </w:rPr>
              <w:t xml:space="preserve">RV-02, UT-04 to UT-07, IT-14 to IT-17, SYS-04 to SYS-06, AT-03 to AT-05</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Customers (120, four per dealership) and vehicle links</w:t>
            </w:r>
          </w:p>
        </w:tc>
        <w:tc>
          <w:tcPr>
            <w:tcW w:type="dxa" w:w="1700"/>
            <w:tcMar>
              <w:top w:type="dxa" w:w="80"/>
              <w:left w:type="dxa" w:w="90"/>
              <w:bottom w:type="dxa" w:w="80"/>
              <w:right w:type="dxa" w:w="90"/>
            </w:tcMar>
          </w:tcPr>
          <w:p>
            <w:pPr>
              <w:spacing w:after="0"/>
            </w:pPr>
            <w:r>
              <w:rPr>
                <w:b w:val="false"/>
                <w:bCs w:val="false"/>
                <w:color w:val="000000"/>
                <w:sz w:val="16"/>
                <w:szCs w:val="16"/>
              </w:rPr>
              <w:t xml:space="preserve">contract/customers-plan.json and sql/03_customers_links.sql</w:t>
            </w:r>
          </w:p>
        </w:tc>
        <w:tc>
          <w:tcPr>
            <w:tcW w:type="dxa" w:w="2100"/>
            <w:tcMar>
              <w:top w:type="dxa" w:w="80"/>
              <w:left w:type="dxa" w:w="90"/>
              <w:bottom w:type="dxa" w:w="80"/>
              <w:right w:type="dxa" w:w="90"/>
            </w:tcMar>
          </w:tcPr>
          <w:p>
            <w:pPr>
              <w:spacing w:after="0"/>
            </w:pPr>
            <w:r>
              <w:rPr>
                <w:b w:val="false"/>
                <w:bCs w:val="false"/>
                <w:color w:val="000000"/>
                <w:sz w:val="16"/>
                <w:szCs w:val="16"/>
              </w:rPr>
              <w:t xml:space="preserve">Deterministic synthetic names and addresses; at most one customer per vehicle, so the link rules can be tested; one customer exists only in the second dealership for the isolation case</w:t>
            </w:r>
          </w:p>
        </w:tc>
        <w:tc>
          <w:tcPr>
            <w:tcW w:type="dxa" w:w="1700"/>
            <w:tcMar>
              <w:top w:type="dxa" w:w="80"/>
              <w:left w:type="dxa" w:w="90"/>
              <w:bottom w:type="dxa" w:w="80"/>
              <w:right w:type="dxa" w:w="90"/>
            </w:tcMar>
          </w:tcPr>
          <w:p>
            <w:pPr>
              <w:spacing w:after="0"/>
            </w:pPr>
            <w:r>
              <w:rPr>
                <w:b w:val="false"/>
                <w:bCs w:val="false"/>
                <w:color w:val="000000"/>
                <w:sz w:val="16"/>
                <w:szCs w:val="16"/>
              </w:rPr>
              <w:t xml:space="preserve">Reserved fictional 555-01xx telephone numbers and reserved example e-mail domains; contact values never reach prompts or logs</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Reseeded per run</w:t>
            </w:r>
          </w:p>
        </w:tc>
        <w:tc>
          <w:tcPr>
            <w:tcW w:type="dxa" w:w="960"/>
            <w:tcMar>
              <w:top w:type="dxa" w:w="80"/>
              <w:left w:type="dxa" w:w="90"/>
              <w:bottom w:type="dxa" w:w="80"/>
              <w:right w:type="dxa" w:w="90"/>
            </w:tcMar>
          </w:tcPr>
          <w:p>
            <w:pPr>
              <w:spacing w:after="0"/>
            </w:pPr>
            <w:r>
              <w:rPr>
                <w:b w:val="false"/>
                <w:bCs w:val="false"/>
                <w:color w:val="000000"/>
                <w:sz w:val="16"/>
                <w:szCs w:val="16"/>
              </w:rPr>
              <w:t xml:space="preserve">UT-09, IT-12, IT-13, IT-21, SYS-02, AT-06</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Leads, notes and work orders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sql/05_leads.sql and sql/06_work_orders.sql, plus rows produced at run time by the cases themselves</w:t>
            </w:r>
          </w:p>
        </w:tc>
        <w:tc>
          <w:tcPr>
            <w:tcW w:type="dxa" w:w="2100"/>
            <w:tcMar>
              <w:top w:type="dxa" w:w="80"/>
              <w:left w:type="dxa" w:w="90"/>
              <w:bottom w:type="dxa" w:w="80"/>
              <w:right w:type="dxa" w:w="90"/>
            </w:tcMar>
          </w:tcPr>
          <w:p>
            <w:pPr>
              <w:spacing w:after="0"/>
            </w:pPr>
            <w:r>
              <w:rPr>
                <w:b w:val="false"/>
                <w:bCs w:val="false"/>
                <w:color w:val="000000"/>
                <w:sz w:val="16"/>
                <w:szCs w:val="16"/>
              </w:rPr>
              <w:t xml:space="preserve">Seeded baseline per dealership; the lead and work-order cases add their own rows so state transitions are observed from a known start</w:t>
            </w:r>
          </w:p>
        </w:tc>
        <w:tc>
          <w:tcPr>
            <w:tcW w:type="dxa" w:w="1700"/>
            <w:tcMar>
              <w:top w:type="dxa" w:w="80"/>
              <w:left w:type="dxa" w:w="90"/>
              <w:bottom w:type="dxa" w:w="80"/>
              <w:right w:type="dxa" w:w="90"/>
            </w:tcMar>
          </w:tcPr>
          <w:p>
            <w:pPr>
              <w:spacing w:after="0"/>
            </w:pPr>
            <w:r>
              <w:rPr>
                <w:b w:val="false"/>
                <w:bCs w:val="false"/>
                <w:color w:val="000000"/>
                <w:sz w:val="16"/>
                <w:szCs w:val="16"/>
              </w:rPr>
              <w:t xml:space="preserve">References synthetic customers only</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Reseeded; run-time rows are removed with the test database</w:t>
            </w:r>
          </w:p>
        </w:tc>
        <w:tc>
          <w:tcPr>
            <w:tcW w:type="dxa" w:w="960"/>
            <w:tcMar>
              <w:top w:type="dxa" w:w="80"/>
              <w:left w:type="dxa" w:w="90"/>
              <w:bottom w:type="dxa" w:w="80"/>
              <w:right w:type="dxa" w:w="90"/>
            </w:tcMar>
          </w:tcPr>
          <w:p>
            <w:pPr>
              <w:spacing w:after="0"/>
            </w:pPr>
            <w:r>
              <w:rPr>
                <w:b w:val="false"/>
                <w:bCs w:val="false"/>
                <w:color w:val="000000"/>
                <w:sz w:val="16"/>
                <w:szCs w:val="16"/>
              </w:rPr>
              <w:t xml:space="preserve">IT-23, IT-24, SYS-08, SYS-09</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Join requests and notifications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sql/07_join_requests.sql</w:t>
            </w:r>
          </w:p>
        </w:tc>
        <w:tc>
          <w:tcPr>
            <w:tcW w:type="dxa" w:w="2100"/>
            <w:tcMar>
              <w:top w:type="dxa" w:w="80"/>
              <w:left w:type="dxa" w:w="90"/>
              <w:bottom w:type="dxa" w:w="80"/>
              <w:right w:type="dxa" w:w="90"/>
            </w:tcMar>
          </w:tcPr>
          <w:p>
            <w:pPr>
              <w:spacing w:after="0"/>
            </w:pPr>
            <w:r>
              <w:rPr>
                <w:b w:val="false"/>
                <w:bCs w:val="false"/>
                <w:color w:val="000000"/>
                <w:sz w:val="16"/>
                <w:szCs w:val="16"/>
              </w:rPr>
              <w:t xml:space="preserve">Pending accounts and notifications so the binding and inbox flows have data on a fresh database</w:t>
            </w:r>
          </w:p>
        </w:tc>
        <w:tc>
          <w:tcPr>
            <w:tcW w:type="dxa" w:w="1700"/>
            <w:tcMar>
              <w:top w:type="dxa" w:w="80"/>
              <w:left w:type="dxa" w:w="90"/>
              <w:bottom w:type="dxa" w:w="80"/>
              <w:right w:type="dxa" w:w="90"/>
            </w:tcMar>
          </w:tcPr>
          <w:p>
            <w:pPr>
              <w:spacing w:after="0"/>
            </w:pPr>
            <w:r>
              <w:rPr>
                <w:b w:val="false"/>
                <w:bCs w:val="false"/>
                <w:color w:val="000000"/>
                <w:sz w:val="16"/>
                <w:szCs w:val="16"/>
              </w:rPr>
              <w:t xml:space="preserve">Synthetic accounts only</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Reseeded</w:t>
            </w:r>
          </w:p>
        </w:tc>
        <w:tc>
          <w:tcPr>
            <w:tcW w:type="dxa" w:w="960"/>
            <w:tcMar>
              <w:top w:type="dxa" w:w="80"/>
              <w:left w:type="dxa" w:w="90"/>
              <w:bottom w:type="dxa" w:w="80"/>
              <w:right w:type="dxa" w:w="90"/>
            </w:tcMar>
          </w:tcPr>
          <w:p>
            <w:pPr>
              <w:spacing w:after="0"/>
            </w:pPr>
            <w:r>
              <w:rPr>
                <w:b w:val="false"/>
                <w:bCs w:val="false"/>
                <w:color w:val="000000"/>
                <w:sz w:val="16"/>
                <w:szCs w:val="16"/>
              </w:rPr>
              <w:t xml:space="preserve">IT-06, SYS-09, SYS-10, AT-01</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Audit history</w:t>
            </w:r>
          </w:p>
        </w:tc>
        <w:tc>
          <w:tcPr>
            <w:tcW w:type="dxa" w:w="1700"/>
            <w:tcMar>
              <w:top w:type="dxa" w:w="80"/>
              <w:left w:type="dxa" w:w="90"/>
              <w:bottom w:type="dxa" w:w="80"/>
              <w:right w:type="dxa" w:w="90"/>
            </w:tcMar>
          </w:tcPr>
          <w:p>
            <w:pPr>
              <w:spacing w:after="0"/>
            </w:pPr>
            <w:r>
              <w:rPr>
                <w:b w:val="false"/>
                <w:bCs w:val="false"/>
                <w:color w:val="000000"/>
                <w:sz w:val="16"/>
                <w:szCs w:val="16"/>
              </w:rPr>
              <w:t xml:space="preserve">sql/08_audit.sql plus every write performed during execution</w:t>
            </w:r>
          </w:p>
        </w:tc>
        <w:tc>
          <w:tcPr>
            <w:tcW w:type="dxa" w:w="2100"/>
            <w:tcMar>
              <w:top w:type="dxa" w:w="80"/>
              <w:left w:type="dxa" w:w="90"/>
              <w:bottom w:type="dxa" w:w="80"/>
              <w:right w:type="dxa" w:w="90"/>
            </w:tcMar>
          </w:tcPr>
          <w:p>
            <w:pPr>
              <w:spacing w:after="0"/>
            </w:pPr>
            <w:r>
              <w:rPr>
                <w:b w:val="false"/>
                <w:bCs w:val="false"/>
                <w:color w:val="000000"/>
                <w:sz w:val="16"/>
                <w:szCs w:val="16"/>
              </w:rPr>
              <w:t xml:space="preserve">A seeded history for the seeded records; execution then produces its own rows, which are the evidence for the audit cases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Contact values are recorded in the audit trail by design (that is the requirement) but never in logs, prompts or assistant answers</w:t>
            </w:r>
          </w:p>
        </w:tc>
        <w:tc>
          <w:tcPr>
            <w:tcW w:type="dxa" w:w="1300"/>
            <w:tcMar>
              <w:top w:type="dxa" w:w="80"/>
              <w:left w:type="dxa" w:w="90"/>
              <w:bottom w:type="dxa" w:w="80"/>
              <w:right w:type="dxa" w:w="90"/>
            </w:tcMar>
          </w:tcPr>
          <w:p>
            <w:pPr>
              <w:spacing w:after="0"/>
            </w:pPr>
            <w:r>
              <w:rPr>
                <w:b w:val="false"/>
                <w:bCs w:val="false"/>
                <w:color w:val="000000"/>
                <w:sz w:val="16"/>
                <w:szCs w:val="16"/>
              </w:rPr>
              <w:t xml:space="preserve">Truncated with the test database; never edited by hand, because the trail is append-only</w:t>
            </w:r>
          </w:p>
        </w:tc>
        <w:tc>
          <w:tcPr>
            <w:tcW w:type="dxa" w:w="960"/>
            <w:tcMar>
              <w:top w:type="dxa" w:w="80"/>
              <w:left w:type="dxa" w:w="90"/>
              <w:bottom w:type="dxa" w:w="80"/>
              <w:right w:type="dxa" w:w="90"/>
            </w:tcMar>
          </w:tcPr>
          <w:p>
            <w:pPr>
              <w:spacing w:after="0"/>
            </w:pPr>
            <w:r>
              <w:rPr>
                <w:b w:val="false"/>
                <w:bCs w:val="false"/>
                <w:color w:val="000000"/>
                <w:sz w:val="16"/>
                <w:szCs w:val="16"/>
              </w:rPr>
              <w:t xml:space="preserve">RV-04, UT-10, IT-02, IT-03, IT-13, IT-22, AT-06</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AI provider responses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The real configured model for the pass cases; a stopped service, a removed key and an unreachable endpoint for the failure cases</w:t>
            </w:r>
          </w:p>
        </w:tc>
        <w:tc>
          <w:tcPr>
            <w:tcW w:type="dxa" w:w="2100"/>
            <w:tcMar>
              <w:top w:type="dxa" w:w="80"/>
              <w:left w:type="dxa" w:w="90"/>
              <w:bottom w:type="dxa" w:w="80"/>
              <w:right w:type="dxa" w:w="90"/>
            </w:tcMar>
          </w:tcPr>
          <w:p>
            <w:pPr>
              <w:spacing w:after="0"/>
            </w:pPr>
            <w:r>
              <w:rPr>
                <w:b w:val="false"/>
                <w:bCs w:val="false"/>
                <w:color w:val="000000"/>
                <w:sz w:val="16"/>
                <w:szCs w:val="16"/>
              </w:rPr>
              <w:t xml:space="preserve">Live call for the pass path; controlled failure by stopping the AI service, removing AIMANAGER_API_KEY, or pointing it at an unreachable address for timeout, provider failure and missing-key paths</w:t>
            </w:r>
          </w:p>
        </w:tc>
        <w:tc>
          <w:tcPr>
            <w:tcW w:type="dxa" w:w="1700"/>
            <w:tcMar>
              <w:top w:type="dxa" w:w="80"/>
              <w:left w:type="dxa" w:w="90"/>
              <w:bottom w:type="dxa" w:w="80"/>
              <w:right w:type="dxa" w:w="90"/>
            </w:tcMar>
          </w:tcPr>
          <w:p>
            <w:pPr>
              <w:spacing w:after="0"/>
            </w:pPr>
            <w:r>
              <w:rPr>
                <w:b w:val="false"/>
                <w:bCs w:val="false"/>
                <w:color w:val="000000"/>
                <w:sz w:val="16"/>
                <w:szCs w:val="16"/>
              </w:rPr>
              <w:t xml:space="preserve">Prompts contain structured advertisement facts only, never customer contact data</w:t>
            </w:r>
          </w:p>
        </w:tc>
        <w:tc>
          <w:tcPr>
            <w:tcW w:type="dxa" w:w="1300"/>
            <w:tcMar>
              <w:top w:type="dxa" w:w="80"/>
              <w:left w:type="dxa" w:w="90"/>
              <w:bottom w:type="dxa" w:w="80"/>
              <w:right w:type="dxa" w:w="90"/>
            </w:tcMar>
          </w:tcPr>
          <w:p>
            <w:pPr>
              <w:spacing w:after="0"/>
            </w:pPr>
            <w:r>
              <w:rPr>
                <w:b w:val="false"/>
                <w:bCs w:val="false"/>
                <w:color w:val="000000"/>
                <w:sz w:val="16"/>
                <w:szCs w:val="16"/>
              </w:rPr>
              <w:t xml:space="preserve">The key is supplied from the environment or Key Vault and removed again after the missing-key case</w:t>
            </w:r>
          </w:p>
        </w:tc>
        <w:tc>
          <w:tcPr>
            <w:tcW w:type="dxa" w:w="960"/>
            <w:tcMar>
              <w:top w:type="dxa" w:w="80"/>
              <w:left w:type="dxa" w:w="90"/>
              <w:bottom w:type="dxa" w:w="80"/>
              <w:right w:type="dxa" w:w="90"/>
            </w:tcMar>
          </w:tcPr>
          <w:p>
            <w:pPr>
              <w:spacing w:after="0"/>
            </w:pPr>
            <w:r>
              <w:rPr>
                <w:b w:val="false"/>
                <w:bCs w:val="false"/>
                <w:color w:val="000000"/>
                <w:sz w:val="16"/>
                <w:szCs w:val="16"/>
              </w:rPr>
              <w:t xml:space="preserve">UT-08, UT-09, IT-14 to IT-16, IT-25, SYS-05, AT-03, AT-04</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VIN decode responses</w:t>
            </w:r>
          </w:p>
        </w:tc>
        <w:tc>
          <w:tcPr>
            <w:tcW w:type="dxa" w:w="1700"/>
            <w:tcMar>
              <w:top w:type="dxa" w:w="80"/>
              <w:left w:type="dxa" w:w="90"/>
              <w:bottom w:type="dxa" w:w="80"/>
              <w:right w:type="dxa" w:w="90"/>
            </w:tcMar>
          </w:tcPr>
          <w:p>
            <w:pPr>
              <w:spacing w:after="0"/>
            </w:pPr>
            <w:r>
              <w:rPr>
                <w:b w:val="false"/>
                <w:bCs w:val="false"/>
                <w:color w:val="000000"/>
                <w:sz w:val="16"/>
                <w:szCs w:val="16"/>
              </w:rPr>
              <w:t xml:space="preserve">The public vPIC service through the catalog route</w:t>
            </w:r>
          </w:p>
        </w:tc>
        <w:tc>
          <w:tcPr>
            <w:tcW w:type="dxa" w:w="2100"/>
            <w:tcMar>
              <w:top w:type="dxa" w:w="80"/>
              <w:left w:type="dxa" w:w="90"/>
              <w:bottom w:type="dxa" w:w="80"/>
              <w:right w:type="dxa" w:w="90"/>
            </w:tcMar>
          </w:tcPr>
          <w:p>
            <w:pPr>
              <w:spacing w:after="0"/>
            </w:pPr>
            <w:r>
              <w:rPr>
                <w:b w:val="false"/>
                <w:bCs w:val="false"/>
                <w:color w:val="000000"/>
                <w:sz w:val="16"/>
                <w:szCs w:val="16"/>
              </w:rPr>
              <w:t xml:space="preserve">Live decode of representative VINs; an invalid VIN for the negative path</w:t>
            </w:r>
          </w:p>
        </w:tc>
        <w:tc>
          <w:tcPr>
            <w:tcW w:type="dxa" w:w="1700"/>
            <w:tcMar>
              <w:top w:type="dxa" w:w="80"/>
              <w:left w:type="dxa" w:w="90"/>
              <w:bottom w:type="dxa" w:w="80"/>
              <w:right w:type="dxa" w:w="90"/>
            </w:tcMar>
          </w:tcPr>
          <w:p>
            <w:pPr>
              <w:spacing w:after="0"/>
            </w:pPr>
            <w:r>
              <w:rPr>
                <w:b w:val="false"/>
                <w:bCs w:val="false"/>
                <w:color w:val="000000"/>
                <w:sz w:val="16"/>
                <w:szCs w:val="16"/>
              </w:rPr>
              <w:t xml:space="preserve">Public vehicle reference data only</w:t>
            </w:r>
          </w:p>
        </w:tc>
        <w:tc>
          <w:tcPr>
            <w:tcW w:type="dxa" w:w="1300"/>
            <w:tcMar>
              <w:top w:type="dxa" w:w="80"/>
              <w:left w:type="dxa" w:w="90"/>
              <w:bottom w:type="dxa" w:w="80"/>
              <w:right w:type="dxa" w:w="90"/>
            </w:tcMar>
          </w:tcPr>
          <w:p>
            <w:pPr>
              <w:spacing w:after="0"/>
            </w:pPr>
            <w:r>
              <w:rPr>
                <w:b w:val="false"/>
                <w:bCs w:val="false"/>
                <w:color w:val="000000"/>
                <w:sz w:val="16"/>
                <w:szCs w:val="16"/>
              </w:rPr>
              <w:t xml:space="preserve">No reset needed; nothing is stored until the user saves the vehicle</w:t>
            </w:r>
          </w:p>
        </w:tc>
        <w:tc>
          <w:tcPr>
            <w:tcW w:type="dxa" w:w="960"/>
            <w:tcMar>
              <w:top w:type="dxa" w:w="80"/>
              <w:left w:type="dxa" w:w="90"/>
              <w:bottom w:type="dxa" w:w="80"/>
              <w:right w:type="dxa" w:w="90"/>
            </w:tcMar>
          </w:tcPr>
          <w:p>
            <w:pPr>
              <w:spacing w:after="0"/>
            </w:pPr>
            <w:r>
              <w:rPr>
                <w:b w:val="false"/>
                <w:bCs w:val="false"/>
                <w:color w:val="000000"/>
                <w:sz w:val="16"/>
                <w:szCs w:val="16"/>
              </w:rPr>
              <w:t xml:space="preserve">IT-26</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Public buyer-site data</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Derived from the seeded listings that are ready with a passed check</w:t>
            </w:r>
          </w:p>
        </w:tc>
        <w:tc>
          <w:tcPr>
            <w:tcW w:type="dxa" w:w="2100"/>
            <w:tcMar>
              <w:top w:type="dxa" w:w="80"/>
              <w:left w:type="dxa" w:w="90"/>
              <w:bottom w:type="dxa" w:w="80"/>
              <w:right w:type="dxa" w:w="90"/>
            </w:tcMar>
          </w:tcPr>
          <w:p>
            <w:pPr>
              <w:spacing w:after="0"/>
            </w:pPr>
            <w:r>
              <w:rPr>
                <w:b w:val="false"/>
                <w:bCs w:val="false"/>
                <w:color w:val="000000"/>
                <w:sz w:val="16"/>
                <w:szCs w:val="16"/>
              </w:rPr>
              <w:t xml:space="preserve">The buyer-site cases first bring one advertisement to ready and passed, then read the public inventory</w:t>
            </w:r>
          </w:p>
        </w:tc>
        <w:tc>
          <w:tcPr>
            <w:tcW w:type="dxa" w:w="1700"/>
            <w:tcMar>
              <w:top w:type="dxa" w:w="80"/>
              <w:left w:type="dxa" w:w="90"/>
              <w:bottom w:type="dxa" w:w="80"/>
              <w:right w:type="dxa" w:w="90"/>
            </w:tcMar>
          </w:tcPr>
          <w:p>
            <w:pPr>
              <w:spacing w:after="0"/>
            </w:pPr>
            <w:r>
              <w:rPr>
                <w:b w:val="false"/>
                <w:bCs w:val="false"/>
                <w:color w:val="000000"/>
                <w:sz w:val="16"/>
                <w:szCs w:val="16"/>
              </w:rPr>
              <w:t xml:space="preserve">The public response must expose no VIN, cost, list price or customer data; that absence is the assertion</w:t>
            </w:r>
          </w:p>
        </w:tc>
        <w:tc>
          <w:tcPr>
            <w:tcW w:type="dxa" w:w="1300"/>
            <w:tcMar>
              <w:top w:type="dxa" w:w="80"/>
              <w:left w:type="dxa" w:w="90"/>
              <w:bottom w:type="dxa" w:w="80"/>
              <w:right w:type="dxa" w:w="90"/>
            </w:tcMar>
          </w:tcPr>
          <w:p>
            <w:pPr>
              <w:spacing w:after="0"/>
            </w:pPr>
            <w:r>
              <w:rPr>
                <w:b w:val="false"/>
                <w:bCs w:val="false"/>
                <w:color w:val="000000"/>
                <w:sz w:val="16"/>
                <w:szCs w:val="16"/>
              </w:rPr>
              <w:t xml:space="preserve">Recreated by changing the advertisement state</w:t>
            </w:r>
          </w:p>
        </w:tc>
        <w:tc>
          <w:tcPr>
            <w:tcW w:type="dxa" w:w="960"/>
            <w:tcMar>
              <w:top w:type="dxa" w:w="80"/>
              <w:left w:type="dxa" w:w="90"/>
              <w:bottom w:type="dxa" w:w="80"/>
              <w:right w:type="dxa" w:w="90"/>
            </w:tcMar>
          </w:tcPr>
          <w:p>
            <w:pPr>
              <w:spacing w:after="0"/>
            </w:pPr>
            <w:r>
              <w:rPr>
                <w:b w:val="false"/>
                <w:bCs w:val="false"/>
                <w:color w:val="000000"/>
                <w:sz w:val="16"/>
                <w:szCs w:val="16"/>
              </w:rPr>
              <w:t xml:space="preserve">IT-21, SYS-06, SYS-09</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Negative and abuse data</w:t>
            </w:r>
          </w:p>
        </w:tc>
        <w:tc>
          <w:tcPr>
            <w:tcW w:type="dxa" w:w="1700"/>
            <w:tcMar>
              <w:top w:type="dxa" w:w="80"/>
              <w:left w:type="dxa" w:w="90"/>
              <w:bottom w:type="dxa" w:w="80"/>
              <w:right w:type="dxa" w:w="90"/>
            </w:tcMar>
          </w:tcPr>
          <w:p>
            <w:pPr>
              <w:spacing w:after="0"/>
            </w:pPr>
            <w:r>
              <w:rPr>
                <w:b w:val="false"/>
                <w:bCs w:val="false"/>
                <w:color w:val="000000"/>
                <w:sz w:val="16"/>
                <w:szCs w:val="16"/>
              </w:rPr>
              <w:t xml:space="preserve">Hand-written fixtures named in the case steps</w:t>
            </w:r>
          </w:p>
        </w:tc>
        <w:tc>
          <w:tcPr>
            <w:tcW w:type="dxa" w:w="2100"/>
            <w:tcMar>
              <w:top w:type="dxa" w:w="80"/>
              <w:left w:type="dxa" w:w="90"/>
              <w:bottom w:type="dxa" w:w="80"/>
              <w:right w:type="dxa" w:w="90"/>
            </w:tcMar>
          </w:tcPr>
          <w:p>
            <w:pPr>
              <w:spacing w:after="0"/>
            </w:pPr>
            <w:r>
              <w:rPr>
                <w:b w:val="false"/>
                <w:bCs w:val="false"/>
                <w:color w:val="000000"/>
                <w:sz w:val="16"/>
                <w:szCs w:val="16"/>
              </w:rPr>
              <w:t xml:space="preserve">A spoofed dealerId in the body, query and header; a forged X-Dealer-Internal header; an altered and an expired token; an over-balance payment; a sixth inquiry inside one minute from the same address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Synthetic patterns only; no live attack traffic and no third-party target</w:t>
            </w:r>
          </w:p>
        </w:tc>
        <w:tc>
          <w:tcPr>
            <w:tcW w:type="dxa" w:w="1300"/>
            <w:tcMar>
              <w:top w:type="dxa" w:w="80"/>
              <w:left w:type="dxa" w:w="90"/>
              <w:bottom w:type="dxa" w:w="80"/>
              <w:right w:type="dxa" w:w="90"/>
            </w:tcMar>
          </w:tcPr>
          <w:p>
            <w:pPr>
              <w:spacing w:after="0"/>
            </w:pPr>
            <w:r>
              <w:rPr>
                <w:b w:val="false"/>
                <w:bCs w:val="false"/>
                <w:color w:val="000000"/>
                <w:sz w:val="16"/>
                <w:szCs w:val="16"/>
              </w:rPr>
              <w:t xml:space="preserve">Produced at run time</w:t>
            </w:r>
          </w:p>
        </w:tc>
        <w:tc>
          <w:tcPr>
            <w:tcW w:type="dxa" w:w="960"/>
            <w:tcMar>
              <w:top w:type="dxa" w:w="80"/>
              <w:left w:type="dxa" w:w="90"/>
              <w:bottom w:type="dxa" w:w="80"/>
              <w:right w:type="dxa" w:w="90"/>
            </w:tcMar>
          </w:tcPr>
          <w:p>
            <w:pPr>
              <w:spacing w:after="0"/>
            </w:pPr>
            <w:r>
              <w:rPr>
                <w:b w:val="false"/>
                <w:bCs w:val="false"/>
                <w:color w:val="000000"/>
                <w:sz w:val="16"/>
                <w:szCs w:val="16"/>
              </w:rPr>
              <w:t xml:space="preserve">IT-02 to IT-08, IT-18, IT-20, IT-21</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Configuration data (ports, origins, limits)</w:t>
            </w:r>
          </w:p>
        </w:tc>
        <w:tc>
          <w:tcPr>
            <w:tcW w:type="dxa" w:w="1700"/>
            <w:tcMar>
              <w:top w:type="dxa" w:w="80"/>
              <w:left w:type="dxa" w:w="90"/>
              <w:bottom w:type="dxa" w:w="80"/>
              <w:right w:type="dxa" w:w="90"/>
            </w:tcMar>
          </w:tcPr>
          <w:p>
            <w:pPr>
              <w:spacing w:after="0"/>
            </w:pPr>
            <w:r>
              <w:rPr>
                <w:b w:val="false"/>
                <w:bCs w:val="false"/>
                <w:color w:val="000000"/>
                <w:sz w:val="16"/>
                <w:szCs w:val="16"/>
              </w:rPr>
              <w:t xml:space="preserve">start-local.sh, the end-to-end stack script and the Terraform variables</w:t>
            </w:r>
          </w:p>
        </w:tc>
        <w:tc>
          <w:tcPr>
            <w:tcW w:type="dxa" w:w="2100"/>
            <w:tcMar>
              <w:top w:type="dxa" w:w="80"/>
              <w:left w:type="dxa" w:w="90"/>
              <w:bottom w:type="dxa" w:w="80"/>
              <w:right w:type="dxa" w:w="90"/>
            </w:tcMar>
          </w:tcPr>
          <w:p>
            <w:pPr>
              <w:spacing w:after="0"/>
            </w:pPr>
            <w:r>
              <w:rPr>
                <w:b w:val="false"/>
                <w:bCs w:val="false"/>
                <w:color w:val="000000"/>
                <w:sz w:val="16"/>
                <w:szCs w:val="16"/>
              </w:rPr>
              <w:t xml:space="preserve">Environment variables and Terraform values per environment, listed in §11</w:t>
            </w:r>
          </w:p>
        </w:tc>
        <w:tc>
          <w:tcPr>
            <w:tcW w:type="dxa" w:w="1700"/>
            <w:tcMar>
              <w:top w:type="dxa" w:w="80"/>
              <w:left w:type="dxa" w:w="90"/>
              <w:bottom w:type="dxa" w:w="80"/>
              <w:right w:type="dxa" w:w="90"/>
            </w:tcMar>
          </w:tcPr>
          <w:p>
            <w:pPr>
              <w:spacing w:after="0"/>
            </w:pPr>
            <w:r>
              <w:rPr>
                <w:b w:val="false"/>
                <w:bCs w:val="false"/>
                <w:color w:val="000000"/>
                <w:sz w:val="16"/>
                <w:szCs w:val="16"/>
              </w:rPr>
              <w:t xml:space="preserve">Hostnames are localhost or the Azure demo host; secrets are not test data</w:t>
            </w:r>
          </w:p>
        </w:tc>
        <w:tc>
          <w:tcPr>
            <w:tcW w:type="dxa" w:w="1300"/>
            <w:tcMar>
              <w:top w:type="dxa" w:w="80"/>
              <w:left w:type="dxa" w:w="90"/>
              <w:bottom w:type="dxa" w:w="80"/>
              <w:right w:type="dxa" w:w="90"/>
            </w:tcMar>
          </w:tcPr>
          <w:p>
            <w:pPr>
              <w:spacing w:after="0"/>
            </w:pPr>
            <w:r>
              <w:rPr>
                <w:b w:val="false"/>
                <w:bCs w:val="false"/>
                <w:color w:val="000000"/>
                <w:sz w:val="16"/>
                <w:szCs w:val="16"/>
              </w:rPr>
              <w:t xml:space="preserve">Driven by the environment and reset with it</w:t>
            </w:r>
          </w:p>
        </w:tc>
        <w:tc>
          <w:tcPr>
            <w:tcW w:type="dxa" w:w="960"/>
            <w:tcMar>
              <w:top w:type="dxa" w:w="80"/>
              <w:left w:type="dxa" w:w="90"/>
              <w:bottom w:type="dxa" w:w="80"/>
              <w:right w:type="dxa" w:w="90"/>
            </w:tcMar>
          </w:tcPr>
          <w:p>
            <w:pPr>
              <w:spacing w:after="0"/>
            </w:pPr>
            <w:r>
              <w:rPr>
                <w:b w:val="false"/>
                <w:bCs w:val="false"/>
                <w:color w:val="000000"/>
                <w:sz w:val="16"/>
                <w:szCs w:val="16"/>
              </w:rPr>
              <w:t xml:space="preserve">RV-03, IT-18, DEP-01 to DEP-06</w:t>
            </w:r>
          </w:p>
        </w:tc>
      </w:tr>
      <w:tr>
        <w:trPr>
          <w:cantSplit/>
        </w:trPr>
        <w:tc>
          <w:tcPr>
            <w:tcW w:type="dxa" w:w="1600"/>
            <w:tcMar>
              <w:top w:type="dxa" w:w="80"/>
              <w:left w:type="dxa" w:w="90"/>
              <w:bottom w:type="dxa" w:w="80"/>
              <w:right w:type="dxa" w:w="90"/>
            </w:tcMar>
          </w:tcPr>
          <w:p>
            <w:pPr>
              <w:spacing w:after="0"/>
            </w:pPr>
            <w:r>
              <w:rPr>
                <w:b w:val="false"/>
                <w:bCs w:val="false"/>
                <w:color w:val="000000"/>
                <w:sz w:val="16"/>
                <w:szCs w:val="16"/>
              </w:rPr>
              <w:t xml:space="preserve">Cloud demo data</w:t>
            </w:r>
          </w:p>
        </w:tc>
        <w:tc>
          <w:tcPr>
            <w:tcW w:type="dxa" w:w="1700"/>
            <w:tcMar>
              <w:top w:type="dxa" w:w="80"/>
              <w:left w:type="dxa" w:w="90"/>
              <w:bottom w:type="dxa" w:w="80"/>
              <w:right w:type="dxa" w:w="90"/>
            </w:tcMar>
          </w:tcPr>
          <w:p>
            <w:pPr>
              <w:spacing w:after="0"/>
            </w:pPr>
            <w:r>
              <w:rPr>
                <w:b w:val="false"/>
                <w:bCs w:val="false"/>
                <w:color w:val="000000"/>
                <w:sz w:val="16"/>
                <w:szCs w:val="16"/>
              </w:rPr>
              <w:t xml:space="preserve">deploy/seed export of the development database, loaded by ./deploy/deploy.sh --seed</w:t>
            </w:r>
          </w:p>
        </w:tc>
        <w:tc>
          <w:tcPr>
            <w:tcW w:type="dxa" w:w="2100"/>
            <w:tcMar>
              <w:top w:type="dxa" w:w="80"/>
              <w:left w:type="dxa" w:w="90"/>
              <w:bottom w:type="dxa" w:w="80"/>
              <w:right w:type="dxa" w:w="90"/>
            </w:tcMar>
          </w:tcPr>
          <w:p>
            <w:pPr>
              <w:spacing w:after="0"/>
            </w:pPr>
            <w:r>
              <w:rPr>
                <w:b w:val="false"/>
                <w:bCs w:val="false"/>
                <w:color w:val="000000"/>
                <w:sz w:val="16"/>
                <w:szCs w:val="16"/>
              </w:rPr>
              <w:t xml:space="preserve">The local development data set is exported, the existing cloud rows are backed up to a timestamped file, and the export replaces them in one transaction</w:t>
            </w:r>
          </w:p>
        </w:tc>
        <w:tc>
          <w:tcPr>
            <w:tcW w:type="dxa" w:w="1700"/>
            <w:tcMar>
              <w:top w:type="dxa" w:w="80"/>
              <w:left w:type="dxa" w:w="90"/>
              <w:bottom w:type="dxa" w:w="80"/>
              <w:right w:type="dxa" w:w="90"/>
            </w:tcMar>
          </w:tcPr>
          <w:p>
            <w:pPr>
              <w:spacing w:after="0"/>
            </w:pPr>
            <w:r>
              <w:rPr>
                <w:b w:val="false"/>
                <w:bCs w:val="false"/>
                <w:color w:val="000000"/>
                <w:sz w:val="16"/>
                <w:szCs w:val="16"/>
              </w:rPr>
              <w:t xml:space="preserve">The exported set is the synthetic seed; the demo administrator password is rotated for the cloud</w:t>
            </w:r>
          </w:p>
        </w:tc>
        <w:tc>
          <w:tcPr>
            <w:tcW w:type="dxa" w:w="1300"/>
            <w:tcMar>
              <w:top w:type="dxa" w:w="80"/>
              <w:left w:type="dxa" w:w="90"/>
              <w:bottom w:type="dxa" w:w="80"/>
              <w:right w:type="dxa" w:w="90"/>
            </w:tcMar>
          </w:tcPr>
          <w:p>
            <w:pPr>
              <w:spacing w:after="0"/>
            </w:pPr>
            <w:r>
              <w:rPr>
                <w:b w:val="false"/>
                <w:bCs w:val="false"/>
                <w:color w:val="000000"/>
                <w:sz w:val="16"/>
                <w:szCs w:val="16"/>
              </w:rPr>
              <w:t xml:space="preserve">The timestamped backup is the rollback path and is proven by DEP-06</w:t>
            </w:r>
          </w:p>
        </w:tc>
        <w:tc>
          <w:tcPr>
            <w:tcW w:type="dxa" w:w="960"/>
            <w:tcMar>
              <w:top w:type="dxa" w:w="80"/>
              <w:left w:type="dxa" w:w="90"/>
              <w:bottom w:type="dxa" w:w="80"/>
              <w:right w:type="dxa" w:w="90"/>
            </w:tcMar>
          </w:tcPr>
          <w:p>
            <w:pPr>
              <w:spacing w:after="0"/>
            </w:pPr>
            <w:r>
              <w:rPr>
                <w:b w:val="false"/>
                <w:bCs w:val="false"/>
                <w:color w:val="000000"/>
                <w:sz w:val="16"/>
                <w:szCs w:val="16"/>
              </w:rPr>
              <w:t xml:space="preserve">AT-01 to AT-08, DEP-05, DEP-06</w:t>
            </w:r>
          </w:p>
        </w:tc>
      </w:tr>
    </w:tbl>
    <w:p>
      <w:pPr>
        <w:pStyle w:val="Heading2"/>
        <w:spacing w:after="100" w:before="220"/>
      </w:pPr>
      <w:r>
        <w:rPr>
          <w:b/>
          <w:bCs/>
          <w:color w:val="1F4E78"/>
          <w:sz w:val="23"/>
          <w:szCs w:val="23"/>
        </w:rPr>
        <w:t xml:space="preserve">11A.3 Setup, reset and traceability procedure</w:t>
      </w:r>
    </w:p>
    <w:p>
      <w:pPr>
        <w:pStyle w:val="ListParagraph"/>
        <w:numPr>
          <w:ilvl w:val="0"/>
          <w:numId w:val="1"/>
        </w:numPr>
        <w:spacing w:after="60"/>
      </w:pPr>
      <w:r>
        <w:rPr>
          <w:sz w:val="20"/>
          <w:szCs w:val="20"/>
        </w:rPr>
        <w:t xml:space="preserve">Setup: start MySQL; start core once so the schema and its patch columns exist; run the seed loader to populate every business table (at least 30 rows each); start the AI service, the gateway and the client, or start the private end-to-end stack, which recreates its database and builds core and the gateway from the working tree.</w:t>
      </w:r>
    </w:p>
    <w:p>
      <w:pPr>
        <w:pStyle w:val="ListParagraph"/>
        <w:numPr>
          <w:ilvl w:val="0"/>
          <w:numId w:val="1"/>
        </w:numPr>
        <w:spacing w:after="60"/>
      </w:pPr>
      <w:r>
        <w:rPr>
          <w:sz w:val="20"/>
          <w:szCs w:val="20"/>
        </w:rPr>
        <w:t xml:space="preserve">Reset: the private test database is recreated on every stack start, which is the default reset. For the shared development database, the seed loader with --reset removes the 30 seed dealerships and everything they own and leaves hand-made records untouched. In the cloud, the deployment script backs up the current rows before replacing them, and the backup file is the documented rollback.</w:t>
      </w:r>
    </w:p>
    <w:p>
      <w:pPr>
        <w:pStyle w:val="ListParagraph"/>
        <w:numPr>
          <w:ilvl w:val="0"/>
          <w:numId w:val="1"/>
        </w:numPr>
        <w:spacing w:after="60"/>
      </w:pPr>
      <w:r>
        <w:rPr>
          <w:sz w:val="20"/>
          <w:szCs w:val="20"/>
        </w:rPr>
        <w:t xml:space="preserve">Traceability: every workbook row names its data category in the pre-conditions column, and this section is the single source of truth for how that category is produced. A case that needs a state the seed does not provide (stale check, over-balance payment, forged header) states in its steps how that state is produced.</w:t>
      </w:r>
    </w:p>
    <w:p>
      <w:pPr>
        <w:pStyle w:val="ListParagraph"/>
        <w:numPr>
          <w:ilvl w:val="0"/>
          <w:numId w:val="1"/>
        </w:numPr>
        <w:spacing w:after="60"/>
      </w:pPr>
      <w:r>
        <w:rPr>
          <w:sz w:val="20"/>
          <w:szCs w:val="20"/>
        </w:rPr>
        <w:t xml:space="preserve">Review: the data set is reviewed at each baseline. If a seeded record ever resembles a real dealership or person, it is regenerated and the plan version is raised. Generated contract files are never hand-edited, so the generator stays the single source.</w:t>
      </w:r>
    </w:p>
    <w:p>
      <w:pPr>
        <w:pStyle w:val="Heading2"/>
        <w:spacing w:after="100" w:before="220"/>
      </w:pPr>
      <w:r>
        <w:rPr>
          <w:b/>
          <w:bCs/>
          <w:color w:val="1F4E78"/>
          <w:sz w:val="23"/>
          <w:szCs w:val="23"/>
        </w:rPr>
        <w:t xml:space="preserve">11A.4 Data risks and contingencies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Data risk</w:t>
            </w:r>
          </w:p>
        </w:tc>
        <w:tc>
          <w:tcPr>
            <w:tcW w:type="dxa" w:w="2200"/>
            <w:shd w:fill="1F4E78" w:val="clear"/>
            <w:tcMar>
              <w:top w:type="dxa" w:w="80"/>
              <w:left w:type="dxa" w:w="90"/>
              <w:bottom w:type="dxa" w:w="80"/>
              <w:right w:type="dxa" w:w="90"/>
            </w:tcMar>
          </w:tcPr>
          <w:p>
            <w:pPr>
              <w:spacing w:after="0"/>
            </w:pPr>
            <w:r>
              <w:rPr>
                <w:b/>
                <w:bCs/>
                <w:color w:val="FFFFFF"/>
                <w:sz w:val="17"/>
                <w:szCs w:val="17"/>
              </w:rPr>
              <w:t xml:space="preserve">Impact</w:t>
            </w:r>
          </w:p>
        </w:tc>
        <w:tc>
          <w:tcPr>
            <w:tcW w:type="dxa" w:w="4560"/>
            <w:shd w:fill="1F4E78" w:val="clear"/>
            <w:tcMar>
              <w:top w:type="dxa" w:w="80"/>
              <w:left w:type="dxa" w:w="90"/>
              <w:bottom w:type="dxa" w:w="80"/>
              <w:right w:type="dxa" w:w="90"/>
            </w:tcMar>
          </w:tcPr>
          <w:p>
            <w:pPr>
              <w:spacing w:after="0"/>
            </w:pPr>
            <w:r>
              <w:rPr>
                <w:b/>
                <w:bCs/>
                <w:color w:val="FFFFFF"/>
                <w:sz w:val="17"/>
                <w:szCs w:val="17"/>
              </w:rPr>
              <w:t xml:space="preserve">Mitigation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Real customer data reaches a screenshot, log or export</w:t>
            </w:r>
          </w:p>
        </w:tc>
        <w:tc>
          <w:tcPr>
            <w:tcW w:type="dxa" w:w="2200"/>
            <w:tcMar>
              <w:top w:type="dxa" w:w="80"/>
              <w:left w:type="dxa" w:w="90"/>
              <w:bottom w:type="dxa" w:w="80"/>
              <w:right w:type="dxa" w:w="90"/>
            </w:tcMar>
          </w:tcPr>
          <w:p>
            <w:pPr>
              <w:spacing w:after="0"/>
            </w:pPr>
            <w:r>
              <w:rPr>
                <w:b w:val="false"/>
                <w:bCs w:val="false"/>
                <w:color w:val="000000"/>
                <w:sz w:val="16"/>
                <w:szCs w:val="16"/>
              </w:rPr>
              <w:t xml:space="preserve">Privacy breach; the evidence has to be discarded</w:t>
            </w:r>
          </w:p>
        </w:tc>
        <w:tc>
          <w:tcPr>
            <w:tcW w:type="dxa" w:w="4560"/>
            <w:tcMar>
              <w:top w:type="dxa" w:w="80"/>
              <w:left w:type="dxa" w:w="90"/>
              <w:bottom w:type="dxa" w:w="80"/>
              <w:right w:type="dxa" w:w="90"/>
            </w:tcMar>
          </w:tcPr>
          <w:p>
            <w:pPr>
              <w:spacing w:after="0"/>
            </w:pPr>
            <w:r>
              <w:rPr>
                <w:b w:val="false"/>
                <w:bCs w:val="false"/>
                <w:color w:val="000000"/>
                <w:sz w:val="16"/>
                <w:szCs w:val="16"/>
              </w:rPr>
              <w:t xml:space="preserve">Synthetic-only rule, reserved number and domain ranges, and the pre-submission scrub in AT-08; immediate quarantine and regeneration if found</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A test run writes to the shared development database</w:t>
            </w:r>
          </w:p>
        </w:tc>
        <w:tc>
          <w:tcPr>
            <w:tcW w:type="dxa" w:w="2200"/>
            <w:tcMar>
              <w:top w:type="dxa" w:w="80"/>
              <w:left w:type="dxa" w:w="90"/>
              <w:bottom w:type="dxa" w:w="80"/>
              <w:right w:type="dxa" w:w="90"/>
            </w:tcMar>
          </w:tcPr>
          <w:p>
            <w:pPr>
              <w:spacing w:after="0"/>
            </w:pPr>
            <w:r>
              <w:rPr>
                <w:b w:val="false"/>
                <w:bCs w:val="false"/>
                <w:color w:val="000000"/>
                <w:sz w:val="16"/>
                <w:szCs w:val="16"/>
              </w:rPr>
              <w:t xml:space="preserve">A demo loses its data and results are not reproducible</w:t>
            </w:r>
          </w:p>
        </w:tc>
        <w:tc>
          <w:tcPr>
            <w:tcW w:type="dxa" w:w="4560"/>
            <w:tcMar>
              <w:top w:type="dxa" w:w="80"/>
              <w:left w:type="dxa" w:w="90"/>
              <w:bottom w:type="dxa" w:w="80"/>
              <w:right w:type="dxa" w:w="90"/>
            </w:tcMar>
          </w:tcPr>
          <w:p>
            <w:pPr>
              <w:spacing w:after="0"/>
            </w:pPr>
            <w:r>
              <w:rPr>
                <w:b w:val="false"/>
                <w:bCs w:val="false"/>
                <w:color w:val="000000"/>
                <w:sz w:val="16"/>
                <w:szCs w:val="16"/>
              </w:rPr>
              <w:t xml:space="preserve">The end-to-end stack refuses to start on the shared ports or database; test runs use dealer_core_e2e, which is recreated per start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Stale data shared between cases</w:t>
            </w:r>
          </w:p>
        </w:tc>
        <w:tc>
          <w:tcPr>
            <w:tcW w:type="dxa" w:w="2200"/>
            <w:tcMar>
              <w:top w:type="dxa" w:w="80"/>
              <w:left w:type="dxa" w:w="90"/>
              <w:bottom w:type="dxa" w:w="80"/>
              <w:right w:type="dxa" w:w="90"/>
            </w:tcMar>
          </w:tcPr>
          <w:p>
            <w:pPr>
              <w:spacing w:after="0"/>
            </w:pPr>
            <w:r>
              <w:rPr>
                <w:b w:val="false"/>
                <w:bCs w:val="false"/>
                <w:color w:val="000000"/>
                <w:sz w:val="16"/>
                <w:szCs w:val="16"/>
              </w:rPr>
              <w:t xml:space="preserve">False passes and false failures</w:t>
            </w:r>
          </w:p>
        </w:tc>
        <w:tc>
          <w:tcPr>
            <w:tcW w:type="dxa" w:w="4560"/>
            <w:tcMar>
              <w:top w:type="dxa" w:w="80"/>
              <w:left w:type="dxa" w:w="90"/>
              <w:bottom w:type="dxa" w:w="80"/>
              <w:right w:type="dxa" w:w="90"/>
            </w:tcMar>
          </w:tcPr>
          <w:p>
            <w:pPr>
              <w:spacing w:after="0"/>
            </w:pPr>
            <w:r>
              <w:rPr>
                <w:b w:val="false"/>
                <w:bCs w:val="false"/>
                <w:color w:val="000000"/>
                <w:sz w:val="16"/>
                <w:szCs w:val="16"/>
              </w:rPr>
              <w:t xml:space="preserve">Database recreated per stack start; destructive cases name their predecessor and reset step; audit rows are never edited</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The public listing snapshot ages or its source changes</w:t>
            </w:r>
          </w:p>
        </w:tc>
        <w:tc>
          <w:tcPr>
            <w:tcW w:type="dxa" w:w="2200"/>
            <w:tcMar>
              <w:top w:type="dxa" w:w="80"/>
              <w:left w:type="dxa" w:w="90"/>
              <w:bottom w:type="dxa" w:w="80"/>
              <w:right w:type="dxa" w:w="90"/>
            </w:tcMar>
          </w:tcPr>
          <w:p>
            <w:pPr>
              <w:spacing w:after="0"/>
            </w:pPr>
            <w:r>
              <w:rPr>
                <w:b w:val="false"/>
                <w:bCs w:val="false"/>
                <w:color w:val="000000"/>
                <w:sz w:val="16"/>
                <w:szCs w:val="16"/>
              </w:rPr>
              <w:t xml:space="preserve">Seeded vehicles stop resembling the market</w:t>
            </w:r>
          </w:p>
        </w:tc>
        <w:tc>
          <w:tcPr>
            <w:tcW w:type="dxa" w:w="4560"/>
            <w:tcMar>
              <w:top w:type="dxa" w:w="80"/>
              <w:left w:type="dxa" w:w="90"/>
              <w:bottom w:type="dxa" w:w="80"/>
              <w:right w:type="dxa" w:w="90"/>
            </w:tcMar>
          </w:tcPr>
          <w:p>
            <w:pPr>
              <w:spacing w:after="0"/>
            </w:pPr>
            <w:r>
              <w:rPr>
                <w:b w:val="false"/>
                <w:bCs w:val="false"/>
                <w:color w:val="000000"/>
                <w:sz w:val="16"/>
                <w:szCs w:val="16"/>
              </w:rPr>
              <w:t xml:space="preserve">The snapshot is committed, so runs stay reproducible; it is refreshed deliberately at a baseline, never mid-run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The seed and the start-up schema fall out of step</w:t>
            </w:r>
          </w:p>
        </w:tc>
        <w:tc>
          <w:tcPr>
            <w:tcW w:type="dxa" w:w="2200"/>
            <w:tcMar>
              <w:top w:type="dxa" w:w="80"/>
              <w:left w:type="dxa" w:w="90"/>
              <w:bottom w:type="dxa" w:w="80"/>
              <w:right w:type="dxa" w:w="90"/>
            </w:tcMar>
          </w:tcPr>
          <w:p>
            <w:pPr>
              <w:spacing w:after="0"/>
            </w:pPr>
            <w:r>
              <w:rPr>
                <w:b w:val="false"/>
                <w:bCs w:val="false"/>
                <w:color w:val="000000"/>
                <w:sz w:val="16"/>
                <w:szCs w:val="16"/>
              </w:rPr>
              <w:t xml:space="preserve">Loading fails and execution is blocked</w:t>
            </w:r>
          </w:p>
        </w:tc>
        <w:tc>
          <w:tcPr>
            <w:tcW w:type="dxa" w:w="4560"/>
            <w:tcMar>
              <w:top w:type="dxa" w:w="80"/>
              <w:left w:type="dxa" w:w="90"/>
              <w:bottom w:type="dxa" w:w="80"/>
              <w:right w:type="dxa" w:w="90"/>
            </w:tcMar>
          </w:tcPr>
          <w:p>
            <w:pPr>
              <w:spacing w:after="0"/>
            </w:pPr>
            <w:r>
              <w:rPr>
                <w:b w:val="false"/>
                <w:bCs w:val="false"/>
                <w:color w:val="000000"/>
                <w:sz w:val="16"/>
                <w:szCs w:val="16"/>
              </w:rPr>
              <w:t xml:space="preserve">The seed is versioned with the code and the deployment script refuses to publish data that needs a column the deployed build lacks; DEP-02 and DEP-03 verify this before execution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A secret leaks through an environment file or a screenshot</w:t>
            </w:r>
          </w:p>
        </w:tc>
        <w:tc>
          <w:tcPr>
            <w:tcW w:type="dxa" w:w="2200"/>
            <w:tcMar>
              <w:top w:type="dxa" w:w="80"/>
              <w:left w:type="dxa" w:w="90"/>
              <w:bottom w:type="dxa" w:w="80"/>
              <w:right w:type="dxa" w:w="90"/>
            </w:tcMar>
          </w:tcPr>
          <w:p>
            <w:pPr>
              <w:spacing w:after="0"/>
            </w:pPr>
            <w:r>
              <w:rPr>
                <w:b w:val="false"/>
                <w:bCs w:val="false"/>
                <w:color w:val="000000"/>
                <w:sz w:val="16"/>
                <w:szCs w:val="16"/>
              </w:rPr>
              <w:t xml:space="preserve">Credential compromise</w:t>
            </w:r>
          </w:p>
        </w:tc>
        <w:tc>
          <w:tcPr>
            <w:tcW w:type="dxa" w:w="4560"/>
            <w:tcMar>
              <w:top w:type="dxa" w:w="80"/>
              <w:left w:type="dxa" w:w="90"/>
              <w:bottom w:type="dxa" w:w="80"/>
              <w:right w:type="dxa" w:w="90"/>
            </w:tcMar>
          </w:tcPr>
          <w:p>
            <w:pPr>
              <w:spacing w:after="0"/>
            </w:pPr>
            <w:r>
              <w:rPr>
                <w:b w:val="false"/>
                <w:bCs w:val="false"/>
                <w:color w:val="000000"/>
                <w:sz w:val="16"/>
                <w:szCs w:val="16"/>
              </w:rPr>
              <w:t xml:space="preserve">Secrets live in ignored local files, the environment or Key Vault; evidence masks values; AT-08 scans the whole evidence set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The AI provider key is unavailable during a demo</w:t>
            </w:r>
          </w:p>
        </w:tc>
        <w:tc>
          <w:tcPr>
            <w:tcW w:type="dxa" w:w="2200"/>
            <w:tcMar>
              <w:top w:type="dxa" w:w="80"/>
              <w:left w:type="dxa" w:w="90"/>
              <w:bottom w:type="dxa" w:w="80"/>
              <w:right w:type="dxa" w:w="90"/>
            </w:tcMar>
          </w:tcPr>
          <w:p>
            <w:pPr>
              <w:spacing w:after="0"/>
            </w:pPr>
            <w:r>
              <w:rPr>
                <w:b w:val="false"/>
                <w:bCs w:val="false"/>
                <w:color w:val="000000"/>
                <w:sz w:val="16"/>
                <w:szCs w:val="16"/>
              </w:rPr>
              <w:t xml:space="preserve">Live-model cases cannot run</w:t>
            </w:r>
          </w:p>
        </w:tc>
        <w:tc>
          <w:tcPr>
            <w:tcW w:type="dxa" w:w="4560"/>
            <w:tcMar>
              <w:top w:type="dxa" w:w="80"/>
              <w:left w:type="dxa" w:w="90"/>
              <w:bottom w:type="dxa" w:w="80"/>
              <w:right w:type="dxa" w:w="90"/>
            </w:tcMar>
          </w:tcPr>
          <w:p>
            <w:pPr>
              <w:spacing w:after="0"/>
            </w:pPr>
            <w:r>
              <w:rPr>
                <w:b w:val="false"/>
                <w:bCs w:val="false"/>
                <w:color w:val="000000"/>
                <w:sz w:val="16"/>
                <w:szCs w:val="16"/>
              </w:rPr>
              <w:t xml:space="preserve">The failure-safe cases are executed instead and the live cases are marked blocked with evidence, then re-run when the key is restored</w:t>
            </w:r>
          </w:p>
        </w:tc>
      </w:tr>
    </w:tbl>
    <w:p>
      <w:pPr>
        <w:pStyle w:val="Heading1"/>
        <w:spacing w:after="100" w:before="220"/>
      </w:pPr>
      <w:r>
        <w:rPr>
          <w:b/>
          <w:bCs/>
          <w:color w:val="1F4E78"/>
          <w:sz w:val="26"/>
          <w:szCs w:val="26"/>
        </w:rPr>
        <w:t xml:space="preserve">12. Staffing and Training Needs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100"/>
            <w:shd w:fill="1F4E78" w:val="clear"/>
            <w:tcMar>
              <w:top w:type="dxa" w:w="80"/>
              <w:left w:type="dxa" w:w="90"/>
              <w:bottom w:type="dxa" w:w="80"/>
              <w:right w:type="dxa" w:w="90"/>
            </w:tcMar>
          </w:tcPr>
          <w:p>
            <w:pPr>
              <w:spacing w:after="0"/>
            </w:pPr>
            <w:r>
              <w:rPr>
                <w:b/>
                <w:bCs/>
                <w:color w:val="FFFFFF"/>
                <w:sz w:val="17"/>
                <w:szCs w:val="17"/>
              </w:rPr>
              <w:t xml:space="preserve">Role</w:t>
            </w:r>
          </w:p>
        </w:tc>
        <w:tc>
          <w:tcPr>
            <w:tcW w:type="dxa" w:w="2800"/>
            <w:shd w:fill="1F4E78" w:val="clear"/>
            <w:tcMar>
              <w:top w:type="dxa" w:w="80"/>
              <w:left w:type="dxa" w:w="90"/>
              <w:bottom w:type="dxa" w:w="80"/>
              <w:right w:type="dxa" w:w="90"/>
            </w:tcMar>
          </w:tcPr>
          <w:p>
            <w:pPr>
              <w:spacing w:after="0"/>
            </w:pPr>
            <w:r>
              <w:rPr>
                <w:b/>
                <w:bCs/>
                <w:color w:val="FFFFFF"/>
                <w:sz w:val="17"/>
                <w:szCs w:val="17"/>
              </w:rPr>
              <w:t xml:space="preserve">Skills required</w:t>
            </w:r>
          </w:p>
        </w:tc>
        <w:tc>
          <w:tcPr>
            <w:tcW w:type="dxa" w:w="3400"/>
            <w:shd w:fill="1F4E78" w:val="clear"/>
            <w:tcMar>
              <w:top w:type="dxa" w:w="80"/>
              <w:left w:type="dxa" w:w="90"/>
              <w:bottom w:type="dxa" w:w="80"/>
              <w:right w:type="dxa" w:w="90"/>
            </w:tcMar>
          </w:tcPr>
          <w:p>
            <w:pPr>
              <w:spacing w:after="0"/>
            </w:pPr>
            <w:r>
              <w:rPr>
                <w:b/>
                <w:bCs/>
                <w:color w:val="FFFFFF"/>
                <w:sz w:val="17"/>
                <w:szCs w:val="17"/>
              </w:rPr>
              <w:t xml:space="preserve">Training or preparation</w:t>
            </w:r>
          </w:p>
        </w:tc>
        <w:tc>
          <w:tcPr>
            <w:tcW w:type="dxa" w:w="1060"/>
            <w:shd w:fill="1F4E78" w:val="clear"/>
            <w:tcMar>
              <w:top w:type="dxa" w:w="80"/>
              <w:left w:type="dxa" w:w="90"/>
              <w:bottom w:type="dxa" w:w="80"/>
              <w:right w:type="dxa" w:w="90"/>
            </w:tcMar>
          </w:tcPr>
          <w:p>
            <w:pPr>
              <w:spacing w:after="0"/>
            </w:pPr>
            <w:r>
              <w:rPr>
                <w:b/>
                <w:bCs/>
                <w:color w:val="FFFFFF"/>
                <w:sz w:val="17"/>
                <w:szCs w:val="17"/>
              </w:rPr>
              <w:t xml:space="preserve">Responsible</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QA lead</w:t>
            </w:r>
          </w:p>
        </w:tc>
        <w:tc>
          <w:tcPr>
            <w:tcW w:type="dxa" w:w="2800"/>
            <w:tcMar>
              <w:top w:type="dxa" w:w="80"/>
              <w:left w:type="dxa" w:w="90"/>
              <w:bottom w:type="dxa" w:w="80"/>
              <w:right w:type="dxa" w:w="90"/>
            </w:tcMar>
          </w:tcPr>
          <w:p>
            <w:pPr>
              <w:spacing w:after="0"/>
            </w:pPr>
            <w:r>
              <w:rPr>
                <w:b w:val="false"/>
                <w:bCs w:val="false"/>
                <w:color w:val="000000"/>
                <w:sz w:val="16"/>
                <w:szCs w:val="16"/>
              </w:rPr>
              <w:t xml:space="preserve">Traceability, risk-based prioritisation, defect triage, report writing, privacy review</w:t>
            </w:r>
          </w:p>
        </w:tc>
        <w:tc>
          <w:tcPr>
            <w:tcW w:type="dxa" w:w="3400"/>
            <w:tcMar>
              <w:top w:type="dxa" w:w="80"/>
              <w:left w:type="dxa" w:w="90"/>
              <w:bottom w:type="dxa" w:w="80"/>
              <w:right w:type="dxa" w:w="90"/>
            </w:tcMar>
          </w:tcPr>
          <w:p>
            <w:pPr>
              <w:spacing w:after="0"/>
            </w:pPr>
            <w:r>
              <w:rPr>
                <w:b w:val="false"/>
                <w:bCs w:val="false"/>
                <w:color w:val="000000"/>
                <w:sz w:val="16"/>
                <w:szCs w:val="16"/>
              </w:rPr>
              <w:t xml:space="preserve">Review the rubric, the IEEE-style structure and chapter 5 of the textbook; agree the severity rules and the evidence naming scheme with the group</w:t>
            </w:r>
          </w:p>
        </w:tc>
        <w:tc>
          <w:tcPr>
            <w:tcW w:type="dxa" w:w="10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Platform and user-interface tester</w:t>
            </w:r>
          </w:p>
        </w:tc>
        <w:tc>
          <w:tcPr>
            <w:tcW w:type="dxa" w:w="2800"/>
            <w:tcMar>
              <w:top w:type="dxa" w:w="80"/>
              <w:left w:type="dxa" w:w="90"/>
              <w:bottom w:type="dxa" w:w="80"/>
              <w:right w:type="dxa" w:w="90"/>
            </w:tcMar>
          </w:tcPr>
          <w:p>
            <w:pPr>
              <w:spacing w:after="0"/>
            </w:pPr>
            <w:r>
              <w:rPr>
                <w:b w:val="false"/>
                <w:bCs w:val="false"/>
                <w:color w:val="000000"/>
                <w:sz w:val="16"/>
                <w:szCs w:val="16"/>
              </w:rPr>
              <w:t xml:space="preserve">HTTP and JWT, ASP.NET Core authorisation, EF Core and SQL verification, React route guards, negative testing, browser evidence</w:t>
            </w:r>
          </w:p>
        </w:tc>
        <w:tc>
          <w:tcPr>
            <w:tcW w:type="dxa" w:w="3400"/>
            <w:tcMar>
              <w:top w:type="dxa" w:w="80"/>
              <w:left w:type="dxa" w:w="90"/>
              <w:bottom w:type="dxa" w:w="80"/>
              <w:right w:type="dxa" w:w="90"/>
            </w:tcMar>
          </w:tcPr>
          <w:p>
            <w:pPr>
              <w:spacing w:after="0"/>
            </w:pPr>
            <w:r>
              <w:rPr>
                <w:b w:val="false"/>
                <w:bCs w:val="false"/>
                <w:color w:val="000000"/>
                <w:sz w:val="16"/>
                <w:szCs w:val="16"/>
              </w:rPr>
              <w:t xml:space="preserve">Walk the route table and the role checks in the source; practise one full record-to-export workflow and one database verification before execution starts</w:t>
            </w:r>
          </w:p>
        </w:tc>
        <w:tc>
          <w:tcPr>
            <w:tcW w:type="dxa" w:w="10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Advertising, AI and audit tester</w:t>
            </w:r>
          </w:p>
        </w:tc>
        <w:tc>
          <w:tcPr>
            <w:tcW w:type="dxa" w:w="2800"/>
            <w:tcMar>
              <w:top w:type="dxa" w:w="80"/>
              <w:left w:type="dxa" w:w="90"/>
              <w:bottom w:type="dxa" w:w="80"/>
              <w:right w:type="dxa" w:w="90"/>
            </w:tcMar>
          </w:tcPr>
          <w:p>
            <w:pPr>
              <w:spacing w:after="0"/>
            </w:pPr>
            <w:r>
              <w:rPr>
                <w:b w:val="false"/>
                <w:bCs w:val="false"/>
                <w:color w:val="000000"/>
                <w:sz w:val="16"/>
                <w:szCs w:val="16"/>
              </w:rPr>
              <w:t xml:space="preserve">Rule-engine reading, prompt-boundary analysis, timeout and error mapping, audit interpretation</w:t>
            </w:r>
          </w:p>
        </w:tc>
        <w:tc>
          <w:tcPr>
            <w:tcW w:type="dxa" w:w="3400"/>
            <w:tcMar>
              <w:top w:type="dxa" w:w="80"/>
              <w:left w:type="dxa" w:w="90"/>
              <w:bottom w:type="dxa" w:w="80"/>
              <w:right w:type="dxa" w:w="90"/>
            </w:tcMar>
          </w:tcPr>
          <w:p>
            <w:pPr>
              <w:spacing w:after="0"/>
            </w:pPr>
            <w:r>
              <w:rPr>
                <w:b w:val="false"/>
                <w:bCs w:val="false"/>
                <w:color w:val="000000"/>
                <w:sz w:val="16"/>
                <w:szCs w:val="16"/>
              </w:rPr>
              <w:t xml:space="preserve">Review the rule engine and the fixture document; rehearse the blocked, passed, unavailable and stale paths once each</w:t>
            </w:r>
          </w:p>
        </w:tc>
        <w:tc>
          <w:tcPr>
            <w:tcW w:type="dxa" w:w="10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Release owner</w:t>
            </w:r>
          </w:p>
        </w:tc>
        <w:tc>
          <w:tcPr>
            <w:tcW w:type="dxa" w:w="2800"/>
            <w:tcMar>
              <w:top w:type="dxa" w:w="80"/>
              <w:left w:type="dxa" w:w="90"/>
              <w:bottom w:type="dxa" w:w="80"/>
              <w:right w:type="dxa" w:w="90"/>
            </w:tcMar>
          </w:tcPr>
          <w:p>
            <w:pPr>
              <w:spacing w:after="0"/>
            </w:pPr>
            <w:r>
              <w:rPr>
                <w:b w:val="false"/>
                <w:bCs w:val="false"/>
                <w:color w:val="000000"/>
                <w:sz w:val="16"/>
                <w:szCs w:val="16"/>
              </w:rPr>
              <w:t xml:space="preserve">Terraform, Azure App Service, Key Vault, deployment scripting, rollback</w:t>
            </w:r>
          </w:p>
        </w:tc>
        <w:tc>
          <w:tcPr>
            <w:tcW w:type="dxa" w:w="3400"/>
            <w:tcMar>
              <w:top w:type="dxa" w:w="80"/>
              <w:left w:type="dxa" w:w="90"/>
              <w:bottom w:type="dxa" w:w="80"/>
              <w:right w:type="dxa" w:w="90"/>
            </w:tcMar>
          </w:tcPr>
          <w:p>
            <w:pPr>
              <w:spacing w:after="0"/>
            </w:pPr>
            <w:r>
              <w:rPr>
                <w:b w:val="false"/>
                <w:bCs w:val="false"/>
                <w:color w:val="000000"/>
                <w:sz w:val="16"/>
                <w:szCs w:val="16"/>
              </w:rPr>
              <w:t xml:space="preserve">Perform one full apply, deploy, seed and rollback cycle before the acceptance phase, so a review demo is never the first attempt</w:t>
            </w:r>
          </w:p>
        </w:tc>
        <w:tc>
          <w:tcPr>
            <w:tcW w:type="dxa" w:w="10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100"/>
            <w:tcMar>
              <w:top w:type="dxa" w:w="80"/>
              <w:left w:type="dxa" w:w="90"/>
              <w:bottom w:type="dxa" w:w="80"/>
              <w:right w:type="dxa" w:w="90"/>
            </w:tcMar>
          </w:tcPr>
          <w:p>
            <w:pPr>
              <w:spacing w:after="0"/>
            </w:pPr>
            <w:r>
              <w:rPr>
                <w:b w:val="false"/>
                <w:bCs w:val="false"/>
                <w:color w:val="000000"/>
                <w:sz w:val="16"/>
                <w:szCs w:val="16"/>
              </w:rPr>
              <w:t xml:space="preserve">All members</w:t>
            </w:r>
          </w:p>
        </w:tc>
        <w:tc>
          <w:tcPr>
            <w:tcW w:type="dxa" w:w="2800"/>
            <w:tcMar>
              <w:top w:type="dxa" w:w="80"/>
              <w:left w:type="dxa" w:w="90"/>
              <w:bottom w:type="dxa" w:w="80"/>
              <w:right w:type="dxa" w:w="90"/>
            </w:tcMar>
          </w:tcPr>
          <w:p>
            <w:pPr>
              <w:spacing w:after="0"/>
            </w:pPr>
            <w:r>
              <w:rPr>
                <w:b w:val="false"/>
                <w:bCs w:val="false"/>
                <w:color w:val="000000"/>
                <w:sz w:val="16"/>
                <w:szCs w:val="16"/>
              </w:rPr>
              <w:t xml:space="preserve">Writing reproducible steps, recording evidence, reporting failures without changing test artefacts</w:t>
            </w:r>
          </w:p>
        </w:tc>
        <w:tc>
          <w:tcPr>
            <w:tcW w:type="dxa" w:w="3400"/>
            <w:tcMar>
              <w:top w:type="dxa" w:w="80"/>
              <w:left w:type="dxa" w:w="90"/>
              <w:bottom w:type="dxa" w:w="80"/>
              <w:right w:type="dxa" w:w="90"/>
            </w:tcMar>
          </w:tcPr>
          <w:p>
            <w:pPr>
              <w:spacing w:after="0"/>
            </w:pPr>
            <w:r>
              <w:rPr>
                <w:b w:val="false"/>
                <w:bCs w:val="false"/>
                <w:color w:val="000000"/>
                <w:sz w:val="16"/>
                <w:szCs w:val="16"/>
              </w:rPr>
              <w:t xml:space="preserve">Peer-review every High-priority case; run one calibration case that passes and one that fails so the group reports them the same way</w:t>
            </w:r>
          </w:p>
        </w:tc>
        <w:tc>
          <w:tcPr>
            <w:tcW w:type="dxa" w:w="1060"/>
            <w:tcMar>
              <w:top w:type="dxa" w:w="80"/>
              <w:left w:type="dxa" w:w="90"/>
              <w:bottom w:type="dxa" w:w="80"/>
              <w:right w:type="dxa" w:w="90"/>
            </w:tcMar>
          </w:tcPr>
          <w:p>
            <w:pPr>
              <w:spacing w:after="0"/>
            </w:pPr>
            <w:r>
              <w:rPr>
                <w:b w:val="false"/>
                <w:bCs w:val="false"/>
                <w:color w:val="000000"/>
                <w:sz w:val="16"/>
                <w:szCs w:val="16"/>
              </w:rPr>
              <w:t xml:space="preserve">Group</w:t>
            </w:r>
          </w:p>
        </w:tc>
      </w:tr>
    </w:tbl>
    <w:p>
      <w:pPr>
        <w:pStyle w:val="Heading1"/>
        <w:spacing w:after="100" w:before="220"/>
      </w:pPr>
      <w:r>
        <w:rPr>
          <w:b/>
          <w:bCs/>
          <w:color w:val="1F4E78"/>
          <w:sz w:val="26"/>
          <w:szCs w:val="26"/>
        </w:rPr>
        <w:t xml:space="preserve">13. Schedule</w:t>
      </w:r>
    </w:p>
    <w:p>
      <w:pPr>
        <w:spacing w:after="100" w:line="276"/>
      </w:pPr>
      <w:r>
        <w:rPr>
          <w:sz w:val="21"/>
          <w:szCs w:val="21"/>
        </w:rPr>
        <w:t xml:space="preserve">The assignment is due on November 16, 2026. Three schedules are given: the test-case writing and review schedule, the execution and reporting schedule per phase, and the overall master schedule that combines them. The master schedule is the one the test team manages; the first two are inputs to it.</w:t>
      </w:r>
    </w:p>
    <w:p>
      <w:pPr>
        <w:pStyle w:val="Heading2"/>
        <w:spacing w:after="100" w:before="220"/>
      </w:pPr>
      <w:r>
        <w:rPr>
          <w:b/>
          <w:bCs/>
          <w:color w:val="1F4E78"/>
          <w:sz w:val="23"/>
          <w:szCs w:val="23"/>
        </w:rPr>
        <w:t xml:space="preserve">13.1 Test-case writing and review schedule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tblGrid>
      <w:tr>
        <w:tc>
          <w:tcPr>
            <w:tcW w:type="dxa" w:w="3400"/>
            <w:shd w:fill="1F4E78" w:val="clear"/>
            <w:tcMar>
              <w:top w:type="dxa" w:w="80"/>
              <w:left w:type="dxa" w:w="90"/>
              <w:bottom w:type="dxa" w:w="80"/>
              <w:right w:type="dxa" w:w="90"/>
            </w:tcMar>
          </w:tcPr>
          <w:p>
            <w:pPr>
              <w:spacing w:after="0"/>
            </w:pPr>
            <w:r>
              <w:rPr>
                <w:b/>
                <w:bCs/>
                <w:color w:val="FFFFFF"/>
                <w:sz w:val="17"/>
                <w:szCs w:val="17"/>
              </w:rPr>
              <w:t xml:space="preserve">Activity</w:t>
            </w:r>
          </w:p>
        </w:tc>
        <w:tc>
          <w:tcPr>
            <w:tcW w:type="dxa" w:w="1250"/>
            <w:shd w:fill="1F4E78" w:val="clear"/>
            <w:tcMar>
              <w:top w:type="dxa" w:w="80"/>
              <w:left w:type="dxa" w:w="90"/>
              <w:bottom w:type="dxa" w:w="80"/>
              <w:right w:type="dxa" w:w="90"/>
            </w:tcMar>
          </w:tcPr>
          <w:p>
            <w:pPr>
              <w:spacing w:after="0"/>
            </w:pPr>
            <w:r>
              <w:rPr>
                <w:b/>
                <w:bCs/>
                <w:color w:val="FFFFFF"/>
                <w:sz w:val="17"/>
                <w:szCs w:val="17"/>
              </w:rPr>
              <w:t xml:space="preserve">Start</w:t>
            </w:r>
          </w:p>
        </w:tc>
        <w:tc>
          <w:tcPr>
            <w:tcW w:type="dxa" w:w="1250"/>
            <w:shd w:fill="1F4E78" w:val="clear"/>
            <w:tcMar>
              <w:top w:type="dxa" w:w="80"/>
              <w:left w:type="dxa" w:w="90"/>
              <w:bottom w:type="dxa" w:w="80"/>
              <w:right w:type="dxa" w:w="90"/>
            </w:tcMar>
          </w:tcPr>
          <w:p>
            <w:pPr>
              <w:spacing w:after="0"/>
            </w:pPr>
            <w:r>
              <w:rPr>
                <w:b/>
                <w:bCs/>
                <w:color w:val="FFFFFF"/>
                <w:sz w:val="17"/>
                <w:szCs w:val="17"/>
              </w:rPr>
              <w:t xml:space="preserve">End</w:t>
            </w:r>
          </w:p>
        </w:tc>
        <w:tc>
          <w:tcPr>
            <w:tcW w:type="dxa" w:w="2300"/>
            <w:shd w:fill="1F4E78" w:val="clear"/>
            <w:tcMar>
              <w:top w:type="dxa" w:w="80"/>
              <w:left w:type="dxa" w:w="90"/>
              <w:bottom w:type="dxa" w:w="80"/>
              <w:right w:type="dxa" w:w="90"/>
            </w:tcMar>
          </w:tcPr>
          <w:p>
            <w:pPr>
              <w:spacing w:after="0"/>
            </w:pPr>
            <w:r>
              <w:rPr>
                <w:b/>
                <w:bCs/>
                <w:color w:val="FFFFFF"/>
                <w:sz w:val="17"/>
                <w:szCs w:val="17"/>
              </w:rPr>
              <w:t xml:space="preserve">Responsible</w:t>
            </w:r>
          </w:p>
        </w:tc>
        <w:tc>
          <w:tcPr>
            <w:tcW w:type="dxa" w:w="1160"/>
            <w:shd w:fill="1F4E78" w:val="clear"/>
            <w:tcMar>
              <w:top w:type="dxa" w:w="80"/>
              <w:left w:type="dxa" w:w="90"/>
              <w:bottom w:type="dxa" w:w="80"/>
              <w:right w:type="dxa" w:w="90"/>
            </w:tcMar>
          </w:tcPr>
          <w:p>
            <w:pPr>
              <w:spacing w:after="0"/>
            </w:pPr>
            <w:r>
              <w:rPr>
                <w:b/>
                <w:bCs/>
                <w:color w:val="FFFFFF"/>
                <w:sz w:val="17"/>
                <w:szCs w:val="17"/>
              </w:rPr>
              <w:t xml:space="preserve">Status</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Rebaseline the plan and cases on the current .NET and React stack</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23,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24,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Yuandong Yang</w:t>
            </w:r>
          </w:p>
        </w:tc>
        <w:tc>
          <w:tcPr>
            <w:tcW w:type="dxa" w:w="1160"/>
            <w:tcMar>
              <w:top w:type="dxa" w:w="80"/>
              <w:left w:type="dxa" w:w="90"/>
              <w:bottom w:type="dxa" w:w="80"/>
              <w:right w:type="dxa" w:w="90"/>
            </w:tcMar>
          </w:tcPr>
          <w:p>
            <w:pPr>
              <w:spacing w:after="0"/>
            </w:pPr>
            <w:r>
              <w:rPr>
                <w:b w:val="false"/>
                <w:bCs w:val="false"/>
                <w:color w:val="000000"/>
                <w:sz w:val="16"/>
                <w:szCs w:val="16"/>
              </w:rPr>
              <w:t xml:space="preserve">Complete</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Draft review and unit cases RV-01 to RV-06, UT-01 to UT-12</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24,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26,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Xiaomei He and Daniel Watson</w:t>
            </w:r>
          </w:p>
        </w:tc>
        <w:tc>
          <w:tcPr>
            <w:tcW w:type="dxa" w:w="11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Draft integration cases IT-01 to IT-26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24,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27,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Daniel Watson (platform), Xiaomei He (advertising and AI)</w:t>
            </w:r>
          </w:p>
        </w:tc>
        <w:tc>
          <w:tcPr>
            <w:tcW w:type="dxa" w:w="11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Draft system, acceptance and deployment cases SYS, AT and DEP</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25,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27,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Daniel Watson and Yuandong Yang</w:t>
            </w:r>
          </w:p>
        </w:tc>
        <w:tc>
          <w:tcPr>
            <w:tcW w:type="dxa" w:w="11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Peer review, deduplication and traceability audit (RV-06)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27,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28,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All members</w:t>
            </w:r>
          </w:p>
        </w:tc>
        <w:tc>
          <w:tcPr>
            <w:tcW w:type="dxa" w:w="1160"/>
            <w:tcMar>
              <w:top w:type="dxa" w:w="80"/>
              <w:left w:type="dxa" w:w="90"/>
              <w:bottom w:type="dxa" w:w="80"/>
              <w:right w:type="dxa" w:w="90"/>
            </w:tcMar>
          </w:tcPr>
          <w:p>
            <w:pPr>
              <w:spacing w:after="0"/>
            </w:pPr>
            <w:r>
              <w:rPr>
                <w:b w:val="false"/>
                <w:bCs w:val="false"/>
                <w:color w:val="000000"/>
                <w:sz w:val="16"/>
                <w:szCs w:val="16"/>
              </w:rPr>
              <w:t xml:space="preserve">Planned</w:t>
            </w:r>
          </w:p>
        </w:tc>
      </w:tr>
      <w:tr>
        <w:trPr>
          <w:cantSplit/>
        </w:trPr>
        <w:tc>
          <w:tcPr>
            <w:tcW w:type="dxa" w:w="3400"/>
            <w:tcMar>
              <w:top w:type="dxa" w:w="80"/>
              <w:left w:type="dxa" w:w="90"/>
              <w:bottom w:type="dxa" w:w="80"/>
              <w:right w:type="dxa" w:w="90"/>
            </w:tcMar>
          </w:tcPr>
          <w:p>
            <w:pPr>
              <w:spacing w:after="0"/>
            </w:pPr>
            <w:r>
              <w:rPr>
                <w:b w:val="false"/>
                <w:bCs w:val="false"/>
                <w:color w:val="000000"/>
                <w:sz w:val="16"/>
                <w:szCs w:val="16"/>
              </w:rPr>
              <w:t xml:space="preserve">Group approval of the plan and the workbook baseline</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28,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28, 2026</w:t>
            </w:r>
          </w:p>
        </w:tc>
        <w:tc>
          <w:tcPr>
            <w:tcW w:type="dxa" w:w="2300"/>
            <w:tcMar>
              <w:top w:type="dxa" w:w="80"/>
              <w:left w:type="dxa" w:w="90"/>
              <w:bottom w:type="dxa" w:w="80"/>
              <w:right w:type="dxa" w:w="90"/>
            </w:tcMar>
          </w:tcPr>
          <w:p>
            <w:pPr>
              <w:spacing w:after="0"/>
            </w:pPr>
            <w:r>
              <w:rPr>
                <w:b w:val="false"/>
                <w:bCs w:val="false"/>
                <w:color w:val="000000"/>
                <w:sz w:val="16"/>
                <w:szCs w:val="16"/>
              </w:rPr>
              <w:t xml:space="preserve">All members</w:t>
            </w:r>
          </w:p>
        </w:tc>
        <w:tc>
          <w:tcPr>
            <w:tcW w:type="dxa" w:w="1160"/>
            <w:tcMar>
              <w:top w:type="dxa" w:w="80"/>
              <w:left w:type="dxa" w:w="90"/>
              <w:bottom w:type="dxa" w:w="80"/>
              <w:right w:type="dxa" w:w="90"/>
            </w:tcMar>
          </w:tcPr>
          <w:p>
            <w:pPr>
              <w:spacing w:after="0"/>
            </w:pPr>
            <w:r>
              <w:rPr>
                <w:b w:val="false"/>
                <w:bCs w:val="false"/>
                <w:color w:val="000000"/>
                <w:sz w:val="16"/>
                <w:szCs w:val="16"/>
              </w:rPr>
              <w:t xml:space="preserve">Planned</w:t>
            </w:r>
          </w:p>
        </w:tc>
      </w:tr>
    </w:tbl>
    <w:p>
      <w:pPr>
        <w:pStyle w:val="Heading2"/>
        <w:spacing w:after="100" w:before="220"/>
      </w:pPr>
      <w:r>
        <w:rPr>
          <w:b/>
          <w:bCs/>
          <w:color w:val="1F4E78"/>
          <w:sz w:val="23"/>
          <w:szCs w:val="23"/>
        </w:rPr>
        <w:t xml:space="preserve">13.2 Test execution and reporting schedule</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3000"/>
            <w:shd w:fill="1F4E78" w:val="clear"/>
            <w:tcMar>
              <w:top w:type="dxa" w:w="80"/>
              <w:left w:type="dxa" w:w="90"/>
              <w:bottom w:type="dxa" w:w="80"/>
              <w:right w:type="dxa" w:w="90"/>
            </w:tcMar>
          </w:tcPr>
          <w:p>
            <w:pPr>
              <w:spacing w:after="0"/>
            </w:pPr>
            <w:r>
              <w:rPr>
                <w:b/>
                <w:bCs/>
                <w:color w:val="FFFFFF"/>
                <w:sz w:val="17"/>
                <w:szCs w:val="17"/>
              </w:rPr>
              <w:t xml:space="preserve">Phase / activity</w:t>
            </w:r>
          </w:p>
        </w:tc>
        <w:tc>
          <w:tcPr>
            <w:tcW w:type="dxa" w:w="1250"/>
            <w:shd w:fill="1F4E78" w:val="clear"/>
            <w:tcMar>
              <w:top w:type="dxa" w:w="80"/>
              <w:left w:type="dxa" w:w="90"/>
              <w:bottom w:type="dxa" w:w="80"/>
              <w:right w:type="dxa" w:w="90"/>
            </w:tcMar>
          </w:tcPr>
          <w:p>
            <w:pPr>
              <w:spacing w:after="0"/>
            </w:pPr>
            <w:r>
              <w:rPr>
                <w:b/>
                <w:bCs/>
                <w:color w:val="FFFFFF"/>
                <w:sz w:val="17"/>
                <w:szCs w:val="17"/>
              </w:rPr>
              <w:t xml:space="preserve">Start</w:t>
            </w:r>
          </w:p>
        </w:tc>
        <w:tc>
          <w:tcPr>
            <w:tcW w:type="dxa" w:w="1250"/>
            <w:shd w:fill="1F4E78" w:val="clear"/>
            <w:tcMar>
              <w:top w:type="dxa" w:w="80"/>
              <w:left w:type="dxa" w:w="90"/>
              <w:bottom w:type="dxa" w:w="80"/>
              <w:right w:type="dxa" w:w="90"/>
            </w:tcMar>
          </w:tcPr>
          <w:p>
            <w:pPr>
              <w:spacing w:after="0"/>
            </w:pPr>
            <w:r>
              <w:rPr>
                <w:b/>
                <w:bCs/>
                <w:color w:val="FFFFFF"/>
                <w:sz w:val="17"/>
                <w:szCs w:val="17"/>
              </w:rPr>
              <w:t xml:space="preserve">End</w:t>
            </w:r>
          </w:p>
        </w:tc>
        <w:tc>
          <w:tcPr>
            <w:tcW w:type="dxa" w:w="3860"/>
            <w:shd w:fill="1F4E78" w:val="clear"/>
            <w:tcMar>
              <w:top w:type="dxa" w:w="80"/>
              <w:left w:type="dxa" w:w="90"/>
              <w:bottom w:type="dxa" w:w="80"/>
              <w:right w:type="dxa" w:w="90"/>
            </w:tcMar>
          </w:tcPr>
          <w:p>
            <w:pPr>
              <w:spacing w:after="0"/>
            </w:pPr>
            <w:r>
              <w:rPr>
                <w:b/>
                <w:bCs/>
                <w:color w:val="FFFFFF"/>
                <w:sz w:val="17"/>
                <w:szCs w:val="17"/>
              </w:rPr>
              <w:t xml:space="preserve">Dependency and output</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Environment and data smoke (DEP-01 to DEP-03)</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29,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30,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Plan baseline approved; environment record, health output and seed evidence</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Unit execution and review</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30,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2,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Projects build; dotnet test output and the first defects</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Integration and API execution</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2,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6,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Unit exit met; API, database and boundary evidence per case</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System and browser execution</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6,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9,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Integration exit met; end-to-end workflow evidence, screenshots and timing notes</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Cloud deployment and release checks (DEP-04 to DEP-06)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9,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10,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System exit met; resource inventory, release output and the rollback drill</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Acceptance execution on the cloud demo</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10,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12,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Deployment complete; classroom-script evidence and the client walkthrough record</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Defect retest and regression bundle</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12,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13,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Fix builds available; linked retest and regression evidence</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Final analysis, summary and privacy scrub (AT-08)</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14,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14,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All cases executed or dispositioned; counts, residual risk and the release recommendation</w:t>
            </w:r>
          </w:p>
        </w:tc>
      </w:tr>
      <w:tr>
        <w:trPr>
          <w:cantSplit/>
        </w:trPr>
        <w:tc>
          <w:tcPr>
            <w:tcW w:type="dxa" w:w="3000"/>
            <w:tcMar>
              <w:top w:type="dxa" w:w="80"/>
              <w:left w:type="dxa" w:w="90"/>
              <w:bottom w:type="dxa" w:w="80"/>
              <w:right w:type="dxa" w:w="90"/>
            </w:tcMar>
          </w:tcPr>
          <w:p>
            <w:pPr>
              <w:spacing w:after="0"/>
            </w:pPr>
            <w:r>
              <w:rPr>
                <w:b w:val="false"/>
                <w:bCs w:val="false"/>
                <w:color w:val="000000"/>
                <w:sz w:val="16"/>
                <w:szCs w:val="16"/>
              </w:rPr>
              <w:t xml:space="preserve">Submission of the plan, the workbook and the peer assessments</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16, 2026</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16, 2026</w:t>
            </w:r>
          </w:p>
        </w:tc>
        <w:tc>
          <w:tcPr>
            <w:tcW w:type="dxa" w:w="3860"/>
            <w:tcMar>
              <w:top w:type="dxa" w:w="80"/>
              <w:left w:type="dxa" w:w="90"/>
              <w:bottom w:type="dxa" w:w="80"/>
              <w:right w:type="dxa" w:w="90"/>
            </w:tcMar>
          </w:tcPr>
          <w:p>
            <w:pPr>
              <w:spacing w:after="0"/>
            </w:pPr>
            <w:r>
              <w:rPr>
                <w:b w:val="false"/>
                <w:bCs w:val="false"/>
                <w:color w:val="000000"/>
                <w:sz w:val="16"/>
                <w:szCs w:val="16"/>
              </w:rPr>
              <w:t xml:space="preserve">Approved documents uploaded to the course site</w:t>
            </w:r>
          </w:p>
        </w:tc>
      </w:tr>
    </w:tbl>
    <w:p>
      <w:pPr>
        <w:pStyle w:val="Heading2"/>
        <w:spacing w:after="100" w:before="220"/>
      </w:pPr>
      <w:r>
        <w:rPr>
          <w:b/>
          <w:bCs/>
          <w:color w:val="1F4E78"/>
          <w:sz w:val="23"/>
          <w:szCs w:val="23"/>
        </w:rPr>
        <w:t xml:space="preserve">13.3 Overall master schedule</w:t>
      </w:r>
    </w:p>
    <w:p>
      <w:pPr>
        <w:spacing w:after="100" w:line="276"/>
      </w:pPr>
      <w:r>
        <w:rPr>
          <w:sz w:val="20"/>
          <w:szCs w:val="20"/>
        </w:rPr>
        <w:t xml:space="preserve">The master schedule is the composite of the documentation, execution and reporting schedules of every phase. It is the view the test team manages and reports against; a slip in one milestone moves the dependent dates rather than the exit criteria.</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Milestone</w:t>
            </w:r>
          </w:p>
        </w:tc>
        <w:tc>
          <w:tcPr>
            <w:tcW w:type="dxa" w:w="1250"/>
            <w:shd w:fill="1F4E78" w:val="clear"/>
            <w:tcMar>
              <w:top w:type="dxa" w:w="80"/>
              <w:left w:type="dxa" w:w="90"/>
              <w:bottom w:type="dxa" w:w="80"/>
              <w:right w:type="dxa" w:w="90"/>
            </w:tcMar>
          </w:tcPr>
          <w:p>
            <w:pPr>
              <w:spacing w:after="0"/>
            </w:pPr>
            <w:r>
              <w:rPr>
                <w:b/>
                <w:bCs/>
                <w:color w:val="FFFFFF"/>
                <w:sz w:val="17"/>
                <w:szCs w:val="17"/>
              </w:rPr>
              <w:t xml:space="preserve">Date</w:t>
            </w:r>
          </w:p>
        </w:tc>
        <w:tc>
          <w:tcPr>
            <w:tcW w:type="dxa" w:w="5510"/>
            <w:shd w:fill="1F4E78" w:val="clear"/>
            <w:tcMar>
              <w:top w:type="dxa" w:w="80"/>
              <w:left w:type="dxa" w:w="90"/>
              <w:bottom w:type="dxa" w:w="80"/>
              <w:right w:type="dxa" w:w="90"/>
            </w:tcMar>
          </w:tcPr>
          <w:p>
            <w:pPr>
              <w:spacing w:after="0"/>
            </w:pPr>
            <w:r>
              <w:rPr>
                <w:b/>
                <w:bCs/>
                <w:color w:val="FFFFFF"/>
                <w:sz w:val="17"/>
                <w:szCs w:val="17"/>
              </w:rPr>
              <w:t xml:space="preserve">Completion evidence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Plan and case baseline approved</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28,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Approved plan v2.0 and the 70-case workbook; traceability audit RV-06 complete with no uncovered Must requirement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Test environments ready</w:t>
            </w:r>
          </w:p>
        </w:tc>
        <w:tc>
          <w:tcPr>
            <w:tcW w:type="dxa" w:w="1250"/>
            <w:tcMar>
              <w:top w:type="dxa" w:w="80"/>
              <w:left w:type="dxa" w:w="90"/>
              <w:bottom w:type="dxa" w:w="80"/>
              <w:right w:type="dxa" w:w="90"/>
            </w:tcMar>
          </w:tcPr>
          <w:p>
            <w:pPr>
              <w:spacing w:after="0"/>
            </w:pPr>
            <w:r>
              <w:rPr>
                <w:b w:val="false"/>
                <w:bCs w:val="false"/>
                <w:color w:val="000000"/>
                <w:sz w:val="16"/>
                <w:szCs w:val="16"/>
              </w:rPr>
              <w:t xml:space="preserve">Oct 30,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Build and version record, health output for all four services, schema created, seed loaded and reset proven</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Unit exit</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2,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Validation, rule-engine, state-mapping, AI-mapping and ledger cases executed with no open critical or major defect</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Integration exit</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6,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Sign-in, isolation, inventory, CRM, compliance-state, boundary, buyer-site and audit cases executed; evidence captured</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System exit</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9,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Browser workflows through the gateway complete, including the stale-export refusal and the AI-unavailable path; no release blocker</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Release readiness</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10,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Cloud stack recreated, all four applications published from the pushed commit, health and release verified, rollback drill passed</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Acceptance exit</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12,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Six classroom scripts and the audit walkthrough executed on the cloud demo; client sign-off or recorded deferrals</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Regression and final summary</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14,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Regression bundle clean, defect log reconciled, final summary and release recommendation approved by the group</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Submission</w:t>
            </w:r>
          </w:p>
        </w:tc>
        <w:tc>
          <w:tcPr>
            <w:tcW w:type="dxa" w:w="1250"/>
            <w:tcMar>
              <w:top w:type="dxa" w:w="80"/>
              <w:left w:type="dxa" w:w="90"/>
              <w:bottom w:type="dxa" w:w="80"/>
              <w:right w:type="dxa" w:w="90"/>
            </w:tcMar>
          </w:tcPr>
          <w:p>
            <w:pPr>
              <w:spacing w:after="0"/>
            </w:pPr>
            <w:r>
              <w:rPr>
                <w:b w:val="false"/>
                <w:bCs w:val="false"/>
                <w:color w:val="000000"/>
                <w:sz w:val="16"/>
                <w:szCs w:val="16"/>
              </w:rPr>
              <w:t xml:space="preserve">Nov 16, 2026</w:t>
            </w:r>
          </w:p>
        </w:tc>
        <w:tc>
          <w:tcPr>
            <w:tcW w:type="dxa" w:w="5510"/>
            <w:tcMar>
              <w:top w:type="dxa" w:w="80"/>
              <w:left w:type="dxa" w:w="90"/>
              <w:bottom w:type="dxa" w:w="80"/>
              <w:right w:type="dxa" w:w="90"/>
            </w:tcMar>
          </w:tcPr>
          <w:p>
            <w:pPr>
              <w:spacing w:after="0"/>
            </w:pPr>
            <w:r>
              <w:rPr>
                <w:b w:val="false"/>
                <w:bCs w:val="false"/>
                <w:color w:val="000000"/>
                <w:sz w:val="16"/>
                <w:szCs w:val="16"/>
              </w:rPr>
              <w:t xml:space="preserve">Test plan, test case workbook and individual peer assessments submitted to the course site</w:t>
            </w:r>
          </w:p>
        </w:tc>
      </w:tr>
    </w:tbl>
    <w:p>
      <w:pPr>
        <w:pStyle w:val="Heading1"/>
        <w:spacing w:after="100" w:before="220"/>
      </w:pPr>
      <w:r>
        <w:rPr>
          <w:b/>
          <w:bCs/>
          <w:color w:val="1F4E78"/>
          <w:sz w:val="26"/>
          <w:szCs w:val="26"/>
        </w:rPr>
        <w:t xml:space="preserve">14. Risks and Contingencies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gridCol w:w="100"/>
      </w:tblGrid>
      <w:tr>
        <w:tc>
          <w:tcPr>
            <w:tcW w:type="dxa" w:w="2300"/>
            <w:shd w:fill="1F4E78" w:val="clear"/>
            <w:tcMar>
              <w:top w:type="dxa" w:w="80"/>
              <w:left w:type="dxa" w:w="90"/>
              <w:bottom w:type="dxa" w:w="80"/>
              <w:right w:type="dxa" w:w="90"/>
            </w:tcMar>
          </w:tcPr>
          <w:p>
            <w:pPr>
              <w:spacing w:after="0"/>
            </w:pPr>
            <w:r>
              <w:rPr>
                <w:b/>
                <w:bCs/>
                <w:color w:val="FFFFFF"/>
                <w:sz w:val="17"/>
                <w:szCs w:val="17"/>
              </w:rPr>
              <w:t xml:space="preserve">Risk</w:t>
            </w:r>
          </w:p>
        </w:tc>
        <w:tc>
          <w:tcPr>
            <w:tcW w:type="dxa" w:w="1000"/>
            <w:shd w:fill="1F4E78" w:val="clear"/>
            <w:tcMar>
              <w:top w:type="dxa" w:w="80"/>
              <w:left w:type="dxa" w:w="90"/>
              <w:bottom w:type="dxa" w:w="80"/>
              <w:right w:type="dxa" w:w="90"/>
            </w:tcMar>
          </w:tcPr>
          <w:p>
            <w:pPr>
              <w:spacing w:after="0"/>
            </w:pPr>
            <w:r>
              <w:rPr>
                <w:b/>
                <w:bCs/>
                <w:color w:val="FFFFFF"/>
                <w:sz w:val="17"/>
                <w:szCs w:val="17"/>
              </w:rPr>
              <w:t xml:space="preserve">Likelihood</w:t>
            </w:r>
          </w:p>
        </w:tc>
        <w:tc>
          <w:tcPr>
            <w:tcW w:type="dxa" w:w="1000"/>
            <w:shd w:fill="1F4E78" w:val="clear"/>
            <w:tcMar>
              <w:top w:type="dxa" w:w="80"/>
              <w:left w:type="dxa" w:w="90"/>
              <w:bottom w:type="dxa" w:w="80"/>
              <w:right w:type="dxa" w:w="90"/>
            </w:tcMar>
          </w:tcPr>
          <w:p>
            <w:pPr>
              <w:spacing w:after="0"/>
            </w:pPr>
            <w:r>
              <w:rPr>
                <w:b/>
                <w:bCs/>
                <w:color w:val="FFFFFF"/>
                <w:sz w:val="17"/>
                <w:szCs w:val="17"/>
              </w:rPr>
              <w:t xml:space="preserve">Impact</w:t>
            </w:r>
          </w:p>
        </w:tc>
        <w:tc>
          <w:tcPr>
            <w:tcW w:type="dxa" w:w="3900"/>
            <w:shd w:fill="1F4E78" w:val="clear"/>
            <w:tcMar>
              <w:top w:type="dxa" w:w="80"/>
              <w:left w:type="dxa" w:w="90"/>
              <w:bottom w:type="dxa" w:w="80"/>
              <w:right w:type="dxa" w:w="90"/>
            </w:tcMar>
          </w:tcPr>
          <w:p>
            <w:pPr>
              <w:spacing w:after="0"/>
            </w:pPr>
            <w:r>
              <w:rPr>
                <w:b/>
                <w:bCs/>
                <w:color w:val="FFFFFF"/>
                <w:sz w:val="17"/>
                <w:szCs w:val="17"/>
              </w:rPr>
              <w:t xml:space="preserve">Mitigation / contingency</w:t>
            </w:r>
          </w:p>
        </w:tc>
        <w:tc>
          <w:tcPr>
            <w:tcW w:type="dxa" w:w="1160"/>
            <w:shd w:fill="1F4E78" w:val="clear"/>
            <w:tcMar>
              <w:top w:type="dxa" w:w="80"/>
              <w:left w:type="dxa" w:w="90"/>
              <w:bottom w:type="dxa" w:w="80"/>
              <w:right w:type="dxa" w:w="90"/>
            </w:tcMar>
          </w:tcPr>
          <w:p>
            <w:pPr>
              <w:spacing w:after="0"/>
            </w:pPr>
            <w:r>
              <w:rPr>
                <w:b/>
                <w:bCs/>
                <w:color w:val="FFFFFF"/>
                <w:sz w:val="17"/>
                <w:szCs w:val="17"/>
              </w:rPr>
              <w:t xml:space="preserve">Owner</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 cross-dealership authorisation defect</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Run the dealership A to B matrix on every resource and verify the stored value after each refusal; any disclosure stops the release immediately</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The AI provider is unavailable, slow or its key is missing</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 to 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Execute the failure-safe cases first and mark live-model cases blocked with evidence; verify the recorded unavailable state rather than inferring it; re-run when the provider returns</w:t>
            </w:r>
          </w:p>
        </w:tc>
        <w:tc>
          <w:tcPr>
            <w:tcW w:type="dxa" w:w="1160"/>
            <w:tcMar>
              <w:top w:type="dxa" w:w="80"/>
              <w:left w:type="dxa" w:w="90"/>
              <w:bottom w:type="dxa" w:w="80"/>
              <w:right w:type="dxa" w:w="90"/>
            </w:tcMar>
          </w:tcPr>
          <w:p>
            <w:pPr>
              <w:spacing w:after="0"/>
            </w:pPr>
            <w:r>
              <w:rPr>
                <w:b w:val="false"/>
                <w:bCs w:val="false"/>
                <w:color w:val="000000"/>
                <w:sz w:val="16"/>
                <w:szCs w:val="16"/>
              </w:rPr>
              <w:t xml:space="preserve">Xiaomei He</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The cloud stack cannot be deployed before a review</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Rehearse the full apply, deploy, seed and rollback cycle in the release-readiness milestone; keep the timestamped backup; report the risk to the client the same day</w:t>
            </w:r>
          </w:p>
        </w:tc>
        <w:tc>
          <w:tcPr>
            <w:tcW w:type="dxa" w:w="11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 test run writes to the shared development database</w:t>
            </w:r>
          </w:p>
        </w:tc>
        <w:tc>
          <w:tcPr>
            <w:tcW w:type="dxa" w:w="1000"/>
            <w:tcMar>
              <w:top w:type="dxa" w:w="80"/>
              <w:left w:type="dxa" w:w="90"/>
              <w:bottom w:type="dxa" w:w="80"/>
              <w:right w:type="dxa" w:w="90"/>
            </w:tcMar>
          </w:tcPr>
          <w:p>
            <w:pPr>
              <w:spacing w:after="0"/>
            </w:pPr>
            <w:r>
              <w:rPr>
                <w:b w:val="false"/>
                <w:bCs w:val="false"/>
                <w:color w:val="000000"/>
                <w:sz w:val="16"/>
                <w:szCs w:val="16"/>
              </w:rPr>
              <w:t xml:space="preserve">Low</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The end-to-end stack refuses the shared ports and database; execution uses the private stack only; the seed loader can rebuild the development data</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An ambiguous or changed business rule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3900"/>
            <w:tcMar>
              <w:top w:type="dxa" w:w="80"/>
              <w:left w:type="dxa" w:w="90"/>
              <w:bottom w:type="dxa" w:w="80"/>
              <w:right w:type="dxa" w:w="90"/>
            </w:tcMar>
          </w:tcPr>
          <w:p>
            <w:pPr>
              <w:spacing w:after="0"/>
            </w:pPr>
            <w:r>
              <w:rPr>
                <w:b w:val="false"/>
                <w:bCs w:val="false"/>
                <w:color w:val="000000"/>
                <w:sz w:val="16"/>
                <w:szCs w:val="16"/>
              </w:rPr>
              <w:t xml:space="preserve">Record the question against the affected case ids, obtain a client or instructor decision, and update the expected result before execution rather than during it</w:t>
            </w:r>
          </w:p>
        </w:tc>
        <w:tc>
          <w:tcPr>
            <w:tcW w:type="dxa" w:w="1160"/>
            <w:tcMar>
              <w:top w:type="dxa" w:w="80"/>
              <w:left w:type="dxa" w:w="90"/>
              <w:bottom w:type="dxa" w:w="80"/>
              <w:right w:type="dxa" w:w="90"/>
            </w:tcMar>
          </w:tcPr>
          <w:p>
            <w:pPr>
              <w:spacing w:after="0"/>
            </w:pPr>
            <w:r>
              <w:rPr>
                <w:b w:val="false"/>
                <w:bCs w:val="false"/>
                <w:color w:val="000000"/>
                <w:sz w:val="16"/>
                <w:szCs w:val="16"/>
              </w:rPr>
              <w:t xml:space="preserve">Yuandong Yang</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 build or fix is delivered late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Prioritise review and unit cases, keep a known-good build for the demo, and move dependent dates instead of marking unexecuted cases as passed</w:t>
            </w:r>
          </w:p>
        </w:tc>
        <w:tc>
          <w:tcPr>
            <w:tcW w:type="dxa" w:w="1160"/>
            <w:tcMar>
              <w:top w:type="dxa" w:w="80"/>
              <w:left w:type="dxa" w:w="90"/>
              <w:bottom w:type="dxa" w:w="80"/>
              <w:right w:type="dxa" w:w="90"/>
            </w:tcMar>
          </w:tcPr>
          <w:p>
            <w:pPr>
              <w:spacing w:after="0"/>
            </w:pPr>
            <w:r>
              <w:rPr>
                <w:b w:val="false"/>
                <w:bCs w:val="false"/>
                <w:color w:val="000000"/>
                <w:sz w:val="16"/>
                <w:szCs w:val="16"/>
              </w:rPr>
              <w:t xml:space="preserve">Service owners</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Real customer data or a secret appears in evidence</w:t>
            </w:r>
          </w:p>
        </w:tc>
        <w:tc>
          <w:tcPr>
            <w:tcW w:type="dxa" w:w="1000"/>
            <w:tcMar>
              <w:top w:type="dxa" w:w="80"/>
              <w:left w:type="dxa" w:w="90"/>
              <w:bottom w:type="dxa" w:w="80"/>
              <w:right w:type="dxa" w:w="90"/>
            </w:tcMar>
          </w:tcPr>
          <w:p>
            <w:pPr>
              <w:spacing w:after="0"/>
            </w:pPr>
            <w:r>
              <w:rPr>
                <w:b w:val="false"/>
                <w:bCs w:val="false"/>
                <w:color w:val="000000"/>
                <w:sz w:val="16"/>
                <w:szCs w:val="16"/>
              </w:rPr>
              <w:t xml:space="preserve">Low</w:t>
            </w:r>
          </w:p>
        </w:tc>
        <w:tc>
          <w:tcPr>
            <w:tcW w:type="dxa" w:w="1000"/>
            <w:tcMar>
              <w:top w:type="dxa" w:w="80"/>
              <w:left w:type="dxa" w:w="90"/>
              <w:bottom w:type="dxa" w:w="80"/>
              <w:right w:type="dxa" w:w="90"/>
            </w:tcMar>
          </w:tcPr>
          <w:p>
            <w:pPr>
              <w:spacing w:after="0"/>
            </w:pPr>
            <w:r>
              <w:rPr>
                <w:b w:val="false"/>
                <w:bCs w:val="false"/>
                <w:color w:val="000000"/>
                <w:sz w:val="16"/>
                <w:szCs w:val="16"/>
              </w:rPr>
              <w:t xml:space="preserve">High</w:t>
            </w:r>
          </w:p>
        </w:tc>
        <w:tc>
          <w:tcPr>
            <w:tcW w:type="dxa" w:w="3900"/>
            <w:tcMar>
              <w:top w:type="dxa" w:w="80"/>
              <w:left w:type="dxa" w:w="90"/>
              <w:bottom w:type="dxa" w:w="80"/>
              <w:right w:type="dxa" w:w="90"/>
            </w:tcMar>
          </w:tcPr>
          <w:p>
            <w:pPr>
              <w:spacing w:after="0"/>
            </w:pPr>
            <w:r>
              <w:rPr>
                <w:b w:val="false"/>
                <w:bCs w:val="false"/>
                <w:color w:val="000000"/>
                <w:sz w:val="16"/>
                <w:szCs w:val="16"/>
              </w:rPr>
              <w:t xml:space="preserve">Synthetic-only and no-secret rules, masked evidence and the pre-submission scrub in AT-08; quarantine and regenerate if found</w:t>
            </w:r>
          </w:p>
        </w:tc>
        <w:tc>
          <w:tcPr>
            <w:tcW w:type="dxa" w:w="1160"/>
            <w:tcMar>
              <w:top w:type="dxa" w:w="80"/>
              <w:left w:type="dxa" w:w="90"/>
              <w:bottom w:type="dxa" w:w="80"/>
              <w:right w:type="dxa" w:w="90"/>
            </w:tcMar>
          </w:tcPr>
          <w:p>
            <w:pPr>
              <w:spacing w:after="0"/>
            </w:pPr>
            <w:r>
              <w:rPr>
                <w:b w:val="false"/>
                <w:bCs w:val="false"/>
                <w:color w:val="000000"/>
                <w:sz w:val="16"/>
                <w:szCs w:val="16"/>
              </w:rPr>
              <w:t xml:space="preserve">All members</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A failure is shown to the user as an empty table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3900"/>
            <w:tcMar>
              <w:top w:type="dxa" w:w="80"/>
              <w:left w:type="dxa" w:w="90"/>
              <w:bottom w:type="dxa" w:w="80"/>
              <w:right w:type="dxa" w:w="90"/>
            </w:tcMar>
          </w:tcPr>
          <w:p>
            <w:pPr>
              <w:spacing w:after="0"/>
            </w:pPr>
            <w:r>
              <w:rPr>
                <w:b w:val="false"/>
                <w:bCs w:val="false"/>
                <w:color w:val="000000"/>
                <w:sz w:val="16"/>
                <w:szCs w:val="16"/>
              </w:rPr>
              <w:t xml:space="preserve">Treat the API as the source of truth, assert the user-visible copy in the system cases, and raise any mismatch as a defect against the client</w:t>
            </w:r>
          </w:p>
        </w:tc>
        <w:tc>
          <w:tcPr>
            <w:tcW w:type="dxa" w:w="1160"/>
            <w:tcMar>
              <w:top w:type="dxa" w:w="80"/>
              <w:left w:type="dxa" w:w="90"/>
              <w:bottom w:type="dxa" w:w="80"/>
              <w:right w:type="dxa" w:w="90"/>
            </w:tcMar>
          </w:tcPr>
          <w:p>
            <w:pPr>
              <w:spacing w:after="0"/>
            </w:pPr>
            <w:r>
              <w:rPr>
                <w:b w:val="false"/>
                <w:bCs w:val="false"/>
                <w:color w:val="000000"/>
                <w:sz w:val="16"/>
                <w:szCs w:val="16"/>
              </w:rPr>
              <w:t xml:space="preserve">Daniel Watson</w:t>
            </w:r>
          </w:p>
        </w:tc>
      </w:tr>
      <w:tr>
        <w:trPr>
          <w:cantSplit/>
        </w:trPr>
        <w:tc>
          <w:tcPr>
            <w:tcW w:type="dxa" w:w="2300"/>
            <w:tcMar>
              <w:top w:type="dxa" w:w="80"/>
              <w:left w:type="dxa" w:w="90"/>
              <w:bottom w:type="dxa" w:w="80"/>
              <w:right w:type="dxa" w:w="90"/>
            </w:tcMar>
          </w:tcPr>
          <w:p>
            <w:pPr>
              <w:spacing w:after="0"/>
            </w:pPr>
            <w:r>
              <w:rPr>
                <w:b w:val="false"/>
                <w:bCs w:val="false"/>
                <w:color w:val="000000"/>
                <w:sz w:val="16"/>
                <w:szCs w:val="16"/>
              </w:rPr>
              <w:t xml:space="preserve">Limited tester availability near the submission date</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1000"/>
            <w:tcMar>
              <w:top w:type="dxa" w:w="80"/>
              <w:left w:type="dxa" w:w="90"/>
              <w:bottom w:type="dxa" w:w="80"/>
              <w:right w:type="dxa" w:w="90"/>
            </w:tcMar>
          </w:tcPr>
          <w:p>
            <w:pPr>
              <w:spacing w:after="0"/>
            </w:pPr>
            <w:r>
              <w:rPr>
                <w:b w:val="false"/>
                <w:bCs w:val="false"/>
                <w:color w:val="000000"/>
                <w:sz w:val="16"/>
                <w:szCs w:val="16"/>
              </w:rPr>
              <w:t xml:space="preserve">Medium</w:t>
            </w:r>
          </w:p>
        </w:tc>
        <w:tc>
          <w:tcPr>
            <w:tcW w:type="dxa" w:w="3900"/>
            <w:tcMar>
              <w:top w:type="dxa" w:w="80"/>
              <w:left w:type="dxa" w:w="90"/>
              <w:bottom w:type="dxa" w:w="80"/>
              <w:right w:type="dxa" w:w="90"/>
            </w:tcMar>
          </w:tcPr>
          <w:p>
            <w:pPr>
              <w:spacing w:after="0"/>
            </w:pPr>
            <w:r>
              <w:rPr>
                <w:b w:val="false"/>
                <w:bCs w:val="false"/>
                <w:color w:val="000000"/>
                <w:sz w:val="16"/>
                <w:szCs w:val="16"/>
              </w:rPr>
              <w:t xml:space="preserve">Each member owns a phase and a backup area; the regression bundle is the minimum that must run if time is short</w:t>
            </w:r>
          </w:p>
        </w:tc>
        <w:tc>
          <w:tcPr>
            <w:tcW w:type="dxa" w:w="1160"/>
            <w:tcMar>
              <w:top w:type="dxa" w:w="80"/>
              <w:left w:type="dxa" w:w="90"/>
              <w:bottom w:type="dxa" w:w="80"/>
              <w:right w:type="dxa" w:w="90"/>
            </w:tcMar>
          </w:tcPr>
          <w:p>
            <w:pPr>
              <w:spacing w:after="0"/>
            </w:pPr>
            <w:r>
              <w:rPr>
                <w:b w:val="false"/>
                <w:bCs w:val="false"/>
                <w:color w:val="000000"/>
                <w:sz w:val="16"/>
                <w:szCs w:val="16"/>
              </w:rPr>
              <w:t xml:space="preserve">Yuandong Yang</w:t>
            </w:r>
          </w:p>
        </w:tc>
      </w:tr>
    </w:tbl>
    <w:p>
      <w:pPr>
        <w:pStyle w:val="Heading1"/>
        <w:spacing w:after="100" w:before="220"/>
      </w:pPr>
      <w:r>
        <w:rPr>
          <w:b/>
          <w:bCs/>
          <w:color w:val="1F4E78"/>
          <w:sz w:val="26"/>
          <w:szCs w:val="26"/>
        </w:rPr>
        <w:t xml:space="preserve">15. Approvals</w:t>
      </w:r>
    </w:p>
    <w:p>
      <w:pPr>
        <w:spacing w:after="100" w:line="276"/>
      </w:pPr>
      <w:r>
        <w:rPr>
          <w:sz w:val="21"/>
          <w:szCs w:val="21"/>
        </w:rPr>
        <w:t xml:space="preserve">The plan is approved by the group before execution starts. The reviewer signature is collected at the acceptance walkthrough. An unsigned line does not turn an unexecuted case into a pass.</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2600"/>
            <w:shd w:fill="1F4E78" w:val="clear"/>
            <w:tcMar>
              <w:top w:type="dxa" w:w="80"/>
              <w:left w:type="dxa" w:w="90"/>
              <w:bottom w:type="dxa" w:w="80"/>
              <w:right w:type="dxa" w:w="90"/>
            </w:tcMar>
          </w:tcPr>
          <w:p>
            <w:pPr>
              <w:spacing w:after="0"/>
            </w:pPr>
            <w:r>
              <w:rPr>
                <w:b/>
                <w:bCs/>
                <w:color w:val="FFFFFF"/>
                <w:sz w:val="17"/>
                <w:szCs w:val="17"/>
              </w:rPr>
              <w:t xml:space="preserve">Name</w:t>
            </w:r>
          </w:p>
        </w:tc>
        <w:tc>
          <w:tcPr>
            <w:tcW w:type="dxa" w:w="2700"/>
            <w:shd w:fill="1F4E78" w:val="clear"/>
            <w:tcMar>
              <w:top w:type="dxa" w:w="80"/>
              <w:left w:type="dxa" w:w="90"/>
              <w:bottom w:type="dxa" w:w="80"/>
              <w:right w:type="dxa" w:w="90"/>
            </w:tcMar>
          </w:tcPr>
          <w:p>
            <w:pPr>
              <w:spacing w:after="0"/>
            </w:pPr>
            <w:r>
              <w:rPr>
                <w:b/>
                <w:bCs/>
                <w:color w:val="FFFFFF"/>
                <w:sz w:val="17"/>
                <w:szCs w:val="17"/>
              </w:rPr>
              <w:t xml:space="preserve">Role / title</w:t>
            </w:r>
          </w:p>
        </w:tc>
        <w:tc>
          <w:tcPr>
            <w:tcW w:type="dxa" w:w="2500"/>
            <w:shd w:fill="1F4E78" w:val="clear"/>
            <w:tcMar>
              <w:top w:type="dxa" w:w="80"/>
              <w:left w:type="dxa" w:w="90"/>
              <w:bottom w:type="dxa" w:w="80"/>
              <w:right w:type="dxa" w:w="90"/>
            </w:tcMar>
          </w:tcPr>
          <w:p>
            <w:pPr>
              <w:spacing w:after="0"/>
            </w:pPr>
            <w:r>
              <w:rPr>
                <w:b/>
                <w:bCs/>
                <w:color w:val="FFFFFF"/>
                <w:sz w:val="17"/>
                <w:szCs w:val="17"/>
              </w:rPr>
              <w:t xml:space="preserve">Signature</w:t>
            </w:r>
          </w:p>
        </w:tc>
        <w:tc>
          <w:tcPr>
            <w:tcW w:type="dxa" w:w="1560"/>
            <w:shd w:fill="1F4E78" w:val="clear"/>
            <w:tcMar>
              <w:top w:type="dxa" w:w="80"/>
              <w:left w:type="dxa" w:w="90"/>
              <w:bottom w:type="dxa" w:w="80"/>
              <w:right w:type="dxa" w:w="90"/>
            </w:tcMar>
          </w:tcPr>
          <w:p>
            <w:pPr>
              <w:spacing w:after="0"/>
            </w:pPr>
            <w:r>
              <w:rPr>
                <w:b/>
                <w:bCs/>
                <w:color w:val="FFFFFF"/>
                <w:sz w:val="17"/>
                <w:szCs w:val="17"/>
              </w:rPr>
              <w:t xml:space="preserve">Date</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Yuandong Yang</w:t>
            </w:r>
          </w:p>
        </w:tc>
        <w:tc>
          <w:tcPr>
            <w:tcW w:type="dxa" w:w="2700"/>
            <w:tcMar>
              <w:top w:type="dxa" w:w="80"/>
              <w:left w:type="dxa" w:w="90"/>
              <w:bottom w:type="dxa" w:w="80"/>
              <w:right w:type="dxa" w:w="90"/>
            </w:tcMar>
          </w:tcPr>
          <w:p>
            <w:pPr>
              <w:spacing w:after="0"/>
            </w:pPr>
            <w:r>
              <w:rPr>
                <w:b w:val="false"/>
                <w:bCs w:val="false"/>
                <w:color w:val="000000"/>
                <w:sz w:val="16"/>
                <w:szCs w:val="16"/>
              </w:rPr>
              <w:t xml:space="preserve">QA lead, release owner,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Daniel Watson</w:t>
            </w:r>
          </w:p>
        </w:tc>
        <w:tc>
          <w:tcPr>
            <w:tcW w:type="dxa" w:w="2700"/>
            <w:tcMar>
              <w:top w:type="dxa" w:w="80"/>
              <w:left w:type="dxa" w:w="90"/>
              <w:bottom w:type="dxa" w:w="80"/>
              <w:right w:type="dxa" w:w="90"/>
            </w:tcMar>
          </w:tcPr>
          <w:p>
            <w:pPr>
              <w:spacing w:after="0"/>
            </w:pPr>
            <w:r>
              <w:rPr>
                <w:b w:val="false"/>
                <w:bCs w:val="false"/>
                <w:color w:val="000000"/>
                <w:sz w:val="16"/>
                <w:szCs w:val="16"/>
              </w:rPr>
              <w:t xml:space="preserve">Platform and user-interface tester,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Xiaomei He</w:t>
            </w:r>
          </w:p>
        </w:tc>
        <w:tc>
          <w:tcPr>
            <w:tcW w:type="dxa" w:w="2700"/>
            <w:tcMar>
              <w:top w:type="dxa" w:w="80"/>
              <w:left w:type="dxa" w:w="90"/>
              <w:bottom w:type="dxa" w:w="80"/>
              <w:right w:type="dxa" w:w="90"/>
            </w:tcMar>
          </w:tcPr>
          <w:p>
            <w:pPr>
              <w:spacing w:after="0"/>
            </w:pPr>
            <w:r>
              <w:rPr>
                <w:b w:val="false"/>
                <w:bCs w:val="false"/>
                <w:color w:val="000000"/>
                <w:sz w:val="16"/>
                <w:szCs w:val="16"/>
              </w:rPr>
              <w:t xml:space="preserve">Advertising, AI and audit tester, group member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r>
        <w:trPr>
          <w:cantSplit/>
        </w:trPr>
        <w:tc>
          <w:tcPr>
            <w:tcW w:type="dxa" w:w="2600"/>
            <w:tcMar>
              <w:top w:type="dxa" w:w="80"/>
              <w:left w:type="dxa" w:w="90"/>
              <w:bottom w:type="dxa" w:w="80"/>
              <w:right w:type="dxa" w:w="90"/>
            </w:tcMar>
          </w:tcPr>
          <w:p>
            <w:pPr>
              <w:spacing w:after="0"/>
            </w:pPr>
            <w:r>
              <w:rPr>
                <w:b w:val="false"/>
                <w:bCs w:val="false"/>
                <w:color w:val="000000"/>
                <w:sz w:val="16"/>
                <w:szCs w:val="16"/>
              </w:rPr>
              <w:t xml:space="preserve">Instructor or client representative</w:t>
            </w:r>
          </w:p>
        </w:tc>
        <w:tc>
          <w:tcPr>
            <w:tcW w:type="dxa" w:w="2700"/>
            <w:tcMar>
              <w:top w:type="dxa" w:w="80"/>
              <w:left w:type="dxa" w:w="90"/>
              <w:bottom w:type="dxa" w:w="80"/>
              <w:right w:type="dxa" w:w="90"/>
            </w:tcMar>
          </w:tcPr>
          <w:p>
            <w:pPr>
              <w:spacing w:after="0"/>
            </w:pPr>
            <w:r>
              <w:rPr>
                <w:b w:val="false"/>
                <w:bCs w:val="false"/>
                <w:color w:val="000000"/>
                <w:sz w:val="16"/>
                <w:szCs w:val="16"/>
              </w:rPr>
              <w:t xml:space="preserve">Acceptance reviewer</w:t>
            </w:r>
          </w:p>
        </w:tc>
        <w:tc>
          <w:tcPr>
            <w:tcW w:type="dxa" w:w="2500"/>
            <w:tcMar>
              <w:top w:type="dxa" w:w="80"/>
              <w:left w:type="dxa" w:w="90"/>
              <w:bottom w:type="dxa" w:w="80"/>
              <w:right w:type="dxa" w:w="90"/>
            </w:tcMar>
          </w:tcPr>
          <w:p>
            <w:pPr>
              <w:spacing w:after="0"/>
            </w:pPr>
            <w:r>
              <w:rPr>
                <w:b w:val="false"/>
                <w:bCs w:val="false"/>
                <w:color w:val="000000"/>
                <w:sz w:val="16"/>
                <w:szCs w:val="16"/>
              </w:rPr>
              <w:t xml:space="preserve">________________________</w:t>
            </w:r>
          </w:p>
        </w:tc>
        <w:tc>
          <w:tcPr>
            <w:tcW w:type="dxa" w:w="1560"/>
            <w:tcMar>
              <w:top w:type="dxa" w:w="80"/>
              <w:left w:type="dxa" w:w="90"/>
              <w:bottom w:type="dxa" w:w="80"/>
              <w:right w:type="dxa" w:w="90"/>
            </w:tcMar>
          </w:tcPr>
          <w:p>
            <w:pPr>
              <w:spacing w:after="0"/>
            </w:pPr>
            <w:r>
              <w:rPr>
                <w:b w:val="false"/>
                <w:bCs w:val="false"/>
                <w:color w:val="000000"/>
                <w:sz w:val="16"/>
                <w:szCs w:val="16"/>
              </w:rPr>
              <w:t xml:space="preserve">________________</w:t>
            </w:r>
          </w:p>
        </w:tc>
      </w:tr>
    </w:tbl>
    <w:p>
      <w:pPr>
        <w:pStyle w:val="Heading1"/>
        <w:spacing w:after="100" w:before="220"/>
      </w:pPr>
      <w:r>
        <w:rPr>
          <w:b/>
          <w:bCs/>
          <w:color w:val="1F4E78"/>
          <w:sz w:val="26"/>
          <w:szCs w:val="26"/>
        </w:rPr>
        <w:t xml:space="preserve">16. References</w:t>
      </w:r>
    </w:p>
    <w:p>
      <w:pPr>
        <w:spacing w:after="100" w:line="276"/>
      </w:pPr>
      <w:r>
        <w:rPr>
          <w:sz w:val="21"/>
          <w:szCs w:val="21"/>
        </w:rPr>
        <w:t xml:space="preserve">Everett, G. D., &amp; McLeod, R. (2007). Software testing: Testing across the entire software development life cycle. Wiley-IEEE Computer Society Press.</w:t>
      </w:r>
    </w:p>
    <w:p>
      <w:pPr>
        <w:spacing w:after="100" w:line="276"/>
      </w:pPr>
      <w:r>
        <w:rPr>
          <w:sz w:val="21"/>
          <w:szCs w:val="21"/>
        </w:rPr>
        <w:t xml:space="preserve">International Organization for Standardization. (2013). ISO/IEC/IEEE 29119-2:2013 Software and systems engineering — Software testing — Part 2: Test processes. ISO.</w:t>
      </w:r>
    </w:p>
    <w:p>
      <w:pPr>
        <w:spacing w:after="100" w:line="276"/>
      </w:pPr>
      <w:r>
        <w:rPr>
          <w:sz w:val="21"/>
          <w:szCs w:val="21"/>
        </w:rPr>
        <w:t xml:space="preserve">Institute of Electrical and Electronics Engineers. (1998). IEEE Std 829-1998: IEEE standard for software test documentation. IEEE.</w:t>
      </w:r>
    </w:p>
    <w:p>
      <w:pPr>
        <w:spacing w:after="100" w:line="276"/>
      </w:pPr>
      <w:r>
        <w:rPr>
          <w:sz w:val="21"/>
          <w:szCs w:val="21"/>
        </w:rPr>
        <w:t xml:space="preserve">Microsoft. (2026). ASP.NET Core documentation (.NET 10). https://learn.microsoft.com/aspnet/core/</w:t>
      </w:r>
    </w:p>
    <w:p>
      <w:pPr>
        <w:spacing w:after="100" w:line="276"/>
      </w:pPr>
      <w:r>
        <w:rPr>
          <w:sz w:val="21"/>
          <w:szCs w:val="21"/>
        </w:rPr>
        <w:t xml:space="preserve">Microsoft. (2026). Entity Framework Core documentation. https://learn.microsoft.com/ef/core/</w:t>
      </w:r>
    </w:p>
    <w:p>
      <w:pPr>
        <w:spacing w:after="100" w:line="276"/>
      </w:pPr>
      <w:r>
        <w:rPr>
          <w:sz w:val="21"/>
          <w:szCs w:val="21"/>
        </w:rPr>
        <w:t xml:space="preserve">Microsoft. (2026). YARP: Yet Another Reverse Proxy documentation. https://microsoft.github.io/reverse-proxy/</w:t>
      </w:r>
    </w:p>
    <w:p>
      <w:pPr>
        <w:spacing w:after="100" w:line="276"/>
      </w:pPr>
      <w:r>
        <w:rPr>
          <w:sz w:val="21"/>
          <w:szCs w:val="21"/>
        </w:rPr>
        <w:t xml:space="preserve">Microsoft. (2026). Azure App Service and Azure Key Vault documentation. https://learn.microsoft.com/azure/</w:t>
      </w:r>
    </w:p>
    <w:p>
      <w:pPr>
        <w:spacing w:after="100" w:line="276"/>
      </w:pPr>
      <w:r>
        <w:rPr>
          <w:sz w:val="21"/>
          <w:szCs w:val="21"/>
        </w:rPr>
        <w:t xml:space="preserve">Meta Open Source. (2026). React documentation. https://react.dev/</w:t>
      </w:r>
    </w:p>
    <w:p>
      <w:pPr>
        <w:spacing w:after="100" w:line="276"/>
      </w:pPr>
      <w:r>
        <w:rPr>
          <w:sz w:val="21"/>
          <w:szCs w:val="21"/>
        </w:rPr>
        <w:t xml:space="preserve">Microsoft. (2026). Playwright documentation. https://playwright.dev/docs/intro</w:t>
      </w:r>
    </w:p>
    <w:p>
      <w:pPr>
        <w:spacing w:after="100" w:line="276"/>
      </w:pPr>
      <w:r>
        <w:rPr>
          <w:sz w:val="21"/>
          <w:szCs w:val="21"/>
        </w:rPr>
        <w:t xml:space="preserve">National Highway Traffic Safety Administration. (2026). vPIC vehicle product information catalog API. https://vpic.nhtsa.dot.gov/api/</w:t>
      </w:r>
    </w:p>
    <w:p>
      <w:pPr>
        <w:spacing w:after="100" w:line="276"/>
      </w:pPr>
      <w:r>
        <w:rPr>
          <w:sz w:val="21"/>
          <w:szCs w:val="21"/>
        </w:rPr>
        <w:t xml:space="preserve">DealerOps project. (2026). Requirements specification, design documents, API contract and source code. Internal capstone project material.</w:t>
      </w:r>
    </w:p>
    <w:p>
      <w:pPr>
        <w:spacing w:after="100" w:line="276"/>
      </w:pPr>
      <w:r>
        <w:rPr>
          <w:sz w:val="21"/>
          <w:szCs w:val="21"/>
        </w:rPr>
        <w:t xml:space="preserve">SAIT. (2026). CPRG-305-B Group Assignment 2: Developing a Testing Plan — assignment brief, test plan template, test case template and rubric. Course material.</w:t>
      </w:r>
    </w:p>
    <w:p>
      <w:pPr>
        <w:pStyle w:val="Heading1"/>
        <w:spacing w:after="100" w:before="220"/>
      </w:pPr>
      <w:r>
        <w:rPr>
          <w:b/>
          <w:bCs/>
          <w:color w:val="1F4E78"/>
          <w:sz w:val="26"/>
          <w:szCs w:val="26"/>
        </w:rPr>
        <w:t xml:space="preserve">Appendices</w:t>
      </w:r>
    </w:p>
    <w:p>
      <w:pPr>
        <w:pStyle w:val="Heading2"/>
        <w:spacing w:after="100" w:before="220"/>
      </w:pPr>
      <w:r>
        <w:rPr>
          <w:b/>
          <w:bCs/>
          <w:color w:val="1F4E78"/>
          <w:sz w:val="23"/>
          <w:szCs w:val="23"/>
        </w:rPr>
        <w:t xml:space="preserve">Appendix A — Test case workbook mapping</w:t>
      </w:r>
    </w:p>
    <w:p>
      <w:pPr>
        <w:spacing w:after="100" w:line="276"/>
      </w:pPr>
      <w:r>
        <w:rPr>
          <w:sz w:val="21"/>
          <w:szCs w:val="21"/>
        </w:rPr>
        <w:t xml:space="preserve">The companion workbook, DealerOps_Group_Assignment_2_Test_Cases.xlsx, holds 70 cases in the columns of the supplied CPRG305 Test Case Development Template, one development phase per identifier prefix:</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gridCol w:w="100"/>
      </w:tblGrid>
      <w:tr>
        <w:tc>
          <w:tcPr>
            <w:tcW w:type="dxa" w:w="1200"/>
            <w:shd w:fill="1F4E78" w:val="clear"/>
            <w:tcMar>
              <w:top w:type="dxa" w:w="80"/>
              <w:left w:type="dxa" w:w="90"/>
              <w:bottom w:type="dxa" w:w="80"/>
              <w:right w:type="dxa" w:w="90"/>
            </w:tcMar>
          </w:tcPr>
          <w:p>
            <w:pPr>
              <w:spacing w:after="0"/>
            </w:pPr>
            <w:r>
              <w:rPr>
                <w:b/>
                <w:bCs/>
                <w:color w:val="FFFFFF"/>
                <w:sz w:val="17"/>
                <w:szCs w:val="17"/>
              </w:rPr>
              <w:t xml:space="preserve">Prefix</w:t>
            </w:r>
          </w:p>
        </w:tc>
        <w:tc>
          <w:tcPr>
            <w:tcW w:type="dxa" w:w="3600"/>
            <w:shd w:fill="1F4E78" w:val="clear"/>
            <w:tcMar>
              <w:top w:type="dxa" w:w="80"/>
              <w:left w:type="dxa" w:w="90"/>
              <w:bottom w:type="dxa" w:w="80"/>
              <w:right w:type="dxa" w:w="90"/>
            </w:tcMar>
          </w:tcPr>
          <w:p>
            <w:pPr>
              <w:spacing w:after="0"/>
            </w:pPr>
            <w:r>
              <w:rPr>
                <w:b/>
                <w:bCs/>
                <w:color w:val="FFFFFF"/>
                <w:sz w:val="17"/>
                <w:szCs w:val="17"/>
              </w:rPr>
              <w:t xml:space="preserve">Development phase</w:t>
            </w:r>
          </w:p>
        </w:tc>
        <w:tc>
          <w:tcPr>
            <w:tcW w:type="dxa" w:w="3160"/>
            <w:shd w:fill="1F4E78" w:val="clear"/>
            <w:tcMar>
              <w:top w:type="dxa" w:w="80"/>
              <w:left w:type="dxa" w:w="90"/>
              <w:bottom w:type="dxa" w:w="80"/>
              <w:right w:type="dxa" w:w="90"/>
            </w:tcMar>
          </w:tcPr>
          <w:p>
            <w:pPr>
              <w:spacing w:after="0"/>
            </w:pPr>
            <w:r>
              <w:rPr>
                <w:b/>
                <w:bCs/>
                <w:color w:val="FFFFFF"/>
                <w:sz w:val="17"/>
                <w:szCs w:val="17"/>
              </w:rPr>
              <w:t xml:space="preserve">Range</w:t>
            </w:r>
          </w:p>
        </w:tc>
        <w:tc>
          <w:tcPr>
            <w:tcW w:type="dxa" w:w="1400"/>
            <w:shd w:fill="1F4E78" w:val="clear"/>
            <w:tcMar>
              <w:top w:type="dxa" w:w="80"/>
              <w:left w:type="dxa" w:w="90"/>
              <w:bottom w:type="dxa" w:w="80"/>
              <w:right w:type="dxa" w:w="90"/>
            </w:tcMar>
          </w:tcPr>
          <w:p>
            <w:pPr>
              <w:spacing w:after="0"/>
            </w:pPr>
            <w:r>
              <w:rPr>
                <w:b/>
                <w:bCs/>
                <w:color w:val="FFFFFF"/>
                <w:sz w:val="17"/>
                <w:szCs w:val="17"/>
              </w:rPr>
              <w:t xml:space="preserve">Count</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RV</w:t>
            </w:r>
          </w:p>
        </w:tc>
        <w:tc>
          <w:tcPr>
            <w:tcW w:type="dxa" w:w="3600"/>
            <w:tcMar>
              <w:top w:type="dxa" w:w="80"/>
              <w:left w:type="dxa" w:w="90"/>
              <w:bottom w:type="dxa" w:w="80"/>
              <w:right w:type="dxa" w:w="90"/>
            </w:tcMar>
          </w:tcPr>
          <w:p>
            <w:pPr>
              <w:spacing w:after="0"/>
            </w:pPr>
            <w:r>
              <w:rPr>
                <w:b w:val="false"/>
                <w:bCs w:val="false"/>
                <w:color w:val="000000"/>
                <w:sz w:val="16"/>
                <w:szCs w:val="16"/>
              </w:rPr>
              <w:t xml:space="preserve">Requirements and design review</w:t>
            </w:r>
          </w:p>
        </w:tc>
        <w:tc>
          <w:tcPr>
            <w:tcW w:type="dxa" w:w="3160"/>
            <w:tcMar>
              <w:top w:type="dxa" w:w="80"/>
              <w:left w:type="dxa" w:w="90"/>
              <w:bottom w:type="dxa" w:w="80"/>
              <w:right w:type="dxa" w:w="90"/>
            </w:tcMar>
          </w:tcPr>
          <w:p>
            <w:pPr>
              <w:spacing w:after="0"/>
            </w:pPr>
            <w:r>
              <w:rPr>
                <w:b w:val="false"/>
                <w:bCs w:val="false"/>
                <w:color w:val="000000"/>
                <w:sz w:val="16"/>
                <w:szCs w:val="16"/>
              </w:rPr>
              <w:t xml:space="preserve">RV-01 to RV-06</w:t>
            </w:r>
          </w:p>
        </w:tc>
        <w:tc>
          <w:tcPr>
            <w:tcW w:type="dxa" w:w="1400"/>
            <w:tcMar>
              <w:top w:type="dxa" w:w="80"/>
              <w:left w:type="dxa" w:w="90"/>
              <w:bottom w:type="dxa" w:w="80"/>
              <w:right w:type="dxa" w:w="90"/>
            </w:tcMar>
          </w:tcPr>
          <w:p>
            <w:pPr>
              <w:spacing w:after="0"/>
            </w:pPr>
            <w:r>
              <w:rPr>
                <w:b w:val="false"/>
                <w:bCs w:val="false"/>
                <w:color w:val="000000"/>
                <w:sz w:val="16"/>
                <w:szCs w:val="16"/>
              </w:rPr>
              <w:t xml:space="preserve">6</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UT</w:t>
            </w:r>
          </w:p>
        </w:tc>
        <w:tc>
          <w:tcPr>
            <w:tcW w:type="dxa" w:w="3600"/>
            <w:tcMar>
              <w:top w:type="dxa" w:w="80"/>
              <w:left w:type="dxa" w:w="90"/>
              <w:bottom w:type="dxa" w:w="80"/>
              <w:right w:type="dxa" w:w="90"/>
            </w:tcMar>
          </w:tcPr>
          <w:p>
            <w:pPr>
              <w:spacing w:after="0"/>
            </w:pPr>
            <w:r>
              <w:rPr>
                <w:b w:val="false"/>
                <w:bCs w:val="false"/>
                <w:color w:val="000000"/>
                <w:sz w:val="16"/>
                <w:szCs w:val="16"/>
              </w:rPr>
              <w:t xml:space="preserve">Unit</w:t>
            </w:r>
          </w:p>
        </w:tc>
        <w:tc>
          <w:tcPr>
            <w:tcW w:type="dxa" w:w="3160"/>
            <w:tcMar>
              <w:top w:type="dxa" w:w="80"/>
              <w:left w:type="dxa" w:w="90"/>
              <w:bottom w:type="dxa" w:w="80"/>
              <w:right w:type="dxa" w:w="90"/>
            </w:tcMar>
          </w:tcPr>
          <w:p>
            <w:pPr>
              <w:spacing w:after="0"/>
            </w:pPr>
            <w:r>
              <w:rPr>
                <w:b w:val="false"/>
                <w:bCs w:val="false"/>
                <w:color w:val="000000"/>
                <w:sz w:val="16"/>
                <w:szCs w:val="16"/>
              </w:rPr>
              <w:t xml:space="preserve">UT-01 to UT-12</w:t>
            </w:r>
          </w:p>
        </w:tc>
        <w:tc>
          <w:tcPr>
            <w:tcW w:type="dxa" w:w="1400"/>
            <w:tcMar>
              <w:top w:type="dxa" w:w="80"/>
              <w:left w:type="dxa" w:w="90"/>
              <w:bottom w:type="dxa" w:w="80"/>
              <w:right w:type="dxa" w:w="90"/>
            </w:tcMar>
          </w:tcPr>
          <w:p>
            <w:pPr>
              <w:spacing w:after="0"/>
            </w:pPr>
            <w:r>
              <w:rPr>
                <w:b w:val="false"/>
                <w:bCs w:val="false"/>
                <w:color w:val="000000"/>
                <w:sz w:val="16"/>
                <w:szCs w:val="16"/>
              </w:rPr>
              <w:t xml:space="preserve">12</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IT</w:t>
            </w:r>
          </w:p>
        </w:tc>
        <w:tc>
          <w:tcPr>
            <w:tcW w:type="dxa" w:w="3600"/>
            <w:tcMar>
              <w:top w:type="dxa" w:w="80"/>
              <w:left w:type="dxa" w:w="90"/>
              <w:bottom w:type="dxa" w:w="80"/>
              <w:right w:type="dxa" w:w="90"/>
            </w:tcMar>
          </w:tcPr>
          <w:p>
            <w:pPr>
              <w:spacing w:after="0"/>
            </w:pPr>
            <w:r>
              <w:rPr>
                <w:b w:val="false"/>
                <w:bCs w:val="false"/>
                <w:color w:val="000000"/>
                <w:sz w:val="16"/>
                <w:szCs w:val="16"/>
              </w:rPr>
              <w:t xml:space="preserve">Integration and API</w:t>
            </w:r>
          </w:p>
        </w:tc>
        <w:tc>
          <w:tcPr>
            <w:tcW w:type="dxa" w:w="3160"/>
            <w:tcMar>
              <w:top w:type="dxa" w:w="80"/>
              <w:left w:type="dxa" w:w="90"/>
              <w:bottom w:type="dxa" w:w="80"/>
              <w:right w:type="dxa" w:w="90"/>
            </w:tcMar>
          </w:tcPr>
          <w:p>
            <w:pPr>
              <w:spacing w:after="0"/>
            </w:pPr>
            <w:r>
              <w:rPr>
                <w:b w:val="false"/>
                <w:bCs w:val="false"/>
                <w:color w:val="000000"/>
                <w:sz w:val="16"/>
                <w:szCs w:val="16"/>
              </w:rPr>
              <w:t xml:space="preserve">IT-01 to IT-26</w:t>
            </w:r>
          </w:p>
        </w:tc>
        <w:tc>
          <w:tcPr>
            <w:tcW w:type="dxa" w:w="1400"/>
            <w:tcMar>
              <w:top w:type="dxa" w:w="80"/>
              <w:left w:type="dxa" w:w="90"/>
              <w:bottom w:type="dxa" w:w="80"/>
              <w:right w:type="dxa" w:w="90"/>
            </w:tcMar>
          </w:tcPr>
          <w:p>
            <w:pPr>
              <w:spacing w:after="0"/>
            </w:pPr>
            <w:r>
              <w:rPr>
                <w:b w:val="false"/>
                <w:bCs w:val="false"/>
                <w:color w:val="000000"/>
                <w:sz w:val="16"/>
                <w:szCs w:val="16"/>
              </w:rPr>
              <w:t xml:space="preserve">26</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SYS</w:t>
            </w:r>
          </w:p>
        </w:tc>
        <w:tc>
          <w:tcPr>
            <w:tcW w:type="dxa" w:w="3600"/>
            <w:tcMar>
              <w:top w:type="dxa" w:w="80"/>
              <w:left w:type="dxa" w:w="90"/>
              <w:bottom w:type="dxa" w:w="80"/>
              <w:right w:type="dxa" w:w="90"/>
            </w:tcMar>
          </w:tcPr>
          <w:p>
            <w:pPr>
              <w:spacing w:after="0"/>
            </w:pPr>
            <w:r>
              <w:rPr>
                <w:b w:val="false"/>
                <w:bCs w:val="false"/>
                <w:color w:val="000000"/>
                <w:sz w:val="16"/>
                <w:szCs w:val="16"/>
              </w:rPr>
              <w:t xml:space="preserve">System (browser end-to-end)</w:t>
            </w:r>
          </w:p>
        </w:tc>
        <w:tc>
          <w:tcPr>
            <w:tcW w:type="dxa" w:w="3160"/>
            <w:tcMar>
              <w:top w:type="dxa" w:w="80"/>
              <w:left w:type="dxa" w:w="90"/>
              <w:bottom w:type="dxa" w:w="80"/>
              <w:right w:type="dxa" w:w="90"/>
            </w:tcMar>
          </w:tcPr>
          <w:p>
            <w:pPr>
              <w:spacing w:after="0"/>
            </w:pPr>
            <w:r>
              <w:rPr>
                <w:b w:val="false"/>
                <w:bCs w:val="false"/>
                <w:color w:val="000000"/>
                <w:sz w:val="16"/>
                <w:szCs w:val="16"/>
              </w:rPr>
              <w:t xml:space="preserve">SYS-01 to SYS-12</w:t>
            </w:r>
          </w:p>
        </w:tc>
        <w:tc>
          <w:tcPr>
            <w:tcW w:type="dxa" w:w="1400"/>
            <w:tcMar>
              <w:top w:type="dxa" w:w="80"/>
              <w:left w:type="dxa" w:w="90"/>
              <w:bottom w:type="dxa" w:w="80"/>
              <w:right w:type="dxa" w:w="90"/>
            </w:tcMar>
          </w:tcPr>
          <w:p>
            <w:pPr>
              <w:spacing w:after="0"/>
            </w:pPr>
            <w:r>
              <w:rPr>
                <w:b w:val="false"/>
                <w:bCs w:val="false"/>
                <w:color w:val="000000"/>
                <w:sz w:val="16"/>
                <w:szCs w:val="16"/>
              </w:rPr>
              <w:t xml:space="preserve">12</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AT</w:t>
            </w:r>
          </w:p>
        </w:tc>
        <w:tc>
          <w:tcPr>
            <w:tcW w:type="dxa" w:w="3600"/>
            <w:tcMar>
              <w:top w:type="dxa" w:w="80"/>
              <w:left w:type="dxa" w:w="90"/>
              <w:bottom w:type="dxa" w:w="80"/>
              <w:right w:type="dxa" w:w="90"/>
            </w:tcMar>
          </w:tcPr>
          <w:p>
            <w:pPr>
              <w:spacing w:after="0"/>
            </w:pPr>
            <w:r>
              <w:rPr>
                <w:b w:val="false"/>
                <w:bCs w:val="false"/>
                <w:color w:val="000000"/>
                <w:sz w:val="16"/>
                <w:szCs w:val="16"/>
              </w:rPr>
              <w:t xml:space="preserve">Acceptance</w:t>
            </w:r>
          </w:p>
        </w:tc>
        <w:tc>
          <w:tcPr>
            <w:tcW w:type="dxa" w:w="3160"/>
            <w:tcMar>
              <w:top w:type="dxa" w:w="80"/>
              <w:left w:type="dxa" w:w="90"/>
              <w:bottom w:type="dxa" w:w="80"/>
              <w:right w:type="dxa" w:w="90"/>
            </w:tcMar>
          </w:tcPr>
          <w:p>
            <w:pPr>
              <w:spacing w:after="0"/>
            </w:pPr>
            <w:r>
              <w:rPr>
                <w:b w:val="false"/>
                <w:bCs w:val="false"/>
                <w:color w:val="000000"/>
                <w:sz w:val="16"/>
                <w:szCs w:val="16"/>
              </w:rPr>
              <w:t xml:space="preserve">AT-01 to AT-08</w:t>
            </w:r>
          </w:p>
        </w:tc>
        <w:tc>
          <w:tcPr>
            <w:tcW w:type="dxa" w:w="1400"/>
            <w:tcMar>
              <w:top w:type="dxa" w:w="80"/>
              <w:left w:type="dxa" w:w="90"/>
              <w:bottom w:type="dxa" w:w="80"/>
              <w:right w:type="dxa" w:w="90"/>
            </w:tcMar>
          </w:tcPr>
          <w:p>
            <w:pPr>
              <w:spacing w:after="0"/>
            </w:pPr>
            <w:r>
              <w:rPr>
                <w:b w:val="false"/>
                <w:bCs w:val="false"/>
                <w:color w:val="000000"/>
                <w:sz w:val="16"/>
                <w:szCs w:val="16"/>
              </w:rPr>
              <w:t xml:space="preserve">8</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DEP</w:t>
            </w:r>
          </w:p>
        </w:tc>
        <w:tc>
          <w:tcPr>
            <w:tcW w:type="dxa" w:w="3600"/>
            <w:tcMar>
              <w:top w:type="dxa" w:w="80"/>
              <w:left w:type="dxa" w:w="90"/>
              <w:bottom w:type="dxa" w:w="80"/>
              <w:right w:type="dxa" w:w="90"/>
            </w:tcMar>
          </w:tcPr>
          <w:p>
            <w:pPr>
              <w:spacing w:after="0"/>
            </w:pPr>
            <w:r>
              <w:rPr>
                <w:b w:val="false"/>
                <w:bCs w:val="false"/>
                <w:color w:val="000000"/>
                <w:sz w:val="16"/>
                <w:szCs w:val="16"/>
              </w:rPr>
              <w:t xml:space="preserve">Deployment and release</w:t>
            </w:r>
          </w:p>
        </w:tc>
        <w:tc>
          <w:tcPr>
            <w:tcW w:type="dxa" w:w="3160"/>
            <w:tcMar>
              <w:top w:type="dxa" w:w="80"/>
              <w:left w:type="dxa" w:w="90"/>
              <w:bottom w:type="dxa" w:w="80"/>
              <w:right w:type="dxa" w:w="90"/>
            </w:tcMar>
          </w:tcPr>
          <w:p>
            <w:pPr>
              <w:spacing w:after="0"/>
            </w:pPr>
            <w:r>
              <w:rPr>
                <w:b w:val="false"/>
                <w:bCs w:val="false"/>
                <w:color w:val="000000"/>
                <w:sz w:val="16"/>
                <w:szCs w:val="16"/>
              </w:rPr>
              <w:t xml:space="preserve">DEP-01 to DEP-06</w:t>
            </w:r>
          </w:p>
        </w:tc>
        <w:tc>
          <w:tcPr>
            <w:tcW w:type="dxa" w:w="1400"/>
            <w:tcMar>
              <w:top w:type="dxa" w:w="80"/>
              <w:left w:type="dxa" w:w="90"/>
              <w:bottom w:type="dxa" w:w="80"/>
              <w:right w:type="dxa" w:w="90"/>
            </w:tcMar>
          </w:tcPr>
          <w:p>
            <w:pPr>
              <w:spacing w:after="0"/>
            </w:pPr>
            <w:r>
              <w:rPr>
                <w:b w:val="false"/>
                <w:bCs w:val="false"/>
                <w:color w:val="000000"/>
                <w:sz w:val="16"/>
                <w:szCs w:val="16"/>
              </w:rPr>
              <w:t xml:space="preserve">6</w:t>
            </w:r>
          </w:p>
        </w:tc>
      </w:tr>
      <w:tr>
        <w:trPr>
          <w:cantSplit/>
        </w:trPr>
        <w:tc>
          <w:tcPr>
            <w:tcW w:type="dxa" w:w="1200"/>
            <w:tcMar>
              <w:top w:type="dxa" w:w="80"/>
              <w:left w:type="dxa" w:w="90"/>
              <w:bottom w:type="dxa" w:w="80"/>
              <w:right w:type="dxa" w:w="90"/>
            </w:tcMar>
          </w:tcPr>
          <w:p>
            <w:pPr>
              <w:spacing w:after="0"/>
            </w:pPr>
            <w:r>
              <w:rPr>
                <w:b w:val="false"/>
                <w:bCs w:val="false"/>
                <w:color w:val="000000"/>
                <w:sz w:val="16"/>
                <w:szCs w:val="16"/>
              </w:rPr>
              <w:t xml:space="preserve">Total</w:t>
            </w:r>
          </w:p>
        </w:tc>
        <w:tc>
          <w:tcPr>
            <w:tcW w:type="dxa" w:w="3600"/>
            <w:tcMar>
              <w:top w:type="dxa" w:w="80"/>
              <w:left w:type="dxa" w:w="90"/>
              <w:bottom w:type="dxa" w:w="80"/>
              <w:right w:type="dxa" w:w="90"/>
            </w:tcMar>
          </w:tcPr>
          <w:p>
            <w:pPr>
              <w:spacing w:after="0"/>
            </w:pPr>
            <w:r>
              <w:rPr>
                <w:b w:val="false"/>
                <w:bCs w:val="false"/>
                <w:color w:val="000000"/>
                <w:sz w:val="16"/>
                <w:szCs w:val="16"/>
              </w:rPr>
              <w:t xml:space="preserve">All phases</w:t>
            </w:r>
          </w:p>
        </w:tc>
        <w:tc>
          <w:tcPr>
            <w:tcW w:type="dxa" w:w="3160"/>
            <w:tcMar>
              <w:top w:type="dxa" w:w="80"/>
              <w:left w:type="dxa" w:w="90"/>
              <w:bottom w:type="dxa" w:w="80"/>
              <w:right w:type="dxa" w:w="90"/>
            </w:tcMar>
          </w:tcPr>
          <w:p>
            <w:pPr>
              <w:spacing w:after="0"/>
            </w:pPr>
            <w:r>
              <w:rPr>
                <w:b w:val="false"/>
                <w:bCs w:val="false"/>
                <w:color w:val="000000"/>
                <w:sz w:val="16"/>
                <w:szCs w:val="16"/>
              </w:rPr>
              <w:t xml:space="preserve">70 cases</w:t>
            </w:r>
          </w:p>
        </w:tc>
        <w:tc>
          <w:tcPr>
            <w:tcW w:type="dxa" w:w="1400"/>
            <w:tcMar>
              <w:top w:type="dxa" w:w="80"/>
              <w:left w:type="dxa" w:w="90"/>
              <w:bottom w:type="dxa" w:w="80"/>
              <w:right w:type="dxa" w:w="90"/>
            </w:tcMar>
          </w:tcPr>
          <w:p>
            <w:pPr>
              <w:spacing w:after="0"/>
            </w:pPr>
            <w:r>
              <w:rPr>
                <w:b w:val="false"/>
                <w:bCs w:val="false"/>
                <w:color w:val="000000"/>
                <w:sz w:val="16"/>
                <w:szCs w:val="16"/>
              </w:rPr>
              <w:t xml:space="preserve">70</w:t>
            </w:r>
          </w:p>
        </w:tc>
      </w:tr>
    </w:tbl>
    <w:p>
      <w:pPr>
        <w:spacing w:after="100" w:line="276"/>
      </w:pPr>
      <w:r>
        <w:rPr>
          <w:sz w:val="20"/>
          <w:szCs w:val="20"/>
        </w:rPr>
        <w:t xml:space="preserve">The Comments column of each row names its phase and the project acceptance case it traces to, so the plan, the workbook and the project acceptance design stay aligned. Actual Result, Test Status and Test Date stay at their planned values until execution in Group Assignment 3.</w:t>
      </w:r>
    </w:p>
    <w:p>
      <w:pPr>
        <w:pStyle w:val="Heading2"/>
        <w:spacing w:after="100" w:before="220"/>
      </w:pPr>
      <w:r>
        <w:rPr>
          <w:b/>
          <w:bCs/>
          <w:color w:val="1F4E78"/>
          <w:sz w:val="23"/>
          <w:szCs w:val="23"/>
        </w:rPr>
        <w:t xml:space="preserve">Appendix B — Submission note</w:t>
      </w:r>
    </w:p>
    <w:p>
      <w:pPr>
        <w:spacing w:after="100" w:line="276"/>
      </w:pPr>
      <w:r>
        <w:rPr>
          <w:sz w:val="21"/>
          <w:szCs w:val="21"/>
        </w:rPr>
        <w:t xml:space="preserve">This group submission is the test plan and the separate test case workbook. The peer assessment is deliberately not part of the group document: each member completes and submits their own on the course form using the 1 to 3 scale.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DealerOps Group Assignment 2 Test Plan</dc:title>
  <dc:subject>CPRG-305-B testing plan</dc:subject>
  <dc:creator>DealerOps group</dc:creator>
  <cp:lastModifiedBy>Un-named</cp:lastModifiedBy>
  <cp:revision>1</cp:revision>
  <dcterms:created xsi:type="dcterms:W3CDTF">2026-10-23T23:26:37.154Z</dcterms:created>
  <dcterms:modified xsi:type="dcterms:W3CDTF">2026-10-23T23:26:37.154Z</dcterms:modified>
</cp:coreProperties>
</file>

<file path=docProps/custom.xml><?xml version="1.0" encoding="utf-8"?>
<Properties xmlns="http://schemas.openxmlformats.org/officeDocument/2006/custom-properties" xmlns:vt="http://schemas.openxmlformats.org/officeDocument/2006/docPropsVTypes"/>
</file>