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B57"/>
          <w:sz w:val="38"/>
        </w:rPr>
        <w:t>DealerOps — Sprint Status Update</w:t>
      </w:r>
    </w:p>
    <w:p>
      <w:pPr>
        <w:spacing w:after="200"/>
      </w:pPr>
      <w:r>
        <w:rPr>
          <w:color w:val="555F6B"/>
          <w:sz w:val="21"/>
        </w:rPr>
        <w:t>Status Report 2 (Sprint 1)  ·  Fall 2026 Capstone Project (PROJ-309-SDA)  ·  Capstone Group 2 (Team G2)</w:t>
      </w:r>
    </w:p>
    <w:tbl>
      <w:tblPr>
        <w:tblStyle w:val="TableGrid"/>
        <w:tblW w:type="auto" w:w="0"/>
        <w:jc w:val="center"/>
        <w:tblLayout w:type="fixed"/>
        <w:tblLook w:firstColumn="1" w:firstRow="1" w:lastColumn="0" w:lastRow="0" w:noHBand="0" w:noVBand="1" w:val="04A0"/>
      </w:tblPr>
      <w:tblGrid>
        <w:gridCol w:w="4968"/>
        <w:gridCol w:w="4968"/>
      </w:tblGrid>
      <w:tr>
        <w:tc>
          <w:tcPr>
            <w:tcW w:type="dxa" w:w="2304"/>
            <w:shd w:val="clear" w:color="auto" w:fill="1F3B57"/>
          </w:tcPr>
          <w:p>
            <w:pPr>
              <w:spacing w:after="40" w:before="40"/>
            </w:pPr>
            <w:r>
              <w:rPr>
                <w:color w:val="FFFFFF"/>
              </w:rPr>
            </w:r>
            <w:r>
              <w:rPr>
                <w:b/>
                <w:color w:val="FFFFFF"/>
                <w:sz w:val="19"/>
              </w:rPr>
              <w:t>Field</w:t>
            </w:r>
          </w:p>
        </w:tc>
        <w:tc>
          <w:tcPr>
            <w:tcW w:type="dxa" w:w="7776"/>
            <w:shd w:val="clear" w:color="auto" w:fill="1F3B57"/>
          </w:tcPr>
          <w:p>
            <w:pPr>
              <w:spacing w:after="40" w:before="40"/>
            </w:pPr>
            <w:r>
              <w:rPr>
                <w:color w:val="FFFFFF"/>
              </w:rPr>
            </w:r>
            <w:r>
              <w:rPr>
                <w:b/>
                <w:color w:val="FFFFFF"/>
                <w:sz w:val="19"/>
              </w:rPr>
              <w:t>Value</w:t>
            </w:r>
          </w:p>
        </w:tc>
      </w:tr>
      <w:tr>
        <w:tc>
          <w:tcPr>
            <w:tcW w:type="dxa" w:w="2304"/>
            <w:shd w:val="clear" w:color="auto" w:fill="EEF2F6"/>
          </w:tcPr>
          <w:p>
            <w:pPr>
              <w:spacing w:after="40" w:before="40"/>
            </w:pPr>
            <w:r/>
            <w:r>
              <w:rPr>
                <w:b/>
                <w:sz w:val="19"/>
              </w:rPr>
              <w:t>Course / assignment</w:t>
            </w:r>
          </w:p>
        </w:tc>
        <w:tc>
          <w:tcPr>
            <w:tcW w:type="dxa" w:w="7776"/>
          </w:tcPr>
          <w:p>
            <w:pPr>
              <w:spacing w:after="40" w:before="40"/>
            </w:pPr>
            <w:r/>
            <w:r>
              <w:rPr>
                <w:b w:val="0"/>
                <w:sz w:val="19"/>
              </w:rPr>
              <w:t>PROJ-309-SDA — Assignment: Status Reports 2 (10% of the course, 30 marks)</w:t>
            </w:r>
          </w:p>
        </w:tc>
      </w:tr>
      <w:tr>
        <w:tc>
          <w:tcPr>
            <w:tcW w:type="dxa" w:w="2304"/>
            <w:shd w:val="clear" w:color="auto" w:fill="EEF2F6"/>
          </w:tcPr>
          <w:p>
            <w:pPr>
              <w:spacing w:after="40" w:before="40"/>
            </w:pPr>
            <w:r/>
            <w:r>
              <w:rPr>
                <w:b/>
                <w:sz w:val="19"/>
              </w:rPr>
              <w:t>Group</w:t>
            </w:r>
          </w:p>
        </w:tc>
        <w:tc>
          <w:tcPr>
            <w:tcW w:type="dxa" w:w="7776"/>
          </w:tcPr>
          <w:p>
            <w:pPr>
              <w:spacing w:after="40" w:before="40"/>
            </w:pPr>
            <w:r/>
            <w:r>
              <w:rPr>
                <w:b w:val="0"/>
                <w:sz w:val="19"/>
              </w:rPr>
              <w:t>Capstone Groups — Group 2 (Team G2)</w:t>
            </w:r>
          </w:p>
        </w:tc>
      </w:tr>
      <w:tr>
        <w:tc>
          <w:tcPr>
            <w:tcW w:type="dxa" w:w="2304"/>
            <w:shd w:val="clear" w:color="auto" w:fill="EEF2F6"/>
          </w:tcPr>
          <w:p>
            <w:pPr>
              <w:spacing w:after="40" w:before="40"/>
            </w:pPr>
            <w:r/>
            <w:r>
              <w:rPr>
                <w:b/>
                <w:sz w:val="19"/>
              </w:rPr>
              <w:t>Team members</w:t>
            </w:r>
          </w:p>
        </w:tc>
        <w:tc>
          <w:tcPr>
            <w:tcW w:type="dxa" w:w="7776"/>
          </w:tcPr>
          <w:p>
            <w:pPr>
              <w:spacing w:after="40" w:before="40"/>
            </w:pPr>
            <w:r/>
            <w:r>
              <w:rPr>
                <w:b w:val="0"/>
                <w:sz w:val="19"/>
              </w:rPr>
              <w:t>Yuandong Yang (Robin) — Full Stack Lead</w:t>
            </w:r>
          </w:p>
          <w:p>
            <w:pPr>
              <w:spacing w:after="40" w:before="0"/>
            </w:pPr>
            <w:r>
              <w:rPr>
                <w:b w:val="0"/>
                <w:sz w:val="19"/>
              </w:rPr>
              <w:t>Bedgel Fadhil Ndam Woukouo — Web</w:t>
            </w:r>
          </w:p>
          <w:p>
            <w:pPr>
              <w:spacing w:after="40" w:before="0"/>
            </w:pPr>
            <w:r>
              <w:rPr>
                <w:b w:val="0"/>
                <w:sz w:val="19"/>
              </w:rPr>
              <w:t>Jackson Warga — AI and Platform</w:t>
            </w:r>
          </w:p>
          <w:p>
            <w:pPr>
              <w:spacing w:after="40" w:before="0"/>
            </w:pPr>
            <w:r>
              <w:rPr>
                <w:b w:val="0"/>
                <w:sz w:val="19"/>
              </w:rPr>
              <w:t>Logan Jones — Gateway and Core</w:t>
            </w:r>
          </w:p>
        </w:tc>
      </w:tr>
      <w:tr>
        <w:tc>
          <w:tcPr>
            <w:tcW w:type="dxa" w:w="2304"/>
            <w:shd w:val="clear" w:color="auto" w:fill="EEF2F6"/>
          </w:tcPr>
          <w:p>
            <w:pPr>
              <w:spacing w:after="40" w:before="40"/>
            </w:pPr>
            <w:r/>
            <w:r>
              <w:rPr>
                <w:b/>
                <w:sz w:val="19"/>
              </w:rPr>
              <w:t>Sprint</w:t>
            </w:r>
          </w:p>
        </w:tc>
        <w:tc>
          <w:tcPr>
            <w:tcW w:type="dxa" w:w="7776"/>
          </w:tcPr>
          <w:p>
            <w:pPr>
              <w:spacing w:after="40" w:before="40"/>
            </w:pPr>
            <w:r/>
            <w:r>
              <w:rPr>
                <w:b w:val="0"/>
                <w:sz w:val="19"/>
              </w:rPr>
              <w:t>Sprint 1 of 3 — 12 October to 1 November 2026</w:t>
            </w:r>
          </w:p>
        </w:tc>
      </w:tr>
      <w:tr>
        <w:tc>
          <w:tcPr>
            <w:tcW w:type="dxa" w:w="2304"/>
            <w:shd w:val="clear" w:color="auto" w:fill="EEF2F6"/>
          </w:tcPr>
          <w:p>
            <w:pPr>
              <w:spacing w:after="40" w:before="40"/>
            </w:pPr>
            <w:r/>
            <w:r>
              <w:rPr>
                <w:b/>
                <w:sz w:val="19"/>
              </w:rPr>
              <w:t>Report date / evidence cut-off</w:t>
            </w:r>
          </w:p>
        </w:tc>
        <w:tc>
          <w:tcPr>
            <w:tcW w:type="dxa" w:w="7776"/>
          </w:tcPr>
          <w:p>
            <w:pPr>
              <w:spacing w:after="40" w:before="40"/>
            </w:pPr>
            <w:r/>
            <w:r>
              <w:rPr>
                <w:b w:val="0"/>
                <w:sz w:val="19"/>
              </w:rPr>
              <w:t>23 October 2026. Evidence recorded up to this date; the final week (24 Oct – 1 Nov) is reported as planned work and is confirmed at sprint close.</w:t>
            </w:r>
          </w:p>
        </w:tc>
      </w:tr>
      <w:tr>
        <w:tc>
          <w:tcPr>
            <w:tcW w:type="dxa" w:w="2304"/>
            <w:shd w:val="clear" w:color="auto" w:fill="EEF2F6"/>
          </w:tcPr>
          <w:p>
            <w:pPr>
              <w:spacing w:after="40" w:before="40"/>
            </w:pPr>
            <w:r/>
            <w:r>
              <w:rPr>
                <w:b/>
                <w:sz w:val="19"/>
              </w:rPr>
              <w:t>Brightspace due date</w:t>
            </w:r>
          </w:p>
        </w:tc>
        <w:tc>
          <w:tcPr>
            <w:tcW w:type="dxa" w:w="7776"/>
          </w:tcPr>
          <w:p>
            <w:pPr>
              <w:spacing w:after="40" w:before="40"/>
            </w:pPr>
            <w:r/>
            <w:r>
              <w:rPr>
                <w:b w:val="0"/>
                <w:sz w:val="19"/>
              </w:rPr>
              <w:t>3 November 2026, 11:59 PM</w:t>
            </w:r>
          </w:p>
        </w:tc>
      </w:tr>
      <w:tr>
        <w:tc>
          <w:tcPr>
            <w:tcW w:type="dxa" w:w="2304"/>
            <w:shd w:val="clear" w:color="auto" w:fill="EEF2F6"/>
          </w:tcPr>
          <w:p>
            <w:pPr>
              <w:spacing w:after="40" w:before="40"/>
            </w:pPr>
            <w:r/>
            <w:r>
              <w:rPr>
                <w:b/>
                <w:sz w:val="19"/>
              </w:rPr>
              <w:t>Submission deliverables</w:t>
            </w:r>
          </w:p>
        </w:tc>
        <w:tc>
          <w:tcPr>
            <w:tcW w:type="dxa" w:w="7776"/>
          </w:tcPr>
          <w:p>
            <w:pPr>
              <w:spacing w:after="40" w:before="40"/>
            </w:pPr>
            <w:r/>
            <w:r>
              <w:rPr>
                <w:b w:val="0"/>
                <w:sz w:val="19"/>
              </w:rPr>
              <w:t>1. This status report document.</w:t>
            </w:r>
          </w:p>
          <w:p>
            <w:pPr>
              <w:spacing w:after="40" w:before="0"/>
            </w:pPr>
            <w:r>
              <w:rPr>
                <w:b w:val="0"/>
                <w:sz w:val="19"/>
              </w:rPr>
              <w:t>2. Presentation deck (PPTX): progress, architectural updates, milestone tracking.</w:t>
            </w:r>
          </w:p>
          <w:p>
            <w:pPr>
              <w:spacing w:after="40" w:before="0"/>
            </w:pPr>
            <w:r>
              <w:rPr>
                <w:b w:val="0"/>
                <w:sz w:val="19"/>
              </w:rPr>
              <w:t>3. In-class live demo of the working prototype (minimum 50% of core features).</w:t>
            </w:r>
          </w:p>
        </w:tc>
      </w:tr>
    </w:tbl>
    <w:p>
      <w:pPr>
        <w:spacing w:after="0"/>
      </w:pPr>
    </w:p>
    <w:p>
      <w:pPr>
        <w:pStyle w:val="Heading1"/>
      </w:pPr>
      <w:r>
        <w:t>1. Sprint 1 Status Update</w:t>
      </w:r>
    </w:p>
    <w:p>
      <w:pPr>
        <w:spacing w:after="120"/>
      </w:pPr>
      <w:r>
        <w:rPr>
          <w:b w:val="0"/>
          <w:i/>
          <w:sz w:val="18"/>
        </w:rPr>
        <w:t>The table follows the course template. Every claim is traceable to a dated artefact in the project repository; the evidence index is in section 6.</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448"/>
            <w:shd w:val="clear" w:color="auto" w:fill="1F3B57"/>
          </w:tcPr>
          <w:p>
            <w:pPr>
              <w:spacing w:after="40" w:before="40"/>
            </w:pPr>
            <w:r>
              <w:rPr>
                <w:color w:val="FFFFFF"/>
              </w:rPr>
            </w:r>
            <w:r>
              <w:rPr>
                <w:b/>
                <w:color w:val="FFFFFF"/>
                <w:sz w:val="19"/>
              </w:rPr>
              <w:t>Team name</w:t>
            </w:r>
          </w:p>
        </w:tc>
        <w:tc>
          <w:tcPr>
            <w:tcW w:type="dxa" w:w="5184"/>
            <w:shd w:val="clear" w:color="auto" w:fill="1F3B57"/>
          </w:tcPr>
          <w:p>
            <w:pPr>
              <w:spacing w:after="40" w:before="40"/>
            </w:pPr>
            <w:r>
              <w:rPr>
                <w:color w:val="FFFFFF"/>
              </w:rPr>
            </w:r>
            <w:r>
              <w:rPr>
                <w:b/>
                <w:color w:val="FFFFFF"/>
                <w:sz w:val="19"/>
              </w:rPr>
              <w:t>Team members</w:t>
            </w:r>
          </w:p>
        </w:tc>
        <w:tc>
          <w:tcPr>
            <w:tcW w:type="dxa" w:w="2448"/>
            <w:shd w:val="clear" w:color="auto" w:fill="1F3B57"/>
          </w:tcPr>
          <w:p>
            <w:pPr>
              <w:spacing w:after="40" w:before="40"/>
            </w:pPr>
            <w:r>
              <w:rPr>
                <w:color w:val="FFFFFF"/>
              </w:rPr>
            </w:r>
            <w:r>
              <w:rPr>
                <w:b/>
                <w:color w:val="FFFFFF"/>
                <w:sz w:val="19"/>
              </w:rPr>
              <w:t>Sprint #</w:t>
            </w:r>
          </w:p>
        </w:tc>
      </w:tr>
      <w:tr>
        <w:tc>
          <w:tcPr>
            <w:tcW w:type="dxa" w:w="2448"/>
          </w:tcPr>
          <w:p>
            <w:pPr>
              <w:spacing w:after="40" w:before="40"/>
            </w:pPr>
            <w:r/>
            <w:r>
              <w:rPr>
                <w:b w:val="0"/>
                <w:sz w:val="19"/>
              </w:rPr>
              <w:t>G2 (Capstone Group 2)</w:t>
            </w:r>
          </w:p>
        </w:tc>
        <w:tc>
          <w:tcPr>
            <w:tcW w:type="dxa" w:w="5184"/>
          </w:tcPr>
          <w:p>
            <w:pPr>
              <w:spacing w:after="40" w:before="40"/>
            </w:pPr>
            <w:r/>
            <w:r>
              <w:rPr>
                <w:b w:val="0"/>
                <w:sz w:val="19"/>
              </w:rPr>
              <w:t>Yuandong Yang (Robin), Bedgel Fadhil Ndam Woukouo, Jackson Warga, Logan Jones</w:t>
            </w:r>
          </w:p>
        </w:tc>
        <w:tc>
          <w:tcPr>
            <w:tcW w:type="dxa" w:w="2448"/>
          </w:tcPr>
          <w:p>
            <w:pPr>
              <w:spacing w:after="40" w:before="40"/>
            </w:pPr>
            <w:r/>
            <w:r>
              <w:rPr>
                <w:b w:val="0"/>
                <w:sz w:val="19"/>
              </w:rPr>
              <w:t>Sprint 1</w:t>
            </w:r>
          </w:p>
          <w:p>
            <w:pPr>
              <w:spacing w:after="40" w:before="0"/>
            </w:pPr>
            <w:r>
              <w:rPr>
                <w:b w:val="0"/>
                <w:sz w:val="19"/>
              </w:rPr>
              <w:t>12 Oct – 1 Nov 2026</w:t>
            </w:r>
          </w:p>
        </w:tc>
      </w:tr>
    </w:tbl>
    <w:p>
      <w:pPr>
        <w:spacing w:after="0"/>
      </w:pPr>
    </w:p>
    <w:tbl>
      <w:tblPr>
        <w:tblStyle w:val="TableGrid"/>
        <w:tblW w:type="auto" w:w="0"/>
        <w:jc w:val="center"/>
        <w:tblLayout w:type="fixed"/>
        <w:tblLook w:firstColumn="1" w:firstRow="1" w:lastColumn="0" w:lastRow="0" w:noHBand="0" w:noVBand="1" w:val="04A0"/>
      </w:tblPr>
      <w:tblGrid>
        <w:gridCol w:w="4968"/>
        <w:gridCol w:w="4968"/>
      </w:tblGrid>
      <w:tr>
        <w:tc>
          <w:tcPr>
            <w:tcW w:type="dxa" w:w="1944"/>
            <w:shd w:val="clear" w:color="auto" w:fill="1F3B57"/>
          </w:tcPr>
          <w:p>
            <w:pPr>
              <w:spacing w:after="40" w:before="40"/>
            </w:pPr>
            <w:r>
              <w:rPr>
                <w:color w:val="FFFFFF"/>
              </w:rPr>
            </w:r>
            <w:r>
              <w:rPr>
                <w:b/>
                <w:color w:val="FFFFFF"/>
                <w:sz w:val="19"/>
              </w:rPr>
              <w:t>Report field</w:t>
            </w:r>
          </w:p>
        </w:tc>
        <w:tc>
          <w:tcPr>
            <w:tcW w:type="dxa" w:w="8136"/>
            <w:shd w:val="clear" w:color="auto" w:fill="1F3B57"/>
          </w:tcPr>
          <w:p>
            <w:pPr>
              <w:spacing w:after="40" w:before="40"/>
            </w:pPr>
            <w:r>
              <w:rPr>
                <w:color w:val="FFFFFF"/>
              </w:rPr>
            </w:r>
            <w:r>
              <w:rPr>
                <w:b/>
                <w:color w:val="FFFFFF"/>
                <w:sz w:val="19"/>
              </w:rPr>
              <w:t>Sprint 1 update</w:t>
            </w:r>
          </w:p>
        </w:tc>
      </w:tr>
      <w:tr>
        <w:tc>
          <w:tcPr>
            <w:tcW w:type="dxa" w:w="1944"/>
            <w:shd w:val="clear" w:color="auto" w:fill="EEF2F6"/>
          </w:tcPr>
          <w:p>
            <w:pPr>
              <w:spacing w:after="40" w:before="40"/>
            </w:pPr>
            <w:r/>
            <w:r>
              <w:rPr>
                <w:b/>
                <w:sz w:val="19"/>
              </w:rPr>
              <w:t>Summary of activities</w:t>
            </w:r>
          </w:p>
        </w:tc>
        <w:tc>
          <w:tcPr>
            <w:tcW w:type="dxa" w:w="8136"/>
          </w:tcPr>
          <w:p>
            <w:pPr>
              <w:spacing w:after="40" w:before="40"/>
            </w:pPr>
            <w:r/>
            <w:r>
              <w:rPr>
                <w:b w:val="0"/>
                <w:sz w:val="19"/>
              </w:rPr>
              <w:t>86 commits were merged to main between 12 and 23 October. The work falls into six streams.</w:t>
            </w:r>
          </w:p>
          <w:p>
            <w:pPr>
              <w:spacing w:after="40" w:before="0"/>
            </w:pPr>
            <w:r>
              <w:rPr>
                <w:b w:val="0"/>
                <w:sz w:val="19"/>
              </w:rPr>
              <w:t>1. Stack consolidation. The repository was restructured around the active .NET 10 + React + MySQL stack, and the Azure deployment was switched from the retired Java/Vue stack to .NET and React (0fc204c, 3232953, 5599f91). The README was rewritten for the current stack (2c1a215).</w:t>
            </w:r>
          </w:p>
          <w:p>
            <w:pPr>
              <w:spacing w:after="40" w:before="0"/>
            </w:pPr>
            <w:r>
              <w:rPr>
                <w:b w:val="0"/>
                <w:sz w:val="19"/>
              </w:rPr>
              <w:t>2. Reopened requirements. AUTH-19, DMS-17, CRM-14, CRM-15, AD-15, AD-16 and NFR-07 were moved from “Won’t” to delivered and recorded in a requirement ledger with per-item evidence (review/DealerOps-Requirement-Implementation-Ledger-2026-10-19.md).</w:t>
            </w:r>
          </w:p>
          <w:p>
            <w:pPr>
              <w:spacing w:after="40" w:before="0"/>
            </w:pPr>
            <w:r>
              <w:rPr>
                <w:b w:val="0"/>
                <w:sz w:val="19"/>
              </w:rPr>
              <w:t>3. Delivery extensions. Optional vehicle fields (DMS-18), the payment ledger (PAY-01–05), the printable bill of sale (SALE-01), the KPI dashboard (DASH-01), lead stage history (CRM-16), workshop settlement reporting (WO-08), the public disclaimer page (AD-14), the public buyer site with an inquiry-to-lead flow (SHOP-01–05), finance-grade audit logs (AUD-10–17) and dealership manager/staff roles were implemented and documented in design/21 §9.</w:t>
            </w:r>
          </w:p>
          <w:p>
            <w:pPr>
              <w:spacing w:after="40" w:before="0"/>
            </w:pPr>
            <w:r>
              <w:rPr>
                <w:b w:val="0"/>
                <w:sz w:val="19"/>
              </w:rPr>
              <w:t>4. Quality pass. A manual browser CRUD walkthrough on 20 October found ten defects (B1–B10); all ten were fixed and re-checked the same day, after which the existing end-to-end suite ran 309 passed and 3 skipped (review/DealerOps-Browser-CRUD-Bug-Log-2026-10-20.md).</w:t>
            </w:r>
          </w:p>
          <w:p>
            <w:pPr>
              <w:spacing w:after="40" w:before="0"/>
            </w:pPr>
            <w:r>
              <w:rPr>
                <w:b w:val="0"/>
                <w:sz w:val="19"/>
              </w:rPr>
              <w:t>5. Deployment. Azure deployment became one command, deploy/deploy.sh --apply --seed, with a clean-and-pushed checkout guard, retried Kudu uploads, verification of the import through the Gateway, and an automatic Azure backup before local data is published (18643a3, 480ae38, f045bd6, d1451c2, afce6fc, 2b5523e).</w:t>
            </w:r>
          </w:p>
          <w:p>
            <w:pPr>
              <w:spacing w:after="40" w:before="0"/>
            </w:pPr>
            <w:r>
              <w:rPr>
                <w:b w:val="0"/>
                <w:sz w:val="19"/>
              </w:rPr>
              <w:t>6. Documentation and UI consistency. Scope was reconciled against the client originals (requirements/analysis/14-Delivery-Scope-Reconciliation-2026-10-21.md), a client-facing system design briefing page was added and updated (aa308a6, 9298d33), and the interface was normalised to one link style, one icon set, theme colours, type-ahead search and explicit empty states (cf09126, 6a5ee3b, 28f1ba0, a376e56).</w:t>
            </w:r>
          </w:p>
          <w:p>
            <w:pPr>
              <w:spacing w:after="40" w:before="0"/>
            </w:pPr>
            <w:r>
              <w:rPr>
                <w:b w:val="0"/>
                <w:sz w:val="19"/>
              </w:rPr>
              <w:t>At the evidence cut-off, feature development against the reconciled scope is complete. No new functionality is outstanding; the remaining work is defect hunting, interface refinement and acceptance evidence.</w:t>
            </w:r>
          </w:p>
        </w:tc>
      </w:tr>
      <w:tr>
        <w:tc>
          <w:tcPr>
            <w:tcW w:type="dxa" w:w="1944"/>
            <w:shd w:val="clear" w:color="auto" w:fill="EEF2F6"/>
          </w:tcPr>
          <w:p>
            <w:pPr>
              <w:spacing w:after="40" w:before="40"/>
            </w:pPr>
            <w:r/>
            <w:r>
              <w:rPr>
                <w:b/>
                <w:sz w:val="19"/>
              </w:rPr>
              <w:t>What we learned</w:t>
            </w:r>
          </w:p>
        </w:tc>
        <w:tc>
          <w:tcPr>
            <w:tcW w:type="dxa" w:w="8136"/>
          </w:tcPr>
          <w:p>
            <w:pPr>
              <w:spacing w:after="40" w:before="40"/>
            </w:pPr>
            <w:r/>
            <w:r>
              <w:rPr>
                <w:b w:val="0"/>
                <w:sz w:val="19"/>
              </w:rPr>
              <w:t>Manual walkthroughs find defects automated tests cannot. Defect B8 made the Members status control unclickable, yet the existing specs passed because they only read the label text. Coverage that asserts text instead of interaction gives false confidence.</w:t>
            </w:r>
          </w:p>
          <w:p>
            <w:pPr>
              <w:spacing w:after="40" w:before="0"/>
            </w:pPr>
            <w:r>
              <w:rPr>
                <w:b w:val="0"/>
                <w:sz w:val="19"/>
              </w:rPr>
              <w:t>Scope is cheaper to settle once than per ticket. When the client reopened the previously excluded features on 21 October, deciding every item in a single reconciliation document, with a written reason for each “No”, removed the repeated argument from each later change.</w:t>
            </w:r>
          </w:p>
          <w:p>
            <w:pPr>
              <w:spacing w:after="40" w:before="0"/>
            </w:pPr>
            <w:r>
              <w:rPr>
                <w:b w:val="0"/>
                <w:sz w:val="19"/>
              </w:rPr>
              <w:t>Cloud state must have one owner. Deleting resources through the Azure portal put Terraform state out of sync and blocked terraform apply until the existing secrets were imported. Terraform is now the only permitted path to change infrastructure.</w:t>
            </w:r>
          </w:p>
          <w:p>
            <w:pPr>
              <w:spacing w:after="40" w:before="0"/>
            </w:pPr>
            <w:r>
              <w:rPr>
                <w:b w:val="0"/>
                <w:sz w:val="19"/>
              </w:rPr>
              <w:t>A deployment is only evidence if it is reproducible. Builds made from a dirty or unpushed checkout could not be reproduced by anyone else, so the deployment scripts now refuse to run unless the checkout matches its pushed upstream.</w:t>
            </w:r>
          </w:p>
          <w:p>
            <w:pPr>
              <w:spacing w:after="40" w:before="0"/>
            </w:pPr>
            <w:r>
              <w:rPr>
                <w:b w:val="0"/>
                <w:sz w:val="19"/>
              </w:rPr>
              <w:t>A task list does not by itself distribute work. Sprint 0 ended with the action to spread the load across four members and the sheets were written, but allocating hours did not by itself move the allocated rows to done. The corrective action has to be ownership of a named deliverable with a review date, not an allocation of hours.</w:t>
            </w:r>
          </w:p>
        </w:tc>
      </w:tr>
      <w:tr>
        <w:tc>
          <w:tcPr>
            <w:tcW w:type="dxa" w:w="1944"/>
            <w:shd w:val="clear" w:color="auto" w:fill="EEF2F6"/>
          </w:tcPr>
          <w:p>
            <w:pPr>
              <w:spacing w:after="40" w:before="40"/>
            </w:pPr>
            <w:r/>
            <w:r>
              <w:rPr>
                <w:b/>
                <w:sz w:val="19"/>
              </w:rPr>
              <w:t>What was delivered</w:t>
            </w:r>
          </w:p>
          <w:p>
            <w:pPr>
              <w:spacing w:after="40" w:before="0"/>
            </w:pPr>
            <w:r>
              <w:rPr>
                <w:b/>
                <w:sz w:val="19"/>
              </w:rPr>
              <w:t>(planned vs. delivered)</w:t>
            </w:r>
          </w:p>
        </w:tc>
        <w:tc>
          <w:tcPr>
            <w:tcW w:type="dxa" w:w="8136"/>
          </w:tcPr>
          <w:p>
            <w:pPr>
              <w:spacing w:after="40" w:before="40"/>
            </w:pPr>
            <w:r/>
            <w:r>
              <w:rPr>
                <w:b w:val="0"/>
                <w:sz w:val="19"/>
              </w:rPr>
              <w:t>Planned for Sprint 1: 40 tasks of 3 hours (10 per member, 120 team hours); per-member manual acceptance walkthroughs of auth, DMS, CRM, ads, assistant, audit and Gateway routes; a Jira card per requirement with evidence links; Terraform validate and plan only, with the Azure apply held for Sprint 2; two-dealership demo data; and a check of the five main-branch workflows.</w:t>
            </w:r>
          </w:p>
          <w:p>
            <w:pPr>
              <w:spacing w:after="40" w:before="0"/>
            </w:pPr>
            <w:r>
              <w:rPr>
                <w:b w:val="0"/>
                <w:sz w:val="19"/>
              </w:rPr>
              <w:t>Delivered ahead of plan: the complete delivery-extension set in design/21 §9 (DMS-18, PAY-01–05, SALE-01, DASH-01, CRM-16, WO-08, AD-14, SHOP-01–05, AUD-10–17, manager/staff roles); the seven reopened requirements; the ten-defect browser fix cycle; and a full Azure apply with a local-to-cloud database seed, which was a Sprint 2 item.</w:t>
            </w:r>
          </w:p>
          <w:p>
            <w:pPr>
              <w:spacing w:after="40" w:before="0"/>
            </w:pPr>
            <w:r>
              <w:rPr>
                <w:b w:val="0"/>
                <w:sz w:val="19"/>
              </w:rPr>
              <w:t>Behind plan: the per-member acceptance walkthroughs, which were not closed inside the sprint; an evidence link attached to each individual Jira card; publication of the Research and AI logs on the team site; the Research Log, which is still empty; a recorded instructor acknowledgement of the scope baseline and of the NN-05 hosting decision; and the member student IDs.</w:t>
            </w:r>
          </w:p>
          <w:p>
            <w:pPr>
              <w:spacing w:after="40" w:before="0"/>
            </w:pPr>
            <w:r>
              <w:rPr>
                <w:b w:val="0"/>
                <w:sz w:val="19"/>
              </w:rPr>
              <w:t>Net position: the build is effectively finished. Every module in the reconciled scope is implemented and runnable, so the project is ahead of the course schedule on product scope and the sprint ends in a hardening phase rather than a construction one. What is behind is project-management evidence and shared execution: acceptance walkthroughs, Jira traceability and logged hours. Sprint 2 therefore carries defect hunting, interface refinement and demonstration readiness, not new features.</w:t>
            </w:r>
          </w:p>
        </w:tc>
      </w:tr>
      <w:tr>
        <w:tc>
          <w:tcPr>
            <w:tcW w:type="dxa" w:w="1944"/>
            <w:shd w:val="clear" w:color="auto" w:fill="EEF2F6"/>
          </w:tcPr>
          <w:p>
            <w:pPr>
              <w:spacing w:after="40" w:before="40"/>
            </w:pPr>
            <w:r/>
            <w:r>
              <w:rPr>
                <w:b/>
                <w:sz w:val="19"/>
              </w:rPr>
              <w:t>What were the impediments we faced</w:t>
            </w:r>
          </w:p>
        </w:tc>
        <w:tc>
          <w:tcPr>
            <w:tcW w:type="dxa" w:w="8136"/>
          </w:tcPr>
          <w:p>
            <w:pPr>
              <w:spacing w:after="40" w:before="40"/>
            </w:pPr>
            <w:r/>
            <w:r>
              <w:rPr>
                <w:b w:val="0"/>
                <w:sz w:val="19"/>
              </w:rPr>
              <w:t>1. Acceptance evidence lagged the build. Construction absorbed the sprint, so the per-member walkthroughs that turn implemented behaviour into recorded acceptance did not run alongside it. Impact: features are complete but not yet signed off against their requirement IDs. Owner: all members. Next action: each member closes the first rows of their own task sheet and records the observed result before 31 October.</w:t>
            </w:r>
          </w:p>
          <w:p>
            <w:pPr>
              <w:spacing w:after="40" w:before="0"/>
            </w:pPr>
            <w:r>
              <w:rPr>
                <w:b w:val="0"/>
                <w:sz w:val="19"/>
              </w:rPr>
              <w:t>2. Azure state drift. Resources removed through the portal broke terraform apply; recovery required importing the existing secrets into state and cost roughly a working day. Owner: Yuandong. Next action: infrastructure changes through Terraform only.</w:t>
            </w:r>
          </w:p>
          <w:p>
            <w:pPr>
              <w:spacing w:after="40" w:before="0"/>
            </w:pPr>
            <w:r>
              <w:rPr>
                <w:b w:val="0"/>
                <w:sz w:val="19"/>
              </w:rPr>
              <w:t>3. Kudu refused the first zip upload on several deployments, so publishing failed intermittently. Resolved by retrying the upload (480ae38).</w:t>
            </w:r>
          </w:p>
          <w:p>
            <w:pPr>
              <w:spacing w:after="40" w:before="0"/>
            </w:pPr>
            <w:r>
              <w:rPr>
                <w:b w:val="0"/>
                <w:sz w:val="19"/>
              </w:rPr>
              <w:t>4. Late scope expansion. On 21 October the client asked for every feasible item from the earlier out-of-scope list. It was absorbed inside the same sprint, which pushed the planned acceptance walkthroughs towards the end of the sprint.</w:t>
            </w:r>
          </w:p>
          <w:p>
            <w:pPr>
              <w:spacing w:after="40" w:before="0"/>
            </w:pPr>
            <w:r>
              <w:rPr>
                <w:b w:val="0"/>
                <w:sz w:val="19"/>
              </w:rPr>
              <w:t>5. Carried from Sprint 0: the NN-05 hosting change is decided and documented with its rationale (design/SCOPE-BASELINE.md errata 5, corrected 19 October; trade-offs in deploy/publish-options.md), but no instructor acknowledgement of it or of the scope baseline is recorded, and the student IDs needed on the submission are still outstanding.</w:t>
            </w:r>
          </w:p>
        </w:tc>
      </w:tr>
      <w:tr>
        <w:tc>
          <w:tcPr>
            <w:tcW w:type="dxa" w:w="1944"/>
            <w:shd w:val="clear" w:color="auto" w:fill="EEF2F6"/>
          </w:tcPr>
          <w:p>
            <w:pPr>
              <w:spacing w:after="40" w:before="40"/>
            </w:pPr>
            <w:r/>
            <w:r>
              <w:rPr>
                <w:b/>
                <w:sz w:val="19"/>
              </w:rPr>
              <w:t>What went well</w:t>
            </w:r>
          </w:p>
        </w:tc>
        <w:tc>
          <w:tcPr>
            <w:tcW w:type="dxa" w:w="8136"/>
          </w:tcPr>
          <w:p>
            <w:pPr>
              <w:spacing w:after="40" w:before="40"/>
            </w:pPr>
            <w:r/>
            <w:r>
              <w:rPr>
                <w:b w:val="0"/>
                <w:sz w:val="19"/>
              </w:rPr>
              <w:t>The find-fix-recheck loop on 20 October: ten browser defects were raised, fixed and re-verified the same day, with the end-to-end suite green afterwards (309 passed, 3 skipped).</w:t>
            </w:r>
          </w:p>
          <w:p>
            <w:pPr>
              <w:spacing w:after="40" w:before="0"/>
            </w:pPr>
            <w:r>
              <w:rPr>
                <w:b w:val="0"/>
                <w:sz w:val="19"/>
              </w:rPr>
              <w:t>Deployment turned into a single safe command. deploy.sh --apply --seed verifies the import through the Gateway and writes a timestamped Azure backup before replacing any cloud data (deploy/seed/azure-backup-20261022-173047.sql.gz), so a bad sync is reversible.</w:t>
            </w:r>
          </w:p>
          <w:p>
            <w:pPr>
              <w:spacing w:after="40" w:before="0"/>
            </w:pPr>
            <w:r>
              <w:rPr>
                <w:b w:val="0"/>
                <w:sz w:val="19"/>
              </w:rPr>
              <w:t>Every scope decision is written down with a reason, including the four refusals (live marketplace publishing, card processing, OCR, message queue and second database), so nothing was dropped silently.</w:t>
            </w:r>
          </w:p>
          <w:p>
            <w:pPr>
              <w:spacing w:after="40" w:before="0"/>
            </w:pPr>
            <w:r>
              <w:rPr>
                <w:b w:val="0"/>
                <w:sz w:val="19"/>
              </w:rPr>
              <w:t>Traceability held: the requirement ledger, bug log, scope reconciliation and design documents are all dated, in the repository, and reference the requirement IDs they implement.</w:t>
            </w:r>
          </w:p>
          <w:p>
            <w:pPr>
              <w:spacing w:after="40" w:before="0"/>
            </w:pPr>
            <w:r>
              <w:rPr>
                <w:b w:val="0"/>
                <w:sz w:val="19"/>
              </w:rPr>
              <w:t>The client-facing system design briefing gives stakeholders a single current view of the architecture without reading the design folder.</w:t>
            </w:r>
          </w:p>
        </w:tc>
      </w:tr>
      <w:tr>
        <w:tc>
          <w:tcPr>
            <w:tcW w:type="dxa" w:w="1944"/>
            <w:shd w:val="clear" w:color="auto" w:fill="EEF2F6"/>
          </w:tcPr>
          <w:p>
            <w:pPr>
              <w:spacing w:after="40" w:before="40"/>
            </w:pPr>
            <w:r/>
            <w:r>
              <w:rPr>
                <w:b/>
                <w:sz w:val="19"/>
              </w:rPr>
              <w:t>What can we improve in the next sprint</w:t>
            </w:r>
          </w:p>
        </w:tc>
        <w:tc>
          <w:tcPr>
            <w:tcW w:type="dxa" w:w="8136"/>
          </w:tcPr>
          <w:p>
            <w:pPr>
              <w:spacing w:after="40" w:before="40"/>
            </w:pPr>
            <w:r/>
            <w:r>
              <w:rPr>
                <w:b w:val="0"/>
                <w:sz w:val="19"/>
              </w:rPr>
              <w:t>Sprint 2 is a hardening sprint: the build is complete, so the backlog is defects, interface refinement and demonstration evidence rather than new features. The owners named below are proposed assignments, confirmed with each member at the sprint review on 1 November.</w:t>
            </w:r>
          </w:p>
          <w:p>
            <w:pPr>
              <w:spacing w:after="40" w:before="0"/>
            </w:pPr>
            <w:r>
              <w:rPr>
                <w:b w:val="0"/>
                <w:sz w:val="19"/>
              </w:rPr>
              <w:t>1. Assign ownership by area, not by hours. Because there is no new construction left to split, each member owns a defect-hunting and interface-review area matching their sheet role — Bedgel: DMS, CRM and Image Studio; Jackson: ads, AI review and the assistant; Logan: authentication, Gateway routes, audit and tenancy — raises findings in the numbered form used for B1–B10, and merges their own fix. Owner: all. Checkpoint: stand-up of 8 November.</w:t>
            </w:r>
          </w:p>
          <w:p>
            <w:pPr>
              <w:spacing w:after="40" w:before="0"/>
            </w:pPr>
            <w:r>
              <w:rPr>
                <w:b w:val="0"/>
                <w:sz w:val="19"/>
              </w:rPr>
              <w:t>2. Run the interface refinement against one written checklist (link style, icon set, theme colours, empty states, field-level error wording, loading and disabled states) so the polish is reviewable instead of a matter of taste. Owner: Bedgel. Due: 15 November.</w:t>
            </w:r>
          </w:p>
          <w:p>
            <w:pPr>
              <w:spacing w:after="40" w:before="0"/>
            </w:pPr>
            <w:r>
              <w:rPr>
                <w:b w:val="0"/>
                <w:sz w:val="19"/>
              </w:rPr>
              <w:t>3. Mirror evidence into Jira. Every requirement ID gets a card carrying its evidence link, so the backlog, not only the repository, shows status. Owner: Yuandong. Due: 8 November.</w:t>
            </w:r>
          </w:p>
          <w:p>
            <w:pPr>
              <w:spacing w:after="40" w:before="0"/>
            </w:pPr>
            <w:r>
              <w:rPr>
                <w:b w:val="0"/>
                <w:sz w:val="19"/>
              </w:rPr>
              <w:t>4. Record actual dates and hours in Sampletasklist.xlsx every Friday instead of at sprint close, so the 25-hour accounting is evidence rather than recollection. Owner: all. Weekly.</w:t>
            </w:r>
          </w:p>
          <w:p>
            <w:pPr>
              <w:spacing w:after="40" w:before="0"/>
            </w:pPr>
            <w:r>
              <w:rPr>
                <w:b w:val="0"/>
                <w:sz w:val="19"/>
              </w:rPr>
              <w:t>5. Publish the Research Log and AI Log on the team site and begin recording research entries in them. Owner: Jackson. Due: 31 October.</w:t>
            </w:r>
          </w:p>
          <w:p>
            <w:pPr>
              <w:spacing w:after="40" w:before="0"/>
            </w:pPr>
            <w:r>
              <w:rPr>
                <w:b w:val="0"/>
                <w:sz w:val="19"/>
              </w:rPr>
              <w:t>6. Rehearse the live demo on the deployed Azure environment before the class demo, using the two-dealership data set. Owner: Yuandong and Logan.</w:t>
            </w:r>
          </w:p>
          <w:p>
            <w:pPr>
              <w:spacing w:after="40" w:before="0"/>
            </w:pPr>
            <w:r>
              <w:rPr>
                <w:b w:val="0"/>
                <w:sz w:val="19"/>
              </w:rPr>
              <w:t>7. Obtain the instructor’s decision on the scope baseline and NN-05, and collect the student IDs. Owner: Yuandong. Due: 31 October.</w:t>
            </w:r>
          </w:p>
          <w:p>
            <w:pPr>
              <w:spacing w:after="40" w:before="0"/>
            </w:pPr>
            <w:r>
              <w:rPr>
                <w:b w:val="0"/>
                <w:sz w:val="19"/>
              </w:rPr>
              <w:t>8. Refresh project-plan/Implementation-Delivery-Status.md, which still carries the 12 October status date, at sprint close. Owner: Yuandong. Due: 1 November.</w:t>
            </w:r>
          </w:p>
        </w:tc>
      </w:tr>
    </w:tbl>
    <w:p>
      <w:pPr>
        <w:spacing w:after="0"/>
      </w:pPr>
    </w:p>
    <w:p>
      <w:pPr>
        <w:pStyle w:val="Heading1"/>
      </w:pPr>
      <w:r>
        <w:t>2. Adjustments carried from the previous sprint report</w:t>
      </w:r>
    </w:p>
    <w:p>
      <w:pPr>
        <w:spacing w:after="120"/>
      </w:pPr>
      <w:r>
        <w:rPr>
          <w:b w:val="0"/>
          <w:i w:val="0"/>
          <w:sz w:val="19"/>
        </w:rPr>
        <w:t>Sprint 0 (pre-sprint baseline, submitted 12 October) closed with six improvement actions. Each one is answered below with what actually happened in Sprint 1.</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024"/>
            <w:shd w:val="clear" w:color="auto" w:fill="1F3B57"/>
          </w:tcPr>
          <w:p>
            <w:pPr>
              <w:spacing w:after="40" w:before="40"/>
            </w:pPr>
            <w:r>
              <w:rPr>
                <w:color w:val="FFFFFF"/>
              </w:rPr>
            </w:r>
            <w:r>
              <w:rPr>
                <w:b/>
                <w:color w:val="FFFFFF"/>
                <w:sz w:val="19"/>
              </w:rPr>
              <w:t>Action agreed at the end of Sprint 0</w:t>
            </w:r>
          </w:p>
        </w:tc>
        <w:tc>
          <w:tcPr>
            <w:tcW w:type="dxa" w:w="5184"/>
            <w:shd w:val="clear" w:color="auto" w:fill="1F3B57"/>
          </w:tcPr>
          <w:p>
            <w:pPr>
              <w:spacing w:after="40" w:before="40"/>
            </w:pPr>
            <w:r>
              <w:rPr>
                <w:color w:val="FFFFFF"/>
              </w:rPr>
            </w:r>
            <w:r>
              <w:rPr>
                <w:b/>
                <w:color w:val="FFFFFF"/>
                <w:sz w:val="19"/>
              </w:rPr>
              <w:t>What happened in Sprint 1</w:t>
            </w:r>
          </w:p>
        </w:tc>
        <w:tc>
          <w:tcPr>
            <w:tcW w:type="dxa" w:w="1872"/>
            <w:shd w:val="clear" w:color="auto" w:fill="1F3B57"/>
          </w:tcPr>
          <w:p>
            <w:pPr>
              <w:spacing w:after="40" w:before="40"/>
            </w:pPr>
            <w:r>
              <w:rPr>
                <w:color w:val="FFFFFF"/>
              </w:rPr>
            </w:r>
            <w:r>
              <w:rPr>
                <w:b/>
                <w:color w:val="FFFFFF"/>
                <w:sz w:val="19"/>
              </w:rPr>
              <w:t>Status</w:t>
            </w:r>
          </w:p>
        </w:tc>
      </w:tr>
      <w:tr>
        <w:tc>
          <w:tcPr>
            <w:tcW w:type="dxa" w:w="3024"/>
          </w:tcPr>
          <w:p>
            <w:pPr>
              <w:spacing w:after="40" w:before="40"/>
            </w:pPr>
            <w:r/>
            <w:r>
              <w:rPr>
                <w:b w:val="0"/>
                <w:sz w:val="19"/>
              </w:rPr>
              <w:t>Spread the work across all four members with a 30-hour task list each</w:t>
            </w:r>
          </w:p>
        </w:tc>
        <w:tc>
          <w:tcPr>
            <w:tcW w:type="dxa" w:w="5184"/>
          </w:tcPr>
          <w:p>
            <w:pPr>
              <w:spacing w:after="40" w:before="40"/>
            </w:pPr>
            <w:r/>
            <w:r>
              <w:rPr>
                <w:b w:val="0"/>
                <w:sz w:val="19"/>
              </w:rPr>
              <w:t>Sampletasklist.xlsx was rewritten to ten 3-hour tasks per member and issued on 12 October with per-member roles. The allocation was not fully worked through inside the sprint, so it is reissued in Sprint 2 as ownership of a defect-hunting and interface-review area per member.</w:t>
            </w:r>
          </w:p>
        </w:tc>
        <w:tc>
          <w:tcPr>
            <w:tcW w:type="dxa" w:w="1872"/>
          </w:tcPr>
          <w:p>
            <w:pPr>
              <w:spacing w:after="40" w:before="40"/>
            </w:pPr>
            <w:r/>
            <w:r>
              <w:rPr>
                <w:b w:val="0"/>
                <w:sz w:val="19"/>
              </w:rPr>
              <w:t>Partly done — carried to Sprint 2 as action 1</w:t>
            </w:r>
          </w:p>
        </w:tc>
      </w:tr>
      <w:tr>
        <w:tc>
          <w:tcPr>
            <w:tcW w:type="dxa" w:w="3024"/>
          </w:tcPr>
          <w:p>
            <w:pPr>
              <w:spacing w:after="40" w:before="40"/>
            </w:pPr>
            <w:r/>
            <w:r>
              <w:rPr>
                <w:b w:val="0"/>
                <w:sz w:val="19"/>
              </w:rPr>
              <w:t>Confirm NN-05 (containerization) and the scope baseline with the instructor</w:t>
            </w:r>
          </w:p>
        </w:tc>
        <w:tc>
          <w:tcPr>
            <w:tcW w:type="dxa" w:w="5184"/>
          </w:tcPr>
          <w:p>
            <w:pPr>
              <w:spacing w:after="40" w:before="40"/>
            </w:pPr>
            <w:r/>
            <w:r>
              <w:rPr>
                <w:b w:val="0"/>
                <w:sz w:val="19"/>
              </w:rPr>
              <w:t>The NN-05 hosting change was decided and written up in design/SCOPE-BASELINE.md errata 5, corrected on 19 October, with the trade-offs in deploy/publish-options.md. Scope was reconciled against the client originals in requirements/analysis/14-Delivery-Scope-Reconciliation-2026-10-21.md, which rules that an old “Won’t” label is historical unless repeated in the scope baseline with a current technical reason. No instructor acknowledgement of either is recorded.</w:t>
            </w:r>
          </w:p>
        </w:tc>
        <w:tc>
          <w:tcPr>
            <w:tcW w:type="dxa" w:w="1872"/>
          </w:tcPr>
          <w:p>
            <w:pPr>
              <w:spacing w:after="40" w:before="40"/>
            </w:pPr>
            <w:r/>
            <w:r>
              <w:rPr>
                <w:b w:val="0"/>
                <w:sz w:val="19"/>
              </w:rPr>
              <w:t>Open — carried to Sprint 2 as action 7</w:t>
            </w:r>
          </w:p>
        </w:tc>
      </w:tr>
      <w:tr>
        <w:tc>
          <w:tcPr>
            <w:tcW w:type="dxa" w:w="3024"/>
          </w:tcPr>
          <w:p>
            <w:pPr>
              <w:spacing w:after="40" w:before="40"/>
            </w:pPr>
            <w:r/>
            <w:r>
              <w:rPr>
                <w:b w:val="0"/>
                <w:sz w:val="19"/>
              </w:rPr>
              <w:t>Link every Jira card to a requirement ID and its evidence</w:t>
            </w:r>
          </w:p>
        </w:tc>
        <w:tc>
          <w:tcPr>
            <w:tcW w:type="dxa" w:w="5184"/>
          </w:tcPr>
          <w:p>
            <w:pPr>
              <w:spacing w:after="40" w:before="40"/>
            </w:pPr>
            <w:r/>
            <w:r>
              <w:rPr>
                <w:b w:val="0"/>
                <w:sz w:val="19"/>
              </w:rPr>
              <w:t>Requirement-to-evidence traceability now exists for the reopened requirements (ledger, 19 October), the defect cycle (bug log, 20 October) and scope (reconciliation, 21 October). On 23 October every previously open issue in the Jira KAN project was transitioned to Finished, so the board matches the delivered state; what is still missing is an evidence link on each card.</w:t>
            </w:r>
          </w:p>
        </w:tc>
        <w:tc>
          <w:tcPr>
            <w:tcW w:type="dxa" w:w="1872"/>
          </w:tcPr>
          <w:p>
            <w:pPr>
              <w:spacing w:after="40" w:before="40"/>
            </w:pPr>
            <w:r/>
            <w:r>
              <w:rPr>
                <w:b w:val="0"/>
                <w:sz w:val="19"/>
              </w:rPr>
              <w:t>Partly done — carried to Sprint 2 as action 3</w:t>
            </w:r>
          </w:p>
        </w:tc>
      </w:tr>
      <w:tr>
        <w:tc>
          <w:tcPr>
            <w:tcW w:type="dxa" w:w="3024"/>
          </w:tcPr>
          <w:p>
            <w:pPr>
              <w:spacing w:after="40" w:before="40"/>
            </w:pPr>
            <w:r/>
            <w:r>
              <w:rPr>
                <w:b w:val="0"/>
                <w:sz w:val="19"/>
              </w:rPr>
              <w:t>Keep a dated decision and impediment log</w:t>
            </w:r>
          </w:p>
        </w:tc>
        <w:tc>
          <w:tcPr>
            <w:tcW w:type="dxa" w:w="5184"/>
          </w:tcPr>
          <w:p>
            <w:pPr>
              <w:spacing w:after="40" w:before="40"/>
            </w:pPr>
            <w:r/>
            <w:r>
              <w:rPr>
                <w:b w:val="0"/>
                <w:sz w:val="19"/>
              </w:rPr>
              <w:t>Held. Every decision, defect and scope change of this sprint is in a dated repository document, and the client-facing briefing was updated on 22 October to match.</w:t>
            </w:r>
          </w:p>
        </w:tc>
        <w:tc>
          <w:tcPr>
            <w:tcW w:type="dxa" w:w="1872"/>
          </w:tcPr>
          <w:p>
            <w:pPr>
              <w:spacing w:after="40" w:before="40"/>
            </w:pPr>
            <w:r/>
            <w:r>
              <w:rPr>
                <w:b w:val="0"/>
                <w:sz w:val="19"/>
              </w:rPr>
              <w:t>Done</w:t>
            </w:r>
          </w:p>
        </w:tc>
      </w:tr>
      <w:tr>
        <w:tc>
          <w:tcPr>
            <w:tcW w:type="dxa" w:w="3024"/>
          </w:tcPr>
          <w:p>
            <w:pPr>
              <w:spacing w:after="40" w:before="40"/>
            </w:pPr>
            <w:r/>
            <w:r>
              <w:rPr>
                <w:b w:val="0"/>
                <w:sz w:val="19"/>
              </w:rPr>
              <w:t>Finish the full manual acceptance walkthrough</w:t>
            </w:r>
          </w:p>
        </w:tc>
        <w:tc>
          <w:tcPr>
            <w:tcW w:type="dxa" w:w="5184"/>
          </w:tcPr>
          <w:p>
            <w:pPr>
              <w:spacing w:after="40" w:before="40"/>
            </w:pPr>
            <w:r/>
            <w:r>
              <w:rPr>
                <w:b w:val="0"/>
                <w:sz w:val="19"/>
              </w:rPr>
              <w:t>One complete browser CRUD pass was performed on 20 October, producing defects B1–B10, all fixed and re-checked. The per-member acceptance walkthroughs in the task sheets were not run.</w:t>
            </w:r>
          </w:p>
        </w:tc>
        <w:tc>
          <w:tcPr>
            <w:tcW w:type="dxa" w:w="1872"/>
          </w:tcPr>
          <w:p>
            <w:pPr>
              <w:spacing w:after="40" w:before="40"/>
            </w:pPr>
            <w:r/>
            <w:r>
              <w:rPr>
                <w:b w:val="0"/>
                <w:sz w:val="19"/>
              </w:rPr>
              <w:t>Partly done — carried to Sprint 2 as action 1</w:t>
            </w:r>
          </w:p>
        </w:tc>
      </w:tr>
      <w:tr>
        <w:tc>
          <w:tcPr>
            <w:tcW w:type="dxa" w:w="3024"/>
          </w:tcPr>
          <w:p>
            <w:pPr>
              <w:spacing w:after="40" w:before="40"/>
            </w:pPr>
            <w:r/>
            <w:r>
              <w:rPr>
                <w:b w:val="0"/>
                <w:sz w:val="19"/>
              </w:rPr>
              <w:t>Run a two-dealership cloud demo</w:t>
            </w:r>
          </w:p>
        </w:tc>
        <w:tc>
          <w:tcPr>
            <w:tcW w:type="dxa" w:w="5184"/>
          </w:tcPr>
          <w:p>
            <w:pPr>
              <w:spacing w:after="40" w:before="40"/>
            </w:pPr>
            <w:r/>
            <w:r>
              <w:rPr>
                <w:b w:val="0"/>
                <w:sz w:val="19"/>
              </w:rPr>
              <w:t>The infrastructure is ready: one-command apply, a local-to-Azure database seed with automatic backup, and verification through the Gateway. The demo itself has not been rehearsed on the deployed environment.</w:t>
            </w:r>
          </w:p>
        </w:tc>
        <w:tc>
          <w:tcPr>
            <w:tcW w:type="dxa" w:w="1872"/>
          </w:tcPr>
          <w:p>
            <w:pPr>
              <w:spacing w:after="40" w:before="40"/>
            </w:pPr>
            <w:r/>
            <w:r>
              <w:rPr>
                <w:b w:val="0"/>
                <w:sz w:val="19"/>
              </w:rPr>
              <w:t>Partly done — carried to Sprint 2 as action 6</w:t>
            </w:r>
          </w:p>
        </w:tc>
      </w:tr>
      <w:tr>
        <w:tc>
          <w:tcPr>
            <w:tcW w:type="dxa" w:w="3024"/>
          </w:tcPr>
          <w:p>
            <w:pPr>
              <w:spacing w:after="40" w:before="40"/>
            </w:pPr>
            <w:r/>
            <w:r>
              <w:rPr>
                <w:b w:val="0"/>
                <w:sz w:val="19"/>
              </w:rPr>
              <w:t>Keep the sign-in wording consistent (email, username or phone plus password)</w:t>
            </w:r>
          </w:p>
        </w:tc>
        <w:tc>
          <w:tcPr>
            <w:tcW w:type="dxa" w:w="5184"/>
          </w:tcPr>
          <w:p>
            <w:pPr>
              <w:spacing w:after="40" w:before="40"/>
            </w:pPr>
            <w:r/>
            <w:r>
              <w:rPr>
                <w:b w:val="0"/>
                <w:sz w:val="19"/>
              </w:rPr>
              <w:t>Held across README.md, design/15 and the product UI; no new wording drift was introduced this sprint.</w:t>
            </w:r>
          </w:p>
        </w:tc>
        <w:tc>
          <w:tcPr>
            <w:tcW w:type="dxa" w:w="1872"/>
          </w:tcPr>
          <w:p>
            <w:pPr>
              <w:spacing w:after="40" w:before="40"/>
            </w:pPr>
            <w:r/>
            <w:r>
              <w:rPr>
                <w:b w:val="0"/>
                <w:sz w:val="19"/>
              </w:rPr>
              <w:t>Done</w:t>
            </w:r>
          </w:p>
        </w:tc>
      </w:tr>
    </w:tbl>
    <w:p>
      <w:pPr>
        <w:spacing w:after="0"/>
      </w:pPr>
    </w:p>
    <w:p>
      <w:pPr>
        <w:pStyle w:val="Heading1"/>
      </w:pPr>
      <w:r>
        <w:t>3. Stakeholder and peer feedback acted 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224"/>
            <w:shd w:val="clear" w:color="auto" w:fill="1F3B57"/>
          </w:tcPr>
          <w:p>
            <w:pPr>
              <w:spacing w:after="40" w:before="40"/>
            </w:pPr>
            <w:r>
              <w:rPr>
                <w:color w:val="FFFFFF"/>
              </w:rPr>
            </w:r>
            <w:r>
              <w:rPr>
                <w:b/>
                <w:color w:val="FFFFFF"/>
                <w:sz w:val="19"/>
              </w:rPr>
              <w:t>Date</w:t>
            </w:r>
          </w:p>
        </w:tc>
        <w:tc>
          <w:tcPr>
            <w:tcW w:type="dxa" w:w="2160"/>
            <w:shd w:val="clear" w:color="auto" w:fill="1F3B57"/>
          </w:tcPr>
          <w:p>
            <w:pPr>
              <w:spacing w:after="40" w:before="40"/>
            </w:pPr>
            <w:r>
              <w:rPr>
                <w:color w:val="FFFFFF"/>
              </w:rPr>
            </w:r>
            <w:r>
              <w:rPr>
                <w:b/>
                <w:color w:val="FFFFFF"/>
                <w:sz w:val="19"/>
              </w:rPr>
              <w:t>Source</w:t>
            </w:r>
          </w:p>
        </w:tc>
        <w:tc>
          <w:tcPr>
            <w:tcW w:type="dxa" w:w="3456"/>
            <w:shd w:val="clear" w:color="auto" w:fill="1F3B57"/>
          </w:tcPr>
          <w:p>
            <w:pPr>
              <w:spacing w:after="40" w:before="40"/>
            </w:pPr>
            <w:r>
              <w:rPr>
                <w:color w:val="FFFFFF"/>
              </w:rPr>
            </w:r>
            <w:r>
              <w:rPr>
                <w:b/>
                <w:color w:val="FFFFFF"/>
                <w:sz w:val="19"/>
              </w:rPr>
              <w:t>Feedback</w:t>
            </w:r>
          </w:p>
        </w:tc>
        <w:tc>
          <w:tcPr>
            <w:tcW w:type="dxa" w:w="3240"/>
            <w:shd w:val="clear" w:color="auto" w:fill="1F3B57"/>
          </w:tcPr>
          <w:p>
            <w:pPr>
              <w:spacing w:after="40" w:before="40"/>
            </w:pPr>
            <w:r>
              <w:rPr>
                <w:color w:val="FFFFFF"/>
              </w:rPr>
            </w:r>
            <w:r>
              <w:rPr>
                <w:b/>
                <w:color w:val="FFFFFF"/>
                <w:sz w:val="19"/>
              </w:rPr>
              <w:t>Action taken</w:t>
            </w:r>
          </w:p>
        </w:tc>
      </w:tr>
      <w:tr>
        <w:tc>
          <w:tcPr>
            <w:tcW w:type="dxa" w:w="1224"/>
          </w:tcPr>
          <w:p>
            <w:pPr>
              <w:spacing w:after="40" w:before="40"/>
            </w:pPr>
            <w:r/>
            <w:r>
              <w:rPr>
                <w:b w:val="0"/>
                <w:sz w:val="19"/>
              </w:rPr>
              <w:t>19 Oct 2026</w:t>
            </w:r>
          </w:p>
        </w:tc>
        <w:tc>
          <w:tcPr>
            <w:tcW w:type="dxa" w:w="2160"/>
          </w:tcPr>
          <w:p>
            <w:pPr>
              <w:spacing w:after="40" w:before="40"/>
            </w:pPr>
            <w:r/>
            <w:r>
              <w:rPr>
                <w:b w:val="0"/>
                <w:sz w:val="19"/>
              </w:rPr>
              <w:t>Client requirement review</w:t>
            </w:r>
          </w:p>
        </w:tc>
        <w:tc>
          <w:tcPr>
            <w:tcW w:type="dxa" w:w="3456"/>
          </w:tcPr>
          <w:p>
            <w:pPr>
              <w:spacing w:after="40" w:before="40"/>
            </w:pPr>
            <w:r/>
            <w:r>
              <w:rPr>
                <w:b w:val="0"/>
                <w:sz w:val="19"/>
              </w:rPr>
              <w:t>Seven requirements previously marked Won’t (AUTH-19, DMS-17, CRM-14, CRM-15, AD-15, AD-16, NFR-07) were requested for delivery.</w:t>
            </w:r>
          </w:p>
        </w:tc>
        <w:tc>
          <w:tcPr>
            <w:tcW w:type="dxa" w:w="3240"/>
          </w:tcPr>
          <w:p>
            <w:pPr>
              <w:spacing w:after="40" w:before="40"/>
            </w:pPr>
            <w:r/>
            <w:r>
              <w:rPr>
                <w:b w:val="0"/>
                <w:sz w:val="19"/>
              </w:rPr>
              <w:t>All seven implemented or superseded; per-item status, open policy values and browser checks recorded in the requirement ledger of 19 October.</w:t>
            </w:r>
          </w:p>
        </w:tc>
      </w:tr>
      <w:tr>
        <w:tc>
          <w:tcPr>
            <w:tcW w:type="dxa" w:w="1224"/>
          </w:tcPr>
          <w:p>
            <w:pPr>
              <w:spacing w:after="40" w:before="40"/>
            </w:pPr>
            <w:r/>
            <w:r>
              <w:rPr>
                <w:b w:val="0"/>
                <w:sz w:val="19"/>
              </w:rPr>
              <w:t>21 Oct 2026</w:t>
            </w:r>
          </w:p>
        </w:tc>
        <w:tc>
          <w:tcPr>
            <w:tcW w:type="dxa" w:w="2160"/>
          </w:tcPr>
          <w:p>
            <w:pPr>
              <w:spacing w:after="40" w:before="40"/>
            </w:pPr>
            <w:r/>
            <w:r>
              <w:rPr>
                <w:b w:val="0"/>
                <w:sz w:val="19"/>
              </w:rPr>
              <w:t>Client scope request</w:t>
            </w:r>
          </w:p>
        </w:tc>
        <w:tc>
          <w:tcPr>
            <w:tcW w:type="dxa" w:w="3456"/>
          </w:tcPr>
          <w:p>
            <w:pPr>
              <w:spacing w:after="40" w:before="40"/>
            </w:pPr>
            <w:r/>
            <w:r>
              <w:rPr>
                <w:b w:val="0"/>
                <w:sz w:val="19"/>
              </w:rPr>
              <w:t>Deliver every feasible item from the earlier out-of-scope list and do not exclude a feature only because the project is a student demo.</w:t>
            </w:r>
          </w:p>
        </w:tc>
        <w:tc>
          <w:tcPr>
            <w:tcW w:type="dxa" w:w="3240"/>
          </w:tcPr>
          <w:p>
            <w:pPr>
              <w:spacing w:after="40" w:before="40"/>
            </w:pPr>
            <w:r/>
            <w:r>
              <w:rPr>
                <w:b w:val="0"/>
                <w:sz w:val="19"/>
              </w:rPr>
              <w:t>Thirteen items decided one by one in design/21 §9; nine delivered, four refused with a written technical reason. Live marketplace publishing stays an explicitly labelled simulation and the buyer site became the real publication channel.</w:t>
            </w:r>
          </w:p>
        </w:tc>
      </w:tr>
      <w:tr>
        <w:tc>
          <w:tcPr>
            <w:tcW w:type="dxa" w:w="1224"/>
          </w:tcPr>
          <w:p>
            <w:pPr>
              <w:spacing w:after="40" w:before="40"/>
            </w:pPr>
            <w:r/>
            <w:r>
              <w:rPr>
                <w:b w:val="0"/>
                <w:sz w:val="19"/>
              </w:rPr>
              <w:t>20 Oct 2026</w:t>
            </w:r>
          </w:p>
        </w:tc>
        <w:tc>
          <w:tcPr>
            <w:tcW w:type="dxa" w:w="2160"/>
          </w:tcPr>
          <w:p>
            <w:pPr>
              <w:spacing w:after="40" w:before="40"/>
            </w:pPr>
            <w:r/>
            <w:r>
              <w:rPr>
                <w:b w:val="0"/>
                <w:sz w:val="19"/>
              </w:rPr>
              <w:t>Internal review (browser walkthrough)</w:t>
            </w:r>
          </w:p>
        </w:tc>
        <w:tc>
          <w:tcPr>
            <w:tcW w:type="dxa" w:w="3456"/>
          </w:tcPr>
          <w:p>
            <w:pPr>
              <w:spacing w:after="40" w:before="40"/>
            </w:pPr>
            <w:r/>
            <w:r>
              <w:rPr>
                <w:b w:val="0"/>
                <w:sz w:val="19"/>
              </w:rPr>
              <w:t>Ten usability and correctness defects in admin, ads, DMS, profile and Image Studio.</w:t>
            </w:r>
          </w:p>
        </w:tc>
        <w:tc>
          <w:tcPr>
            <w:tcW w:type="dxa" w:w="3240"/>
          </w:tcPr>
          <w:p>
            <w:pPr>
              <w:spacing w:after="40" w:before="40"/>
            </w:pPr>
            <w:r/>
            <w:r>
              <w:rPr>
                <w:b w:val="0"/>
                <w:sz w:val="19"/>
              </w:rPr>
              <w:t>All ten fixed and re-checked the same day; the end-to-end suite was re-run (309 passed, 3 skipped).</w:t>
            </w:r>
          </w:p>
        </w:tc>
      </w:tr>
      <w:tr>
        <w:tc>
          <w:tcPr>
            <w:tcW w:type="dxa" w:w="1224"/>
          </w:tcPr>
          <w:p>
            <w:pPr>
              <w:spacing w:after="40" w:before="40"/>
            </w:pPr>
            <w:r/>
            <w:r>
              <w:rPr>
                <w:b w:val="0"/>
                <w:sz w:val="19"/>
              </w:rPr>
              <w:t>1 Nov 2026</w:t>
            </w:r>
          </w:p>
        </w:tc>
        <w:tc>
          <w:tcPr>
            <w:tcW w:type="dxa" w:w="2160"/>
          </w:tcPr>
          <w:p>
            <w:pPr>
              <w:spacing w:after="40" w:before="40"/>
            </w:pPr>
            <w:r/>
            <w:r>
              <w:rPr>
                <w:b w:val="0"/>
                <w:sz w:val="19"/>
              </w:rPr>
              <w:t>Sprint review with peers and instructor</w:t>
            </w:r>
          </w:p>
        </w:tc>
        <w:tc>
          <w:tcPr>
            <w:tcW w:type="dxa" w:w="3456"/>
          </w:tcPr>
          <w:p>
            <w:pPr>
              <w:spacing w:after="40" w:before="40"/>
            </w:pPr>
            <w:r/>
            <w:r>
              <w:rPr>
                <w:b w:val="0"/>
                <w:sz w:val="19"/>
              </w:rPr>
              <w:t>To be held at sprint close.</w:t>
            </w:r>
          </w:p>
        </w:tc>
        <w:tc>
          <w:tcPr>
            <w:tcW w:type="dxa" w:w="3240"/>
          </w:tcPr>
          <w:p>
            <w:pPr>
              <w:spacing w:after="40" w:before="40"/>
            </w:pPr>
            <w:r/>
            <w:r>
              <w:rPr>
                <w:b w:val="0"/>
                <w:sz w:val="19"/>
              </w:rPr>
              <w:t>Feedback, participants and resulting decisions are recorded in this section before the 3 November submission.</w:t>
            </w:r>
          </w:p>
        </w:tc>
      </w:tr>
    </w:tbl>
    <w:p>
      <w:pPr>
        <w:spacing w:after="0"/>
      </w:pPr>
    </w:p>
    <w:p>
      <w:pPr>
        <w:pStyle w:val="Heading1"/>
      </w:pPr>
      <w:r>
        <w:t>4. Documentation and plan updates made this sprint</w:t>
      </w:r>
    </w:p>
    <w:p>
      <w:pPr>
        <w:spacing w:after="120"/>
      </w:pPr>
      <w:r>
        <w:rPr>
          <w:b w:val="0"/>
          <w:i w:val="0"/>
          <w:sz w:val="19"/>
        </w:rPr>
        <w:t>Rubric criterion 2. Every document below was updated inside Sprint 1 and is in the project repository.</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744"/>
            <w:shd w:val="clear" w:color="auto" w:fill="1F3B57"/>
          </w:tcPr>
          <w:p>
            <w:pPr>
              <w:spacing w:after="40" w:before="40"/>
            </w:pPr>
            <w:r>
              <w:rPr>
                <w:color w:val="FFFFFF"/>
              </w:rPr>
            </w:r>
            <w:r>
              <w:rPr>
                <w:b/>
                <w:color w:val="FFFFFF"/>
                <w:sz w:val="19"/>
              </w:rPr>
              <w:t>Document (repository-relative)</w:t>
            </w:r>
          </w:p>
        </w:tc>
        <w:tc>
          <w:tcPr>
            <w:tcW w:type="dxa" w:w="5040"/>
            <w:shd w:val="clear" w:color="auto" w:fill="1F3B57"/>
          </w:tcPr>
          <w:p>
            <w:pPr>
              <w:spacing w:after="40" w:before="40"/>
            </w:pPr>
            <w:r>
              <w:rPr>
                <w:color w:val="FFFFFF"/>
              </w:rPr>
            </w:r>
            <w:r>
              <w:rPr>
                <w:b/>
                <w:color w:val="FFFFFF"/>
                <w:sz w:val="19"/>
              </w:rPr>
              <w:t>Update</w:t>
            </w:r>
          </w:p>
        </w:tc>
        <w:tc>
          <w:tcPr>
            <w:tcW w:type="dxa" w:w="1296"/>
            <w:shd w:val="clear" w:color="auto" w:fill="1F3B57"/>
          </w:tcPr>
          <w:p>
            <w:pPr>
              <w:spacing w:after="40" w:before="40"/>
            </w:pPr>
            <w:r>
              <w:rPr>
                <w:color w:val="FFFFFF"/>
              </w:rPr>
            </w:r>
            <w:r>
              <w:rPr>
                <w:b/>
                <w:color w:val="FFFFFF"/>
                <w:sz w:val="19"/>
              </w:rPr>
              <w:t>Date</w:t>
            </w:r>
          </w:p>
        </w:tc>
      </w:tr>
      <w:tr>
        <w:tc>
          <w:tcPr>
            <w:tcW w:type="dxa" w:w="3744"/>
          </w:tcPr>
          <w:p>
            <w:pPr>
              <w:spacing w:after="40" w:before="40"/>
            </w:pPr>
            <w:r/>
            <w:r>
              <w:rPr>
                <w:b w:val="0"/>
                <w:sz w:val="19"/>
              </w:rPr>
              <w:t>requirements/analysis/14-Delivery-Scope-Reconciliation-2026-10-21.md</w:t>
            </w:r>
          </w:p>
        </w:tc>
        <w:tc>
          <w:tcPr>
            <w:tcW w:type="dxa" w:w="5040"/>
          </w:tcPr>
          <w:p>
            <w:pPr>
              <w:spacing w:after="40" w:before="40"/>
            </w:pPr>
            <w:r/>
            <w:r>
              <w:rPr>
                <w:b w:val="0"/>
                <w:sz w:val="19"/>
              </w:rPr>
              <w:t>New. Sets the current scope rule against the client originals and reconciles the historic Won’t labels.</w:t>
            </w:r>
          </w:p>
        </w:tc>
        <w:tc>
          <w:tcPr>
            <w:tcW w:type="dxa" w:w="1296"/>
          </w:tcPr>
          <w:p>
            <w:pPr>
              <w:spacing w:after="40" w:before="40"/>
            </w:pPr>
            <w:r/>
            <w:r>
              <w:rPr>
                <w:b w:val="0"/>
                <w:sz w:val="19"/>
              </w:rPr>
              <w:t>21 Oct</w:t>
            </w:r>
          </w:p>
        </w:tc>
      </w:tr>
      <w:tr>
        <w:tc>
          <w:tcPr>
            <w:tcW w:type="dxa" w:w="3744"/>
          </w:tcPr>
          <w:p>
            <w:pPr>
              <w:spacing w:after="40" w:before="40"/>
            </w:pPr>
            <w:r/>
            <w:r>
              <w:rPr>
                <w:b w:val="0"/>
                <w:sz w:val="19"/>
              </w:rPr>
              <w:t>design/21-Feature-Extensions.md</w:t>
            </w:r>
          </w:p>
        </w:tc>
        <w:tc>
          <w:tcPr>
            <w:tcW w:type="dxa" w:w="5040"/>
          </w:tcPr>
          <w:p>
            <w:pPr>
              <w:spacing w:after="40" w:before="40"/>
            </w:pPr>
            <w:r/>
            <w:r>
              <w:rPr>
                <w:b w:val="0"/>
                <w:sz w:val="19"/>
              </w:rPr>
              <w:t>New §9 “Delivery extensions”: thirteen decisions, requirement IDs DMS-18, PAY-01–05, SALE-01, DASH-01, CRM-16, WO-08, AD-14, SHOP-01–05, AUD-10–17, data model and acceptance cases EXT-11–EXT-19.</w:t>
            </w:r>
          </w:p>
        </w:tc>
        <w:tc>
          <w:tcPr>
            <w:tcW w:type="dxa" w:w="1296"/>
          </w:tcPr>
          <w:p>
            <w:pPr>
              <w:spacing w:after="40" w:before="40"/>
            </w:pPr>
            <w:r/>
            <w:r>
              <w:rPr>
                <w:b w:val="0"/>
                <w:sz w:val="19"/>
              </w:rPr>
              <w:t>21 Oct</w:t>
            </w:r>
          </w:p>
        </w:tc>
      </w:tr>
      <w:tr>
        <w:tc>
          <w:tcPr>
            <w:tcW w:type="dxa" w:w="3744"/>
          </w:tcPr>
          <w:p>
            <w:pPr>
              <w:spacing w:after="40" w:before="40"/>
            </w:pPr>
            <w:r/>
            <w:r>
              <w:rPr>
                <w:b w:val="0"/>
                <w:sz w:val="19"/>
              </w:rPr>
              <w:t>review/DealerOps-Requirement-Implementation-Ledger-2026-10-19.md</w:t>
            </w:r>
          </w:p>
        </w:tc>
        <w:tc>
          <w:tcPr>
            <w:tcW w:type="dxa" w:w="5040"/>
          </w:tcPr>
          <w:p>
            <w:pPr>
              <w:spacing w:after="40" w:before="40"/>
            </w:pPr>
            <w:r/>
            <w:r>
              <w:rPr>
                <w:b w:val="0"/>
                <w:sz w:val="19"/>
              </w:rPr>
              <w:t>New. Status, implementation note, client-source traceability and validation record for the seven reopened requirements.</w:t>
            </w:r>
          </w:p>
        </w:tc>
        <w:tc>
          <w:tcPr>
            <w:tcW w:type="dxa" w:w="1296"/>
          </w:tcPr>
          <w:p>
            <w:pPr>
              <w:spacing w:after="40" w:before="40"/>
            </w:pPr>
            <w:r/>
            <w:r>
              <w:rPr>
                <w:b w:val="0"/>
                <w:sz w:val="19"/>
              </w:rPr>
              <w:t>19 Oct</w:t>
            </w:r>
          </w:p>
        </w:tc>
      </w:tr>
      <w:tr>
        <w:tc>
          <w:tcPr>
            <w:tcW w:type="dxa" w:w="3744"/>
          </w:tcPr>
          <w:p>
            <w:pPr>
              <w:spacing w:after="40" w:before="40"/>
            </w:pPr>
            <w:r/>
            <w:r>
              <w:rPr>
                <w:b w:val="0"/>
                <w:sz w:val="19"/>
              </w:rPr>
              <w:t>review/DealerOps-Browser-CRUD-Bug-Log-2026-10-20.md</w:t>
            </w:r>
          </w:p>
        </w:tc>
        <w:tc>
          <w:tcPr>
            <w:tcW w:type="dxa" w:w="5040"/>
          </w:tcPr>
          <w:p>
            <w:pPr>
              <w:spacing w:after="40" w:before="40"/>
            </w:pPr>
            <w:r/>
            <w:r>
              <w:rPr>
                <w:b w:val="0"/>
                <w:sz w:val="19"/>
              </w:rPr>
              <w:t>New. Defects B1–B10 with steps, expected and actual behaviour, the fix applied and the re-check result.</w:t>
            </w:r>
          </w:p>
        </w:tc>
        <w:tc>
          <w:tcPr>
            <w:tcW w:type="dxa" w:w="1296"/>
          </w:tcPr>
          <w:p>
            <w:pPr>
              <w:spacing w:after="40" w:before="40"/>
            </w:pPr>
            <w:r/>
            <w:r>
              <w:rPr>
                <w:b w:val="0"/>
                <w:sz w:val="19"/>
              </w:rPr>
              <w:t>20 Oct</w:t>
            </w:r>
          </w:p>
        </w:tc>
      </w:tr>
      <w:tr>
        <w:tc>
          <w:tcPr>
            <w:tcW w:type="dxa" w:w="3744"/>
          </w:tcPr>
          <w:p>
            <w:pPr>
              <w:spacing w:after="40" w:before="40"/>
            </w:pPr>
            <w:r/>
            <w:r>
              <w:rPr>
                <w:b w:val="0"/>
                <w:sz w:val="19"/>
              </w:rPr>
              <w:t>design/14-Backend-API-Contract.md, design/15-Data-Auth-and-Gateway.md, design/20-Observability.md</w:t>
            </w:r>
          </w:p>
        </w:tc>
        <w:tc>
          <w:tcPr>
            <w:tcW w:type="dxa" w:w="5040"/>
          </w:tcPr>
          <w:p>
            <w:pPr>
              <w:spacing w:after="40" w:before="40"/>
            </w:pPr>
            <w:r/>
            <w:r>
              <w:rPr>
                <w:b w:val="0"/>
                <w:sz w:val="19"/>
              </w:rPr>
              <w:t>Updated for the new routes, the audit and payment tables, the manager/staff roles and the Gateway rate limits (NFR-07).</w:t>
            </w:r>
          </w:p>
        </w:tc>
        <w:tc>
          <w:tcPr>
            <w:tcW w:type="dxa" w:w="1296"/>
          </w:tcPr>
          <w:p>
            <w:pPr>
              <w:spacing w:after="40" w:before="40"/>
            </w:pPr>
            <w:r/>
            <w:r>
              <w:rPr>
                <w:b w:val="0"/>
                <w:sz w:val="19"/>
              </w:rPr>
              <w:t>19–22 Oct</w:t>
            </w:r>
          </w:p>
        </w:tc>
      </w:tr>
      <w:tr>
        <w:tc>
          <w:tcPr>
            <w:tcW w:type="dxa" w:w="3744"/>
          </w:tcPr>
          <w:p>
            <w:pPr>
              <w:spacing w:after="40" w:before="40"/>
            </w:pPr>
            <w:r/>
            <w:r>
              <w:rPr>
                <w:b w:val="0"/>
                <w:sz w:val="19"/>
              </w:rPr>
              <w:t>design/presentation/DealerOps-System-Design.html</w:t>
            </w:r>
          </w:p>
        </w:tc>
        <w:tc>
          <w:tcPr>
            <w:tcW w:type="dxa" w:w="5040"/>
          </w:tcPr>
          <w:p>
            <w:pPr>
              <w:spacing w:after="40" w:before="40"/>
            </w:pPr>
            <w:r/>
            <w:r>
              <w:rPr>
                <w:b w:val="0"/>
                <w:sz w:val="19"/>
              </w:rPr>
              <w:t>New client-facing system design briefing, then updated with the 22 October work.</w:t>
            </w:r>
          </w:p>
        </w:tc>
        <w:tc>
          <w:tcPr>
            <w:tcW w:type="dxa" w:w="1296"/>
          </w:tcPr>
          <w:p>
            <w:pPr>
              <w:spacing w:after="40" w:before="40"/>
            </w:pPr>
            <w:r/>
            <w:r>
              <w:rPr>
                <w:b w:val="0"/>
                <w:sz w:val="19"/>
              </w:rPr>
              <w:t>21–22 Oct</w:t>
            </w:r>
          </w:p>
        </w:tc>
      </w:tr>
      <w:tr>
        <w:tc>
          <w:tcPr>
            <w:tcW w:type="dxa" w:w="3744"/>
          </w:tcPr>
          <w:p>
            <w:pPr>
              <w:spacing w:after="40" w:before="40"/>
            </w:pPr>
            <w:r/>
            <w:r>
              <w:rPr>
                <w:b w:val="0"/>
                <w:sz w:val="19"/>
              </w:rPr>
              <w:t>README.md and deploy/README.md</w:t>
            </w:r>
          </w:p>
        </w:tc>
        <w:tc>
          <w:tcPr>
            <w:tcW w:type="dxa" w:w="5040"/>
          </w:tcPr>
          <w:p>
            <w:pPr>
              <w:spacing w:after="40" w:before="40"/>
            </w:pPr>
            <w:r/>
            <w:r>
              <w:rPr>
                <w:b w:val="0"/>
                <w:sz w:val="19"/>
              </w:rPr>
              <w:t>README rewritten for the .NET 10 and React stack; deployment guide rewritten around deploy.sh --apply --seed, the clean-checkout rule and the seed/rollback procedure.</w:t>
            </w:r>
          </w:p>
        </w:tc>
        <w:tc>
          <w:tcPr>
            <w:tcW w:type="dxa" w:w="1296"/>
          </w:tcPr>
          <w:p>
            <w:pPr>
              <w:spacing w:after="40" w:before="40"/>
            </w:pPr>
            <w:r/>
            <w:r>
              <w:rPr>
                <w:b w:val="0"/>
                <w:sz w:val="19"/>
              </w:rPr>
              <w:t>16–22 Oct</w:t>
            </w:r>
          </w:p>
        </w:tc>
      </w:tr>
      <w:tr>
        <w:tc>
          <w:tcPr>
            <w:tcW w:type="dxa" w:w="3744"/>
          </w:tcPr>
          <w:p>
            <w:pPr>
              <w:spacing w:after="40" w:before="40"/>
            </w:pPr>
            <w:r/>
            <w:r>
              <w:rPr>
                <w:b w:val="0"/>
                <w:sz w:val="19"/>
              </w:rPr>
              <w:t>dealer-platform/openapi.yaml</w:t>
            </w:r>
          </w:p>
        </w:tc>
        <w:tc>
          <w:tcPr>
            <w:tcW w:type="dxa" w:w="5040"/>
          </w:tcPr>
          <w:p>
            <w:pPr>
              <w:spacing w:after="40" w:before="40"/>
            </w:pPr>
            <w:r/>
            <w:r>
              <w:rPr>
                <w:b w:val="0"/>
                <w:sz w:val="19"/>
              </w:rPr>
              <w:t>Extended with the payment, report, audit, role and public buyer-site endpoints; parsed as valid YAML during validation.</w:t>
            </w:r>
          </w:p>
        </w:tc>
        <w:tc>
          <w:tcPr>
            <w:tcW w:type="dxa" w:w="1296"/>
          </w:tcPr>
          <w:p>
            <w:pPr>
              <w:spacing w:after="40" w:before="40"/>
            </w:pPr>
            <w:r/>
            <w:r>
              <w:rPr>
                <w:b w:val="0"/>
                <w:sz w:val="19"/>
              </w:rPr>
              <w:t>19–22 Oct</w:t>
            </w:r>
          </w:p>
        </w:tc>
      </w:tr>
      <w:tr>
        <w:tc>
          <w:tcPr>
            <w:tcW w:type="dxa" w:w="3744"/>
          </w:tcPr>
          <w:p>
            <w:pPr>
              <w:spacing w:after="40" w:before="40"/>
            </w:pPr>
            <w:r/>
            <w:r>
              <w:rPr>
                <w:b w:val="0"/>
                <w:sz w:val="19"/>
              </w:rPr>
              <w:t>project-plan/Sampletasklist.xlsx</w:t>
            </w:r>
          </w:p>
        </w:tc>
        <w:tc>
          <w:tcPr>
            <w:tcW w:type="dxa" w:w="5040"/>
          </w:tcPr>
          <w:p>
            <w:pPr>
              <w:spacing w:after="40" w:before="40"/>
            </w:pPr>
            <w:r/>
            <w:r>
              <w:rPr>
                <w:b w:val="0"/>
                <w:sz w:val="19"/>
              </w:rPr>
              <w:t>Sprint 1 task list reissued at ten 3-hour tasks per member, sorted by start date, with due date one day after start and requirement IDs in the notes column.</w:t>
            </w:r>
          </w:p>
        </w:tc>
        <w:tc>
          <w:tcPr>
            <w:tcW w:type="dxa" w:w="1296"/>
          </w:tcPr>
          <w:p>
            <w:pPr>
              <w:spacing w:after="40" w:before="40"/>
            </w:pPr>
            <w:r/>
            <w:r>
              <w:rPr>
                <w:b w:val="0"/>
                <w:sz w:val="19"/>
              </w:rPr>
              <w:t>12 Oct</w:t>
            </w:r>
          </w:p>
        </w:tc>
      </w:tr>
      <w:tr>
        <w:tc>
          <w:tcPr>
            <w:tcW w:type="dxa" w:w="3744"/>
          </w:tcPr>
          <w:p>
            <w:pPr>
              <w:spacing w:after="40" w:before="40"/>
            </w:pPr>
            <w:r/>
            <w:r>
              <w:rPr>
                <w:b w:val="0"/>
                <w:sz w:val="19"/>
              </w:rPr>
              <w:t>project-plan/AI-Log.md, project-plan/Research-Log.md</w:t>
            </w:r>
          </w:p>
        </w:tc>
        <w:tc>
          <w:tcPr>
            <w:tcW w:type="dxa" w:w="5040"/>
          </w:tcPr>
          <w:p>
            <w:pPr>
              <w:spacing w:after="40" w:before="40"/>
            </w:pPr>
            <w:r/>
            <w:r>
              <w:rPr>
                <w:b w:val="0"/>
                <w:sz w:val="19"/>
              </w:rPr>
              <w:t>Created as separate logs. The AI Log holds three Sprint 0 entries; the Research Log is still empty and is an open item for Sprint 2.</w:t>
            </w:r>
          </w:p>
        </w:tc>
        <w:tc>
          <w:tcPr>
            <w:tcW w:type="dxa" w:w="1296"/>
          </w:tcPr>
          <w:p>
            <w:pPr>
              <w:spacing w:after="40" w:before="40"/>
            </w:pPr>
            <w:r/>
            <w:r>
              <w:rPr>
                <w:b w:val="0"/>
                <w:sz w:val="19"/>
              </w:rPr>
              <w:t>12 Oct</w:t>
            </w:r>
          </w:p>
        </w:tc>
      </w:tr>
      <w:tr>
        <w:tc>
          <w:tcPr>
            <w:tcW w:type="dxa" w:w="3744"/>
          </w:tcPr>
          <w:p>
            <w:pPr>
              <w:spacing w:after="40" w:before="40"/>
            </w:pPr>
            <w:r/>
            <w:r>
              <w:rPr>
                <w:b w:val="0"/>
                <w:sz w:val="19"/>
              </w:rPr>
              <w:t>project-plan/Implementation-Delivery-Status.md</w:t>
            </w:r>
          </w:p>
        </w:tc>
        <w:tc>
          <w:tcPr>
            <w:tcW w:type="dxa" w:w="5040"/>
          </w:tcPr>
          <w:p>
            <w:pPr>
              <w:spacing w:after="40" w:before="40"/>
            </w:pPr>
            <w:r/>
            <w:r>
              <w:rPr>
                <w:b w:val="0"/>
                <w:sz w:val="19"/>
              </w:rPr>
              <w:t>Refreshed to the current delivery state: the active .NET 10 and React stack, the 21 October extensions, what is deliberately not built, and how demo data reaches Azure. The 12 October text is kept below it and marked as history.</w:t>
            </w:r>
          </w:p>
        </w:tc>
        <w:tc>
          <w:tcPr>
            <w:tcW w:type="dxa" w:w="1296"/>
          </w:tcPr>
          <w:p>
            <w:pPr>
              <w:spacing w:after="40" w:before="40"/>
            </w:pPr>
            <w:r/>
            <w:r>
              <w:rPr>
                <w:b w:val="0"/>
                <w:sz w:val="19"/>
              </w:rPr>
              <w:t>23 Oct</w:t>
            </w:r>
          </w:p>
        </w:tc>
      </w:tr>
      <w:tr>
        <w:tc>
          <w:tcPr>
            <w:tcW w:type="dxa" w:w="3744"/>
          </w:tcPr>
          <w:p>
            <w:pPr>
              <w:spacing w:after="40" w:before="40"/>
            </w:pPr>
            <w:r/>
            <w:r>
              <w:rPr>
                <w:b w:val="0"/>
                <w:sz w:val="19"/>
              </w:rPr>
              <w:t>Jira backlog — project KAN (sait-group2-private)</w:t>
            </w:r>
          </w:p>
        </w:tc>
        <w:tc>
          <w:tcPr>
            <w:tcW w:type="dxa" w:w="5040"/>
          </w:tcPr>
          <w:p>
            <w:pPr>
              <w:spacing w:after="40" w:before="40"/>
            </w:pPr>
            <w:r/>
            <w:r>
              <w:rPr>
                <w:b w:val="0"/>
                <w:sz w:val="19"/>
              </w:rPr>
              <w:t>Every previously open issue was transitioned to Finished, so the board matches the delivered state. Attaching an evidence link to each card is carried into Sprint 2.</w:t>
            </w:r>
          </w:p>
        </w:tc>
        <w:tc>
          <w:tcPr>
            <w:tcW w:type="dxa" w:w="1296"/>
          </w:tcPr>
          <w:p>
            <w:pPr>
              <w:spacing w:after="40" w:before="40"/>
            </w:pPr>
            <w:r/>
            <w:r>
              <w:rPr>
                <w:b w:val="0"/>
                <w:sz w:val="19"/>
              </w:rPr>
              <w:t>23 Oct</w:t>
            </w:r>
          </w:p>
        </w:tc>
      </w:tr>
      <w:tr>
        <w:tc>
          <w:tcPr>
            <w:tcW w:type="dxa" w:w="3744"/>
          </w:tcPr>
          <w:p>
            <w:pPr>
              <w:spacing w:after="40" w:before="40"/>
            </w:pPr>
            <w:r/>
            <w:r>
              <w:rPr>
                <w:b w:val="0"/>
                <w:sz w:val="19"/>
              </w:rPr>
              <w:t>design/SCOPE-BASELINE.md</w:t>
            </w:r>
          </w:p>
        </w:tc>
        <w:tc>
          <w:tcPr>
            <w:tcW w:type="dxa" w:w="5040"/>
          </w:tcPr>
          <w:p>
            <w:pPr>
              <w:spacing w:after="40" w:before="40"/>
            </w:pPr>
            <w:r/>
            <w:r>
              <w:rPr>
                <w:b w:val="0"/>
                <w:sz w:val="19"/>
              </w:rPr>
              <w:t>Errata 5 corrected: hosting is Terraform with Azure Linux App Service, not containers (NN-05), with the trade-offs recorded in deploy/publish-options.md.</w:t>
            </w:r>
          </w:p>
        </w:tc>
        <w:tc>
          <w:tcPr>
            <w:tcW w:type="dxa" w:w="1296"/>
          </w:tcPr>
          <w:p>
            <w:pPr>
              <w:spacing w:after="40" w:before="40"/>
            </w:pPr>
            <w:r/>
            <w:r>
              <w:rPr>
                <w:b w:val="0"/>
                <w:sz w:val="19"/>
              </w:rPr>
              <w:t>19 Oct</w:t>
            </w:r>
          </w:p>
        </w:tc>
      </w:tr>
    </w:tbl>
    <w:p>
      <w:pPr>
        <w:spacing w:after="0"/>
      </w:pPr>
    </w:p>
    <w:p>
      <w:pPr>
        <w:pStyle w:val="Heading1"/>
      </w:pPr>
      <w:r>
        <w:t>5. Effort and contribution record</w:t>
      </w:r>
    </w:p>
    <w:p>
      <w:pPr>
        <w:spacing w:after="120"/>
      </w:pPr>
      <w:r>
        <w:rPr>
          <w:b w:val="0"/>
          <w:i w:val="0"/>
          <w:sz w:val="19"/>
        </w:rPr>
        <w:t>The planned allocation — ten 3-hour tasks per member — is in project-plan/Sampletasklist.xlsx, one sheet per member. Only the lead’s own hours and contribution are entered below. Each other member enters their own hours and their own account of what they delivered, from their own sheet, before the 3 November submission. The rubric asks each member to account for at least 25 hours, which the planned allocation of thirty covers. Nothing in this table is written on another member’s behalf, and no figure or contribution is estimated.</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232"/>
            <w:shd w:val="clear" w:color="auto" w:fill="1F3B57"/>
          </w:tcPr>
          <w:p>
            <w:pPr>
              <w:spacing w:after="40" w:before="40"/>
            </w:pPr>
            <w:r>
              <w:rPr>
                <w:color w:val="FFFFFF"/>
              </w:rPr>
            </w:r>
            <w:r>
              <w:rPr>
                <w:b/>
                <w:color w:val="FFFFFF"/>
                <w:sz w:val="19"/>
              </w:rPr>
              <w:t>Member</w:t>
            </w:r>
          </w:p>
        </w:tc>
        <w:tc>
          <w:tcPr>
            <w:tcW w:type="dxa" w:w="1512"/>
            <w:shd w:val="clear" w:color="auto" w:fill="1F3B57"/>
          </w:tcPr>
          <w:p>
            <w:pPr>
              <w:spacing w:after="40" w:before="40"/>
            </w:pPr>
            <w:r>
              <w:rPr>
                <w:color w:val="FFFFFF"/>
              </w:rPr>
            </w:r>
            <w:r>
              <w:rPr>
                <w:b/>
                <w:color w:val="FFFFFF"/>
                <w:sz w:val="19"/>
              </w:rPr>
              <w:t>Role</w:t>
            </w:r>
          </w:p>
        </w:tc>
        <w:tc>
          <w:tcPr>
            <w:tcW w:type="dxa" w:w="2160"/>
            <w:shd w:val="clear" w:color="auto" w:fill="1F3B57"/>
          </w:tcPr>
          <w:p>
            <w:pPr>
              <w:spacing w:after="40" w:before="40"/>
            </w:pPr>
            <w:r>
              <w:rPr>
                <w:color w:val="FFFFFF"/>
              </w:rPr>
            </w:r>
            <w:r>
              <w:rPr>
                <w:b/>
                <w:color w:val="FFFFFF"/>
                <w:sz w:val="19"/>
              </w:rPr>
              <w:t>Hours this sprint (at least 25 per the rubric)</w:t>
            </w:r>
          </w:p>
        </w:tc>
        <w:tc>
          <w:tcPr>
            <w:tcW w:type="dxa" w:w="4176"/>
            <w:shd w:val="clear" w:color="auto" w:fill="1F3B57"/>
          </w:tcPr>
          <w:p>
            <w:pPr>
              <w:spacing w:after="40" w:before="40"/>
            </w:pPr>
            <w:r>
              <w:rPr>
                <w:color w:val="FFFFFF"/>
              </w:rPr>
            </w:r>
            <w:r>
              <w:rPr>
                <w:b/>
                <w:color w:val="FFFFFF"/>
                <w:sz w:val="19"/>
              </w:rPr>
              <w:t>Contribution this sprint</w:t>
            </w:r>
          </w:p>
        </w:tc>
      </w:tr>
      <w:tr>
        <w:tc>
          <w:tcPr>
            <w:tcW w:type="dxa" w:w="2232"/>
          </w:tcPr>
          <w:p>
            <w:pPr>
              <w:spacing w:after="40" w:before="40"/>
            </w:pPr>
            <w:r/>
            <w:r>
              <w:rPr>
                <w:b w:val="0"/>
                <w:sz w:val="19"/>
              </w:rPr>
              <w:t>Yuandong Yang (Robin)</w:t>
            </w:r>
          </w:p>
        </w:tc>
        <w:tc>
          <w:tcPr>
            <w:tcW w:type="dxa" w:w="1512"/>
          </w:tcPr>
          <w:p>
            <w:pPr>
              <w:spacing w:after="40" w:before="40"/>
            </w:pPr>
            <w:r/>
            <w:r>
              <w:rPr>
                <w:b w:val="0"/>
                <w:sz w:val="19"/>
              </w:rPr>
              <w:t>Full Stack Lead</w:t>
            </w:r>
          </w:p>
        </w:tc>
        <w:tc>
          <w:tcPr>
            <w:tcW w:type="dxa" w:w="2160"/>
          </w:tcPr>
          <w:p>
            <w:pPr>
              <w:spacing w:after="40" w:before="40"/>
            </w:pPr>
            <w:r/>
            <w:r>
              <w:rPr>
                <w:b w:val="0"/>
                <w:sz w:val="19"/>
              </w:rPr>
              <w:t>30 planned; actual entered from the task sheet</w:t>
            </w:r>
          </w:p>
        </w:tc>
        <w:tc>
          <w:tcPr>
            <w:tcW w:type="dxa" w:w="4176"/>
          </w:tcPr>
          <w:p>
            <w:pPr>
              <w:spacing w:after="40" w:before="40"/>
            </w:pPr>
            <w:r/>
            <w:r>
              <w:rPr>
                <w:b w:val="0"/>
                <w:sz w:val="19"/>
              </w:rPr>
              <w:t>Consolidated the repository onto the .NET 10 and React stack. Implemented the seven reopened requirements and the delivery extensions in design/21 §9. Ran the 20 October browser walkthrough and fixed defects B1–B10. Built the one-command Azure deployment and the local-to-cloud database seed. Wrote the scope reconciliation, the requirement ledger, the system design briefing, this report and the sprint deck.</w:t>
            </w:r>
          </w:p>
        </w:tc>
      </w:tr>
      <w:tr>
        <w:tc>
          <w:tcPr>
            <w:tcW w:type="dxa" w:w="2232"/>
          </w:tcPr>
          <w:p>
            <w:pPr>
              <w:spacing w:after="40" w:before="40"/>
            </w:pPr>
            <w:r/>
            <w:r>
              <w:rPr>
                <w:b w:val="0"/>
                <w:sz w:val="19"/>
              </w:rPr>
              <w:t>Bedgel Fadhil Ndam Woukouo</w:t>
            </w:r>
          </w:p>
        </w:tc>
        <w:tc>
          <w:tcPr>
            <w:tcW w:type="dxa" w:w="1512"/>
          </w:tcPr>
          <w:p>
            <w:pPr>
              <w:spacing w:after="40" w:before="40"/>
            </w:pPr>
            <w:r/>
            <w:r>
              <w:rPr>
                <w:b w:val="0"/>
                <w:sz w:val="19"/>
              </w:rPr>
              <w:t>Web</w:t>
            </w:r>
          </w:p>
        </w:tc>
        <w:tc>
          <w:tcPr>
            <w:tcW w:type="dxa" w:w="2160"/>
          </w:tcPr>
          <w:p>
            <w:pPr>
              <w:spacing w:after="40" w:before="40"/>
            </w:pPr>
            <w:r/>
            <w:r>
              <w:rPr>
                <w:b w:val="0"/>
                <w:sz w:val="19"/>
              </w:rPr>
              <w:t>To be entered by the member</w:t>
            </w:r>
          </w:p>
        </w:tc>
        <w:tc>
          <w:tcPr>
            <w:tcW w:type="dxa" w:w="4176"/>
          </w:tcPr>
          <w:p>
            <w:pPr>
              <w:spacing w:after="40" w:before="40"/>
            </w:pPr>
            <w:r/>
            <w:r>
              <w:rPr>
                <w:b w:val="0"/>
                <w:sz w:val="19"/>
              </w:rPr>
              <w:t>To be completed by the member.</w:t>
            </w:r>
          </w:p>
        </w:tc>
      </w:tr>
      <w:tr>
        <w:tc>
          <w:tcPr>
            <w:tcW w:type="dxa" w:w="2232"/>
          </w:tcPr>
          <w:p>
            <w:pPr>
              <w:spacing w:after="40" w:before="40"/>
            </w:pPr>
            <w:r/>
            <w:r>
              <w:rPr>
                <w:b w:val="0"/>
                <w:sz w:val="19"/>
              </w:rPr>
              <w:t>Jackson Warga</w:t>
            </w:r>
          </w:p>
        </w:tc>
        <w:tc>
          <w:tcPr>
            <w:tcW w:type="dxa" w:w="1512"/>
          </w:tcPr>
          <w:p>
            <w:pPr>
              <w:spacing w:after="40" w:before="40"/>
            </w:pPr>
            <w:r/>
            <w:r>
              <w:rPr>
                <w:b w:val="0"/>
                <w:sz w:val="19"/>
              </w:rPr>
              <w:t>AI and Platform</w:t>
            </w:r>
          </w:p>
        </w:tc>
        <w:tc>
          <w:tcPr>
            <w:tcW w:type="dxa" w:w="2160"/>
          </w:tcPr>
          <w:p>
            <w:pPr>
              <w:spacing w:after="40" w:before="40"/>
            </w:pPr>
            <w:r/>
            <w:r>
              <w:rPr>
                <w:b w:val="0"/>
                <w:sz w:val="19"/>
              </w:rPr>
              <w:t>To be entered by the member</w:t>
            </w:r>
          </w:p>
        </w:tc>
        <w:tc>
          <w:tcPr>
            <w:tcW w:type="dxa" w:w="4176"/>
          </w:tcPr>
          <w:p>
            <w:pPr>
              <w:spacing w:after="40" w:before="40"/>
            </w:pPr>
            <w:r/>
            <w:r>
              <w:rPr>
                <w:b w:val="0"/>
                <w:sz w:val="19"/>
              </w:rPr>
              <w:t>To be completed by the member.</w:t>
            </w:r>
          </w:p>
        </w:tc>
      </w:tr>
      <w:tr>
        <w:tc>
          <w:tcPr>
            <w:tcW w:type="dxa" w:w="2232"/>
          </w:tcPr>
          <w:p>
            <w:pPr>
              <w:spacing w:after="40" w:before="40"/>
            </w:pPr>
            <w:r/>
            <w:r>
              <w:rPr>
                <w:b w:val="0"/>
                <w:sz w:val="19"/>
              </w:rPr>
              <w:t>Logan Jones</w:t>
            </w:r>
          </w:p>
        </w:tc>
        <w:tc>
          <w:tcPr>
            <w:tcW w:type="dxa" w:w="1512"/>
          </w:tcPr>
          <w:p>
            <w:pPr>
              <w:spacing w:after="40" w:before="40"/>
            </w:pPr>
            <w:r/>
            <w:r>
              <w:rPr>
                <w:b w:val="0"/>
                <w:sz w:val="19"/>
              </w:rPr>
              <w:t>Gateway and Core</w:t>
            </w:r>
          </w:p>
        </w:tc>
        <w:tc>
          <w:tcPr>
            <w:tcW w:type="dxa" w:w="2160"/>
          </w:tcPr>
          <w:p>
            <w:pPr>
              <w:spacing w:after="40" w:before="40"/>
            </w:pPr>
            <w:r/>
            <w:r>
              <w:rPr>
                <w:b w:val="0"/>
                <w:sz w:val="19"/>
              </w:rPr>
              <w:t>To be entered by the member</w:t>
            </w:r>
          </w:p>
        </w:tc>
        <w:tc>
          <w:tcPr>
            <w:tcW w:type="dxa" w:w="4176"/>
          </w:tcPr>
          <w:p>
            <w:pPr>
              <w:spacing w:after="40" w:before="40"/>
            </w:pPr>
            <w:r/>
            <w:r>
              <w:rPr>
                <w:b w:val="0"/>
                <w:sz w:val="19"/>
              </w:rPr>
              <w:t>To be completed by the member.</w:t>
            </w:r>
          </w:p>
        </w:tc>
      </w:tr>
    </w:tbl>
    <w:p>
      <w:pPr>
        <w:spacing w:after="0"/>
      </w:pPr>
    </w:p>
    <w:p>
      <w:pPr>
        <w:pStyle w:val="Heading1"/>
      </w:pPr>
      <w:r>
        <w:t>6. Evidence index</w:t>
      </w:r>
    </w:p>
    <w:p>
      <w:pPr>
        <w:pStyle w:val="ListBullet"/>
        <w:spacing w:after="40"/>
      </w:pPr>
      <w:r>
        <w:rPr>
          <w:b/>
        </w:rPr>
        <w:t xml:space="preserve">Requirement ledger — </w:t>
      </w:r>
      <w:r>
        <w:t>review/DealerOps-Requirement-Implementation-Ledger-2026-10-19.md (AUTH-19, DMS-17, CRM-14, CRM-15, AD-15, AD-16, NFR-07, with the validation commands that were run).</w:t>
      </w:r>
    </w:p>
    <w:p>
      <w:pPr>
        <w:pStyle w:val="ListBullet"/>
        <w:spacing w:after="40"/>
      </w:pPr>
      <w:r>
        <w:rPr>
          <w:b/>
        </w:rPr>
        <w:t xml:space="preserve">Defect log — </w:t>
      </w:r>
      <w:r>
        <w:t>review/DealerOps-Browser-CRUD-Bug-Log-2026-10-20.md (B1–B10, fixes and re-checks; the suite ran 309 passed and 3 skipped on 20 October, and 353 cases on 22 October after the extension work).</w:t>
      </w:r>
    </w:p>
    <w:p>
      <w:pPr>
        <w:pStyle w:val="ListBullet"/>
        <w:spacing w:after="40"/>
      </w:pPr>
      <w:r>
        <w:rPr>
          <w:b/>
        </w:rPr>
        <w:t xml:space="preserve">Scope decisions — </w:t>
      </w:r>
      <w:r>
        <w:t>requirements/analysis/14-Delivery-Scope-Reconciliation-2026-10-21.md and design/21-Feature-Extensions.md §9.</w:t>
      </w:r>
    </w:p>
    <w:p>
      <w:pPr>
        <w:pStyle w:val="ListBullet"/>
        <w:spacing w:after="40"/>
      </w:pPr>
      <w:r>
        <w:rPr>
          <w:b/>
        </w:rPr>
        <w:t xml:space="preserve">Architecture and contract — </w:t>
      </w:r>
      <w:r>
        <w:t>design/00-Current-Development-Design.md, design/14-Backend-API-Contract.md, design/15-Data-Auth-and-Gateway.md, dealer-platform/openapi.yaml.</w:t>
      </w:r>
    </w:p>
    <w:p>
      <w:pPr>
        <w:pStyle w:val="ListBullet"/>
        <w:spacing w:after="40"/>
      </w:pPr>
      <w:r>
        <w:rPr>
          <w:b/>
        </w:rPr>
        <w:t xml:space="preserve">Deployment — </w:t>
      </w:r>
      <w:r>
        <w:t>deploy/README.md, deploy/deploy.sh, deploy/seed/ (azure-backup-20261022-173047.sql.gz is the automatic pre-seed backup taken on 22 October).</w:t>
      </w:r>
    </w:p>
    <w:p>
      <w:pPr>
        <w:pStyle w:val="ListBullet"/>
        <w:spacing w:after="40"/>
      </w:pPr>
      <w:r>
        <w:rPr>
          <w:b/>
        </w:rPr>
        <w:t xml:space="preserve">Acceptance cases — </w:t>
      </w:r>
      <w:r>
        <w:t>design/16-Acceptance-and-Test.md and the EXT-11–EXT-19 cases in design/21 §9.</w:t>
      </w:r>
    </w:p>
    <w:p>
      <w:pPr>
        <w:pStyle w:val="ListBullet"/>
        <w:spacing w:after="40"/>
      </w:pPr>
      <w:r>
        <w:rPr>
          <w:b/>
        </w:rPr>
        <w:t xml:space="preserve">Plan and logs — </w:t>
      </w:r>
      <w:r>
        <w:t>project-plan/Sampletasklist.xlsx, project-plan/AI-Log.md, project-plan/Research-Log.md, project-plan/Implementation-Delivery-Status.md.</w:t>
      </w:r>
    </w:p>
    <w:p>
      <w:pPr>
        <w:pStyle w:val="ListBullet"/>
        <w:spacing w:after="40"/>
      </w:pPr>
      <w:r>
        <w:rPr>
          <w:b/>
        </w:rPr>
        <w:t xml:space="preserve">Stakeholder briefing — </w:t>
      </w:r>
      <w:r>
        <w:t>design/presentation/DealerOps-System-Design.html.</w:t>
      </w:r>
    </w:p>
    <w:p>
      <w:pPr>
        <w:pStyle w:val="Heading1"/>
      </w:pPr>
      <w:r>
        <w:t>7. In-class demo and remaining sprint plan</w:t>
      </w:r>
    </w:p>
    <w:p>
      <w:pPr>
        <w:spacing w:after="120"/>
      </w:pPr>
      <w:r>
        <w:rPr>
          <w:b w:val="0"/>
          <w:i w:val="0"/>
          <w:sz w:val="19"/>
        </w:rPr>
        <w:t>Demo coverage against the 50% minimum. Feature development is complete, so the demo shows a finished build rather than a partial prototype. All core modules of the proposed system are implemented and can be shown running: platform administration and two-dealership tenancy, DMS with the eight specified vehicle fields and the sale flow, CRM with customer-to-vehicle links, the OMVIC ad checklist with a real AI review and gated TXT export, the read-only in-store assistant, audit history, and the delivery extensions (payments, bill of sale, dashboard, reports, buyer site, manager and staff roles). Coverage is therefore well above the 50% minimum; the gap is acceptance evidence, not functionality.</w:t>
      </w:r>
    </w:p>
    <w:p>
      <w:pPr>
        <w:spacing w:after="120"/>
      </w:pPr>
      <w:r>
        <w:rPr>
          <w:b w:val="0"/>
          <w:i/>
          <w:sz w:val="18"/>
        </w:rPr>
        <w:t>Owners below are proposed assignments; each is confirmed with the member at the sprint review.</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368"/>
            <w:shd w:val="clear" w:color="auto" w:fill="1F3B57"/>
          </w:tcPr>
          <w:p>
            <w:pPr>
              <w:spacing w:after="40" w:before="40"/>
            </w:pPr>
            <w:r>
              <w:rPr>
                <w:color w:val="FFFFFF"/>
              </w:rPr>
            </w:r>
            <w:r>
              <w:rPr>
                <w:b/>
                <w:color w:val="FFFFFF"/>
                <w:sz w:val="19"/>
              </w:rPr>
              <w:t>Date</w:t>
            </w:r>
          </w:p>
        </w:tc>
        <w:tc>
          <w:tcPr>
            <w:tcW w:type="dxa" w:w="6696"/>
            <w:shd w:val="clear" w:color="auto" w:fill="1F3B57"/>
          </w:tcPr>
          <w:p>
            <w:pPr>
              <w:spacing w:after="40" w:before="40"/>
            </w:pPr>
            <w:r>
              <w:rPr>
                <w:color w:val="FFFFFF"/>
              </w:rPr>
            </w:r>
            <w:r>
              <w:rPr>
                <w:b/>
                <w:color w:val="FFFFFF"/>
                <w:sz w:val="19"/>
              </w:rPr>
              <w:t>Remaining Sprint 1 work</w:t>
            </w:r>
          </w:p>
        </w:tc>
        <w:tc>
          <w:tcPr>
            <w:tcW w:type="dxa" w:w="2016"/>
            <w:shd w:val="clear" w:color="auto" w:fill="1F3B57"/>
          </w:tcPr>
          <w:p>
            <w:pPr>
              <w:spacing w:after="40" w:before="40"/>
            </w:pPr>
            <w:r>
              <w:rPr>
                <w:color w:val="FFFFFF"/>
              </w:rPr>
            </w:r>
            <w:r>
              <w:rPr>
                <w:b/>
                <w:color w:val="FFFFFF"/>
                <w:sz w:val="19"/>
              </w:rPr>
              <w:t>Proposed owner</w:t>
            </w:r>
          </w:p>
        </w:tc>
      </w:tr>
      <w:tr>
        <w:tc>
          <w:tcPr>
            <w:tcW w:type="dxa" w:w="1368"/>
          </w:tcPr>
          <w:p>
            <w:pPr>
              <w:spacing w:after="40" w:before="40"/>
            </w:pPr>
            <w:r/>
            <w:r>
              <w:rPr>
                <w:b w:val="0"/>
                <w:sz w:val="19"/>
              </w:rPr>
              <w:t>24–28 Oct</w:t>
            </w:r>
          </w:p>
        </w:tc>
        <w:tc>
          <w:tcPr>
            <w:tcW w:type="dxa" w:w="6696"/>
          </w:tcPr>
          <w:p>
            <w:pPr>
              <w:spacing w:after="40" w:before="40"/>
            </w:pPr>
            <w:r/>
            <w:r>
              <w:rPr>
                <w:b w:val="0"/>
                <w:sz w:val="19"/>
              </w:rPr>
              <w:t>Member acceptance walkthroughs doubling as the defect hunt, since no construction is left: auth, Gateway routes, audit and tenancy (Logan); DMS, CRM and Image Studio (Bedgel); ads, AI review and the assistant (Jackson). Record the observed result per requirement ID and raise findings in the B1–B10 numbered form.</w:t>
            </w:r>
          </w:p>
        </w:tc>
        <w:tc>
          <w:tcPr>
            <w:tcW w:type="dxa" w:w="2016"/>
          </w:tcPr>
          <w:p>
            <w:pPr>
              <w:spacing w:after="40" w:before="40"/>
            </w:pPr>
            <w:r/>
            <w:r>
              <w:rPr>
                <w:b w:val="0"/>
                <w:sz w:val="19"/>
              </w:rPr>
              <w:t>Bedgel, Jackson, Logan</w:t>
            </w:r>
          </w:p>
        </w:tc>
      </w:tr>
      <w:tr>
        <w:tc>
          <w:tcPr>
            <w:tcW w:type="dxa" w:w="1368"/>
          </w:tcPr>
          <w:p>
            <w:pPr>
              <w:spacing w:after="40" w:before="40"/>
            </w:pPr>
            <w:r/>
            <w:r>
              <w:rPr>
                <w:b w:val="0"/>
                <w:sz w:val="19"/>
              </w:rPr>
              <w:t>24–31 Oct</w:t>
            </w:r>
          </w:p>
        </w:tc>
        <w:tc>
          <w:tcPr>
            <w:tcW w:type="dxa" w:w="6696"/>
          </w:tcPr>
          <w:p>
            <w:pPr>
              <w:spacing w:after="40" w:before="40"/>
            </w:pPr>
            <w:r/>
            <w:r>
              <w:rPr>
                <w:b w:val="0"/>
                <w:sz w:val="19"/>
              </w:rPr>
              <w:t>Interface refinement against the written checklist (link style, icon set, theme colours, empty states, error wording, loading and disabled states).</w:t>
            </w:r>
          </w:p>
        </w:tc>
        <w:tc>
          <w:tcPr>
            <w:tcW w:type="dxa" w:w="2016"/>
          </w:tcPr>
          <w:p>
            <w:pPr>
              <w:spacing w:after="40" w:before="40"/>
            </w:pPr>
            <w:r/>
            <w:r>
              <w:rPr>
                <w:b w:val="0"/>
                <w:sz w:val="19"/>
              </w:rPr>
              <w:t>Bedgel, Yuandong</w:t>
            </w:r>
          </w:p>
        </w:tc>
      </w:tr>
      <w:tr>
        <w:tc>
          <w:tcPr>
            <w:tcW w:type="dxa" w:w="1368"/>
          </w:tcPr>
          <w:p>
            <w:pPr>
              <w:spacing w:after="40" w:before="40"/>
            </w:pPr>
            <w:r/>
            <w:r>
              <w:rPr>
                <w:b w:val="0"/>
                <w:sz w:val="19"/>
              </w:rPr>
              <w:t>27–29 Oct</w:t>
            </w:r>
          </w:p>
        </w:tc>
        <w:tc>
          <w:tcPr>
            <w:tcW w:type="dxa" w:w="6696"/>
          </w:tcPr>
          <w:p>
            <w:pPr>
              <w:spacing w:after="40" w:before="40"/>
            </w:pPr>
            <w:r/>
            <w:r>
              <w:rPr>
                <w:b w:val="0"/>
                <w:sz w:val="19"/>
              </w:rPr>
              <w:t>Jira cards per requirement with evidence links; check the five main-branch workflows.</w:t>
            </w:r>
          </w:p>
        </w:tc>
        <w:tc>
          <w:tcPr>
            <w:tcW w:type="dxa" w:w="2016"/>
          </w:tcPr>
          <w:p>
            <w:pPr>
              <w:spacing w:after="40" w:before="40"/>
            </w:pPr>
            <w:r/>
            <w:r>
              <w:rPr>
                <w:b w:val="0"/>
                <w:sz w:val="19"/>
              </w:rPr>
              <w:t>Yuandong</w:t>
            </w:r>
          </w:p>
        </w:tc>
      </w:tr>
      <w:tr>
        <w:tc>
          <w:tcPr>
            <w:tcW w:type="dxa" w:w="1368"/>
          </w:tcPr>
          <w:p>
            <w:pPr>
              <w:spacing w:after="40" w:before="40"/>
            </w:pPr>
            <w:r/>
            <w:r>
              <w:rPr>
                <w:b w:val="0"/>
                <w:sz w:val="19"/>
              </w:rPr>
              <w:t>29–31 Oct</w:t>
            </w:r>
          </w:p>
        </w:tc>
        <w:tc>
          <w:tcPr>
            <w:tcW w:type="dxa" w:w="6696"/>
          </w:tcPr>
          <w:p>
            <w:pPr>
              <w:spacing w:after="40" w:before="40"/>
            </w:pPr>
            <w:r/>
            <w:r>
              <w:rPr>
                <w:b w:val="0"/>
                <w:sz w:val="19"/>
              </w:rPr>
              <w:t>Build the Status Report 2 presentation deck (progress, architectural updates, milestone tracking) and rehearse the live demo on the deployed Azure environment.</w:t>
            </w:r>
          </w:p>
        </w:tc>
        <w:tc>
          <w:tcPr>
            <w:tcW w:type="dxa" w:w="2016"/>
          </w:tcPr>
          <w:p>
            <w:pPr>
              <w:spacing w:after="40" w:before="40"/>
            </w:pPr>
            <w:r/>
            <w:r>
              <w:rPr>
                <w:b w:val="0"/>
                <w:sz w:val="19"/>
              </w:rPr>
              <w:t>Yuandong, Logan</w:t>
            </w:r>
          </w:p>
        </w:tc>
      </w:tr>
      <w:tr>
        <w:tc>
          <w:tcPr>
            <w:tcW w:type="dxa" w:w="1368"/>
          </w:tcPr>
          <w:p>
            <w:pPr>
              <w:spacing w:after="40" w:before="40"/>
            </w:pPr>
            <w:r/>
            <w:r>
              <w:rPr>
                <w:b w:val="0"/>
                <w:sz w:val="19"/>
              </w:rPr>
              <w:t>31 Oct</w:t>
            </w:r>
          </w:p>
        </w:tc>
        <w:tc>
          <w:tcPr>
            <w:tcW w:type="dxa" w:w="6696"/>
          </w:tcPr>
          <w:p>
            <w:pPr>
              <w:spacing w:after="40" w:before="40"/>
            </w:pPr>
            <w:r/>
            <w:r>
              <w:rPr>
                <w:b w:val="0"/>
                <w:sz w:val="19"/>
              </w:rPr>
              <w:t>Publish the Research Log and AI Log on the team site; collect the student IDs; request the instructor decision on the scope baseline and NN-05.</w:t>
            </w:r>
          </w:p>
        </w:tc>
        <w:tc>
          <w:tcPr>
            <w:tcW w:type="dxa" w:w="2016"/>
          </w:tcPr>
          <w:p>
            <w:pPr>
              <w:spacing w:after="40" w:before="40"/>
            </w:pPr>
            <w:r/>
            <w:r>
              <w:rPr>
                <w:b w:val="0"/>
                <w:sz w:val="19"/>
              </w:rPr>
              <w:t>Jackson, Yuandong</w:t>
            </w:r>
          </w:p>
        </w:tc>
      </w:tr>
      <w:tr>
        <w:tc>
          <w:tcPr>
            <w:tcW w:type="dxa" w:w="1368"/>
          </w:tcPr>
          <w:p>
            <w:pPr>
              <w:spacing w:after="40" w:before="40"/>
            </w:pPr>
            <w:r/>
            <w:r>
              <w:rPr>
                <w:b w:val="0"/>
                <w:sz w:val="19"/>
              </w:rPr>
              <w:t>1 Nov</w:t>
            </w:r>
          </w:p>
        </w:tc>
        <w:tc>
          <w:tcPr>
            <w:tcW w:type="dxa" w:w="6696"/>
          </w:tcPr>
          <w:p>
            <w:pPr>
              <w:spacing w:after="40" w:before="40"/>
            </w:pPr>
            <w:r/>
            <w:r>
              <w:rPr>
                <w:b w:val="0"/>
                <w:sz w:val="19"/>
              </w:rPr>
              <w:t>Sprint review with peers; record the feedback in section 3; refresh project-plan/Implementation-Delivery-Status.md; enter actual hours in the task sheets.</w:t>
            </w:r>
          </w:p>
        </w:tc>
        <w:tc>
          <w:tcPr>
            <w:tcW w:type="dxa" w:w="2016"/>
          </w:tcPr>
          <w:p>
            <w:pPr>
              <w:spacing w:after="40" w:before="40"/>
            </w:pPr>
            <w:r/>
            <w:r>
              <w:rPr>
                <w:b w:val="0"/>
                <w:sz w:val="19"/>
              </w:rPr>
              <w:t>All</w:t>
            </w:r>
          </w:p>
        </w:tc>
      </w:tr>
      <w:tr>
        <w:tc>
          <w:tcPr>
            <w:tcW w:type="dxa" w:w="1368"/>
          </w:tcPr>
          <w:p>
            <w:pPr>
              <w:spacing w:after="40" w:before="40"/>
            </w:pPr>
            <w:r/>
            <w:r>
              <w:rPr>
                <w:b w:val="0"/>
                <w:sz w:val="19"/>
              </w:rPr>
              <w:t>3 Nov</w:t>
            </w:r>
          </w:p>
        </w:tc>
        <w:tc>
          <w:tcPr>
            <w:tcW w:type="dxa" w:w="6696"/>
          </w:tcPr>
          <w:p>
            <w:pPr>
              <w:spacing w:after="40" w:before="40"/>
            </w:pPr>
            <w:r/>
            <w:r>
              <w:rPr>
                <w:b w:val="0"/>
                <w:sz w:val="19"/>
              </w:rPr>
              <w:t>Submit the status report document and the presentation deck in Brightspace.</w:t>
            </w:r>
          </w:p>
        </w:tc>
        <w:tc>
          <w:tcPr>
            <w:tcW w:type="dxa" w:w="2016"/>
          </w:tcPr>
          <w:p>
            <w:pPr>
              <w:spacing w:after="40" w:before="40"/>
            </w:pPr>
            <w:r/>
            <w:r>
              <w:rPr>
                <w:b w:val="0"/>
                <w:sz w:val="19"/>
              </w:rPr>
              <w:t>Yuandong</w:t>
            </w:r>
          </w:p>
        </w:tc>
      </w:tr>
    </w:tbl>
    <w:p>
      <w:pPr>
        <w:spacing w:after="0"/>
      </w:pPr>
    </w:p>
    <w:p>
      <w:pPr>
        <w:pStyle w:val="Heading1"/>
      </w:pPr>
      <w:r>
        <w:t>8. How this report meets the marking criteria</w:t>
      </w:r>
    </w:p>
    <w:p>
      <w:pPr>
        <w:spacing w:after="120"/>
      </w:pPr>
      <w:r>
        <w:rPr>
          <w:b w:val="0"/>
          <w:i w:val="0"/>
          <w:sz w:val="19"/>
        </w:rPr>
        <w:t>Each clause of the assignment rubric, and where in this document it is evidenced.</w:t>
      </w:r>
    </w:p>
    <w:tbl>
      <w:tblPr>
        <w:tblStyle w:val="TableGrid"/>
        <w:tblW w:type="auto" w:w="0"/>
        <w:jc w:val="center"/>
        <w:tblLayout w:type="fixed"/>
        <w:tblLook w:firstColumn="1" w:firstRow="1" w:lastColumn="0" w:lastRow="0" w:noHBand="0" w:noVBand="1" w:val="04A0"/>
      </w:tblPr>
      <w:tblGrid>
        <w:gridCol w:w="4968"/>
        <w:gridCol w:w="4968"/>
      </w:tblGrid>
      <w:tr>
        <w:tc>
          <w:tcPr>
            <w:tcW w:type="dxa" w:w="3384"/>
            <w:shd w:val="clear" w:color="auto" w:fill="1F3B57"/>
          </w:tcPr>
          <w:p>
            <w:pPr>
              <w:spacing w:after="40" w:before="40"/>
            </w:pPr>
            <w:r>
              <w:rPr>
                <w:color w:val="FFFFFF"/>
              </w:rPr>
            </w:r>
            <w:r>
              <w:rPr>
                <w:b/>
                <w:color w:val="FFFFFF"/>
                <w:sz w:val="19"/>
              </w:rPr>
              <w:t>Rubric clause</w:t>
            </w:r>
          </w:p>
        </w:tc>
        <w:tc>
          <w:tcPr>
            <w:tcW w:type="dxa" w:w="6696"/>
            <w:shd w:val="clear" w:color="auto" w:fill="1F3B57"/>
          </w:tcPr>
          <w:p>
            <w:pPr>
              <w:spacing w:after="40" w:before="40"/>
            </w:pPr>
            <w:r>
              <w:rPr>
                <w:color w:val="FFFFFF"/>
              </w:rPr>
            </w:r>
            <w:r>
              <w:rPr>
                <w:b/>
                <w:color w:val="FFFFFF"/>
                <w:sz w:val="19"/>
              </w:rPr>
              <w:t>Where it is met</w:t>
            </w:r>
          </w:p>
        </w:tc>
      </w:tr>
      <w:tr>
        <w:tc>
          <w:tcPr>
            <w:tcW w:type="dxa" w:w="3384"/>
          </w:tcPr>
          <w:p>
            <w:pPr>
              <w:spacing w:after="40" w:before="40"/>
            </w:pPr>
            <w:r/>
            <w:r>
              <w:rPr>
                <w:b w:val="0"/>
                <w:sz w:val="19"/>
              </w:rPr>
              <w:t>Status update completed per instructions</w:t>
            </w:r>
          </w:p>
        </w:tc>
        <w:tc>
          <w:tcPr>
            <w:tcW w:type="dxa" w:w="6696"/>
          </w:tcPr>
          <w:p>
            <w:pPr>
              <w:spacing w:after="40" w:before="40"/>
            </w:pPr>
            <w:r/>
            <w:r>
              <w:rPr>
                <w:b w:val="0"/>
                <w:sz w:val="19"/>
              </w:rPr>
              <w:t>Section 1 reproduces the course template fields — team name, members, sprint number, summary of activities, what we learned, what was delivered, impediments, what went well, what to improve — for Sprint 1, in a separate document as the instructions require. Sections 3 to 7 add the supporting record.</w:t>
            </w:r>
          </w:p>
        </w:tc>
      </w:tr>
      <w:tr>
        <w:tc>
          <w:tcPr>
            <w:tcW w:type="dxa" w:w="3384"/>
          </w:tcPr>
          <w:p>
            <w:pPr>
              <w:spacing w:after="40" w:before="40"/>
            </w:pPr>
            <w:r/>
            <w:r>
              <w:rPr>
                <w:b w:val="0"/>
                <w:sz w:val="19"/>
              </w:rPr>
              <w:t>Incorporating all relevant adjustments from the previous sprint</w:t>
            </w:r>
          </w:p>
        </w:tc>
        <w:tc>
          <w:tcPr>
            <w:tcW w:type="dxa" w:w="6696"/>
          </w:tcPr>
          <w:p>
            <w:pPr>
              <w:spacing w:after="40" w:before="40"/>
            </w:pPr>
            <w:r/>
            <w:r>
              <w:rPr>
                <w:b w:val="0"/>
                <w:sz w:val="19"/>
              </w:rPr>
              <w:t>Section 2 answers every one of the seven improvement actions recorded at the end of the Sprint 0 report, each with what actually happened, whether it is done, partly done or still open, and where it is carried in the Sprint 2 action list. None is omitted.</w:t>
            </w:r>
          </w:p>
        </w:tc>
      </w:tr>
      <w:tr>
        <w:tc>
          <w:tcPr>
            <w:tcW w:type="dxa" w:w="3384"/>
          </w:tcPr>
          <w:p>
            <w:pPr>
              <w:spacing w:after="40" w:before="40"/>
            </w:pPr>
            <w:r/>
            <w:r>
              <w:rPr>
                <w:b w:val="0"/>
                <w:sz w:val="19"/>
              </w:rPr>
              <w:t>Updated all the necessary documentation (project management plan, backlog, etc.)</w:t>
            </w:r>
          </w:p>
        </w:tc>
        <w:tc>
          <w:tcPr>
            <w:tcW w:type="dxa" w:w="6696"/>
          </w:tcPr>
          <w:p>
            <w:pPr>
              <w:spacing w:after="40" w:before="40"/>
            </w:pPr>
            <w:r/>
            <w:r>
              <w:rPr>
                <w:b w:val="0"/>
                <w:sz w:val="19"/>
              </w:rPr>
              <w:t>Section 4 lists every document changed inside the sprint with the change and its date, including the Sprint 1 task list, the delivery status record, the scope baseline, the API contract, the deployment guide and the Jira KAN backlog, which was brought level with the delivered state on 23 October.</w:t>
            </w:r>
          </w:p>
        </w:tc>
      </w:tr>
      <w:tr>
        <w:tc>
          <w:tcPr>
            <w:tcW w:type="dxa" w:w="3384"/>
          </w:tcPr>
          <w:p>
            <w:pPr>
              <w:spacing w:after="40" w:before="40"/>
            </w:pPr>
            <w:r/>
            <w:r>
              <w:rPr>
                <w:b w:val="0"/>
                <w:sz w:val="19"/>
              </w:rPr>
              <w:t>Considering all relevant feedback from stakeholders and peers</w:t>
            </w:r>
          </w:p>
        </w:tc>
        <w:tc>
          <w:tcPr>
            <w:tcW w:type="dxa" w:w="6696"/>
          </w:tcPr>
          <w:p>
            <w:pPr>
              <w:spacing w:after="40" w:before="40"/>
            </w:pPr>
            <w:r/>
            <w:r>
              <w:rPr>
                <w:b w:val="0"/>
                <w:sz w:val="19"/>
              </w:rPr>
              <w:t>Section 3 records each dated piece of feedback and the action it produced: the client requirement review of 19 October, the client scope request of 21 October and the internal browser review of 20 October. The sprint review of 1 November is recorded in the same table before submission.</w:t>
            </w:r>
          </w:p>
        </w:tc>
      </w:tr>
      <w:tr>
        <w:tc>
          <w:tcPr>
            <w:tcW w:type="dxa" w:w="3384"/>
          </w:tcPr>
          <w:p>
            <w:pPr>
              <w:spacing w:after="40" w:before="40"/>
            </w:pPr>
            <w:r/>
            <w:r>
              <w:rPr>
                <w:b w:val="0"/>
                <w:sz w:val="19"/>
              </w:rPr>
              <w:t>Each team member was able to account for 25 hours of effort</w:t>
            </w:r>
          </w:p>
        </w:tc>
        <w:tc>
          <w:tcPr>
            <w:tcW w:type="dxa" w:w="6696"/>
          </w:tcPr>
          <w:p>
            <w:pPr>
              <w:spacing w:after="40" w:before="40"/>
            </w:pPr>
            <w:r/>
            <w:r>
              <w:rPr>
                <w:b w:val="0"/>
                <w:sz w:val="19"/>
              </w:rPr>
              <w:t>Section 5. Each member enters their own hours there from their own sheet in project-plan/Sampletasklist.xlsx, and the table is completed before the 3 November submission.</w:t>
            </w:r>
          </w:p>
        </w:tc>
      </w:tr>
    </w:tbl>
    <w:p>
      <w:pPr>
        <w:spacing w:after="0"/>
      </w:pPr>
    </w:p>
    <w:p>
      <w:pPr>
        <w:pStyle w:val="Heading1"/>
      </w:pPr>
      <w:r>
        <w:t>9. Course marking criteria (retained from the assignment)</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728"/>
            <w:shd w:val="clear" w:color="auto" w:fill="1F3B57"/>
          </w:tcPr>
          <w:p>
            <w:pPr>
              <w:spacing w:after="40" w:before="40"/>
            </w:pPr>
            <w:r>
              <w:rPr>
                <w:color w:val="FFFFFF"/>
              </w:rPr>
            </w:r>
            <w:r>
              <w:rPr>
                <w:b/>
                <w:color w:val="FFFFFF"/>
                <w:sz w:val="19"/>
              </w:rPr>
              <w:t>Item</w:t>
            </w:r>
          </w:p>
        </w:tc>
        <w:tc>
          <w:tcPr>
            <w:tcW w:type="dxa" w:w="1670"/>
            <w:shd w:val="clear" w:color="auto" w:fill="1F3B57"/>
          </w:tcPr>
          <w:p>
            <w:pPr>
              <w:spacing w:after="40" w:before="40"/>
            </w:pPr>
            <w:r>
              <w:rPr>
                <w:color w:val="FFFFFF"/>
              </w:rPr>
            </w:r>
            <w:r>
              <w:rPr>
                <w:b/>
                <w:color w:val="FFFFFF"/>
                <w:sz w:val="19"/>
              </w:rPr>
              <w:t>4</w:t>
            </w:r>
          </w:p>
        </w:tc>
        <w:tc>
          <w:tcPr>
            <w:tcW w:type="dxa" w:w="1670"/>
            <w:shd w:val="clear" w:color="auto" w:fill="1F3B57"/>
          </w:tcPr>
          <w:p>
            <w:pPr>
              <w:spacing w:after="40" w:before="40"/>
            </w:pPr>
            <w:r>
              <w:rPr>
                <w:color w:val="FFFFFF"/>
              </w:rPr>
            </w:r>
            <w:r>
              <w:rPr>
                <w:b/>
                <w:color w:val="FFFFFF"/>
                <w:sz w:val="19"/>
              </w:rPr>
              <w:t>3</w:t>
            </w:r>
          </w:p>
        </w:tc>
        <w:tc>
          <w:tcPr>
            <w:tcW w:type="dxa" w:w="1670"/>
            <w:shd w:val="clear" w:color="auto" w:fill="1F3B57"/>
          </w:tcPr>
          <w:p>
            <w:pPr>
              <w:spacing w:after="40" w:before="40"/>
            </w:pPr>
            <w:r>
              <w:rPr>
                <w:color w:val="FFFFFF"/>
              </w:rPr>
            </w:r>
            <w:r>
              <w:rPr>
                <w:b/>
                <w:color w:val="FFFFFF"/>
                <w:sz w:val="19"/>
              </w:rPr>
              <w:t>2</w:t>
            </w:r>
          </w:p>
        </w:tc>
        <w:tc>
          <w:tcPr>
            <w:tcW w:type="dxa" w:w="1670"/>
            <w:shd w:val="clear" w:color="auto" w:fill="1F3B57"/>
          </w:tcPr>
          <w:p>
            <w:pPr>
              <w:spacing w:after="40" w:before="40"/>
            </w:pPr>
            <w:r>
              <w:rPr>
                <w:color w:val="FFFFFF"/>
              </w:rPr>
            </w:r>
            <w:r>
              <w:rPr>
                <w:b/>
                <w:color w:val="FFFFFF"/>
                <w:sz w:val="19"/>
              </w:rPr>
              <w:t>1</w:t>
            </w:r>
          </w:p>
        </w:tc>
        <w:tc>
          <w:tcPr>
            <w:tcW w:type="dxa" w:w="1670"/>
            <w:shd w:val="clear" w:color="auto" w:fill="1F3B57"/>
          </w:tcPr>
          <w:p>
            <w:pPr>
              <w:spacing w:after="40" w:before="40"/>
            </w:pPr>
            <w:r>
              <w:rPr>
                <w:color w:val="FFFFFF"/>
              </w:rPr>
            </w:r>
            <w:r>
              <w:rPr>
                <w:b/>
                <w:color w:val="FFFFFF"/>
                <w:sz w:val="19"/>
              </w:rPr>
              <w:t>0</w:t>
            </w:r>
          </w:p>
        </w:tc>
      </w:tr>
      <w:tr>
        <w:tc>
          <w:tcPr>
            <w:tcW w:type="dxa" w:w="1728"/>
            <w:shd w:val="clear" w:color="auto" w:fill="EEF2F6"/>
          </w:tcPr>
          <w:p>
            <w:pPr>
              <w:spacing w:after="40" w:before="40"/>
            </w:pPr>
            <w:r/>
            <w:r>
              <w:rPr>
                <w:b/>
                <w:sz w:val="19"/>
              </w:rPr>
              <w:t>Status Update (/20)</w:t>
            </w:r>
          </w:p>
        </w:tc>
        <w:tc>
          <w:tcPr>
            <w:tcW w:type="dxa" w:w="1670"/>
          </w:tcPr>
          <w:p>
            <w:pPr>
              <w:spacing w:after="40" w:before="40"/>
            </w:pPr>
            <w:r/>
            <w:r>
              <w:rPr>
                <w:b w:val="0"/>
                <w:sz w:val="19"/>
              </w:rPr>
              <w:t>The team completed status update per instructions, incorporating all relevant adjustments from previous sprint. (20 p.)</w:t>
            </w:r>
          </w:p>
        </w:tc>
        <w:tc>
          <w:tcPr>
            <w:tcW w:type="dxa" w:w="1670"/>
          </w:tcPr>
          <w:p>
            <w:pPr>
              <w:spacing w:after="40" w:before="40"/>
            </w:pPr>
            <w:r/>
            <w:r>
              <w:rPr>
                <w:b w:val="0"/>
                <w:sz w:val="19"/>
              </w:rPr>
              <w:t>The team completed status update per instructions, incorporating some relevant adjustments from previous sprint. (16 p.)</w:t>
            </w:r>
          </w:p>
        </w:tc>
        <w:tc>
          <w:tcPr>
            <w:tcW w:type="dxa" w:w="1670"/>
          </w:tcPr>
          <w:p>
            <w:pPr>
              <w:spacing w:after="40" w:before="40"/>
            </w:pPr>
            <w:r/>
            <w:r>
              <w:rPr>
                <w:b w:val="0"/>
                <w:sz w:val="19"/>
              </w:rPr>
              <w:t>The team completed status update per instructions, but did not incorporate any adjustments from previous sprint. (13 p.)</w:t>
            </w:r>
          </w:p>
        </w:tc>
        <w:tc>
          <w:tcPr>
            <w:tcW w:type="dxa" w:w="1670"/>
          </w:tcPr>
          <w:p>
            <w:pPr>
              <w:spacing w:after="40" w:before="40"/>
            </w:pPr>
            <w:r/>
            <w:r>
              <w:rPr>
                <w:b w:val="0"/>
                <w:sz w:val="19"/>
              </w:rPr>
              <w:t>The team completed status update, but instructions were not followed. (10 p.)</w:t>
            </w:r>
          </w:p>
        </w:tc>
        <w:tc>
          <w:tcPr>
            <w:tcW w:type="dxa" w:w="1670"/>
          </w:tcPr>
          <w:p>
            <w:pPr>
              <w:spacing w:after="40" w:before="40"/>
            </w:pPr>
            <w:r/>
            <w:r>
              <w:rPr>
                <w:b w:val="0"/>
                <w:sz w:val="19"/>
              </w:rPr>
              <w:t>The team did not complete status update. (0 p.)</w:t>
            </w:r>
          </w:p>
        </w:tc>
      </w:tr>
      <w:tr>
        <w:tc>
          <w:tcPr>
            <w:tcW w:type="dxa" w:w="1728"/>
            <w:shd w:val="clear" w:color="auto" w:fill="EEF2F6"/>
          </w:tcPr>
          <w:p>
            <w:pPr>
              <w:spacing w:after="40" w:before="40"/>
            </w:pPr>
            <w:r/>
            <w:r>
              <w:rPr>
                <w:b/>
                <w:sz w:val="19"/>
              </w:rPr>
              <w:t>Documentation Update — project management plan, backlog, etc. (/10)</w:t>
            </w:r>
          </w:p>
        </w:tc>
        <w:tc>
          <w:tcPr>
            <w:tcW w:type="dxa" w:w="1670"/>
          </w:tcPr>
          <w:p>
            <w:pPr>
              <w:spacing w:after="40" w:before="40"/>
            </w:pPr>
            <w:r/>
            <w:r>
              <w:rPr>
                <w:b w:val="0"/>
                <w:sz w:val="19"/>
              </w:rPr>
              <w:t>The team updated all the necessary documentation, considering all relevant feedback from stakeholders and peers. Each team member was able to account for 25 hours of effort. (10 p.)</w:t>
            </w:r>
          </w:p>
        </w:tc>
        <w:tc>
          <w:tcPr>
            <w:tcW w:type="dxa" w:w="1670"/>
          </w:tcPr>
          <w:p>
            <w:pPr>
              <w:spacing w:after="40" w:before="40"/>
            </w:pPr>
            <w:r/>
            <w:r>
              <w:rPr>
                <w:b w:val="0"/>
                <w:sz w:val="19"/>
              </w:rPr>
              <w:t>The team updated all the necessary documentation, considering some relevant feedback from stakeholders and peers. Each team member was able to account for 25 hours of effort. (8 p.)</w:t>
            </w:r>
          </w:p>
        </w:tc>
        <w:tc>
          <w:tcPr>
            <w:tcW w:type="dxa" w:w="1670"/>
          </w:tcPr>
          <w:p>
            <w:pPr>
              <w:spacing w:after="40" w:before="40"/>
            </w:pPr>
            <w:r/>
            <w:r>
              <w:rPr>
                <w:b w:val="0"/>
                <w:sz w:val="19"/>
              </w:rPr>
              <w:t>The team updated some of the documentation, considering relevant feedback from stakeholders and peers. Most team members were able to account for 25 hours of effort. (6 p.)</w:t>
            </w:r>
          </w:p>
        </w:tc>
        <w:tc>
          <w:tcPr>
            <w:tcW w:type="dxa" w:w="1670"/>
          </w:tcPr>
          <w:p>
            <w:pPr>
              <w:spacing w:after="40" w:before="40"/>
            </w:pPr>
            <w:r/>
            <w:r>
              <w:rPr>
                <w:b w:val="0"/>
                <w:sz w:val="19"/>
              </w:rPr>
              <w:t>The team updated some of the documentation, but the feedback from stakeholders and peers was not considered. Most team members were not able to account for 25 hours of effort. (5 p.)</w:t>
            </w:r>
          </w:p>
        </w:tc>
        <w:tc>
          <w:tcPr>
            <w:tcW w:type="dxa" w:w="1670"/>
          </w:tcPr>
          <w:p>
            <w:pPr>
              <w:spacing w:after="40" w:before="40"/>
            </w:pPr>
            <w:r/>
            <w:r>
              <w:rPr>
                <w:b w:val="0"/>
                <w:sz w:val="19"/>
              </w:rPr>
              <w:t>The team did not update the documentation to reflect changes in the project. (0 p.)</w:t>
            </w:r>
          </w:p>
        </w:tc>
      </w:tr>
      <w:tr>
        <w:tc>
          <w:tcPr>
            <w:tcW w:type="dxa" w:w="1728"/>
            <w:shd w:val="clear" w:color="auto" w:fill="EEF2F6"/>
          </w:tcPr>
          <w:p>
            <w:pPr>
              <w:spacing w:after="40" w:before="40"/>
            </w:pPr>
            <w:r/>
            <w:r>
              <w:rPr>
                <w:b/>
                <w:sz w:val="19"/>
              </w:rPr>
              <w:t>Score</w:t>
            </w:r>
          </w:p>
        </w:tc>
        <w:tc>
          <w:tcPr>
            <w:tcW w:type="dxa" w:w="1670"/>
          </w:tcPr>
          <w:p>
            <w:pPr>
              <w:spacing w:after="40" w:before="40"/>
            </w:pPr>
            <w:r/>
            <w:r>
              <w:rPr>
                <w:b w:val="0"/>
                <w:sz w:val="19"/>
              </w:rPr>
            </w:r>
          </w:p>
        </w:tc>
        <w:tc>
          <w:tcPr>
            <w:tcW w:type="dxa" w:w="1670"/>
          </w:tcPr>
          <w:p>
            <w:pPr>
              <w:spacing w:after="40" w:before="40"/>
            </w:pPr>
            <w:r/>
            <w:r>
              <w:rPr>
                <w:b w:val="0"/>
                <w:sz w:val="19"/>
              </w:rPr>
            </w:r>
          </w:p>
        </w:tc>
        <w:tc>
          <w:tcPr>
            <w:tcW w:type="dxa" w:w="1670"/>
          </w:tcPr>
          <w:p>
            <w:pPr>
              <w:spacing w:after="40" w:before="40"/>
            </w:pPr>
            <w:r/>
            <w:r>
              <w:rPr>
                <w:b w:val="0"/>
                <w:sz w:val="19"/>
              </w:rPr>
            </w:r>
          </w:p>
        </w:tc>
        <w:tc>
          <w:tcPr>
            <w:tcW w:type="dxa" w:w="1670"/>
          </w:tcPr>
          <w:p>
            <w:pPr>
              <w:spacing w:after="40" w:before="40"/>
            </w:pPr>
            <w:r/>
            <w:r>
              <w:rPr>
                <w:b w:val="0"/>
                <w:sz w:val="19"/>
              </w:rPr>
            </w:r>
          </w:p>
        </w:tc>
        <w:tc>
          <w:tcPr>
            <w:tcW w:type="dxa" w:w="1670"/>
          </w:tcPr>
          <w:p>
            <w:pPr>
              <w:spacing w:after="40" w:before="40"/>
            </w:pPr>
            <w:r/>
            <w:r>
              <w:rPr>
                <w:b w:val="0"/>
                <w:sz w:val="19"/>
              </w:rPr>
              <w:t>/ 30</w:t>
            </w:r>
          </w:p>
        </w:tc>
      </w:tr>
    </w:tbl>
    <w:p>
      <w:pPr>
        <w:spacing w:after="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B57"/>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B5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