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AIIA-CTMS Technical Glossary</w:t>
      </w:r>
    </w:p>
    <w:p>
      <w:pPr>
        <w:spacing w:after="240"/>
      </w:pPr>
      <w:r>
        <w:t>A comprehensive reference of all technical terms, concepts, and acronyms used in the SIH 2026 Clinical Trials Management System project.</w:t>
      </w:r>
    </w:p>
    <w:p>
      <w:pPr>
        <w:pStyle w:val="Heading1"/>
      </w:pPr>
      <w:r>
        <w:t>1. Regulatory &amp; Compliance Terms</w:t>
      </w:r>
    </w:p>
    <w:p>
      <w:r>
        <w:rPr>
          <w:b/>
        </w:rPr>
        <w:t>CTRI</w:t>
      </w:r>
      <w:r>
        <w:t>: Clinical Trials Registry - India. The official Indian registry for clinical trials; required for trial registration in India.</w:t>
      </w:r>
    </w:p>
    <w:p>
      <w:r>
        <w:rPr>
          <w:b/>
        </w:rPr>
        <w:t>NDCT Rules 2019</w:t>
      </w:r>
      <w:r>
        <w:t>: National Database of Clinical Trials Rules, 2019. Defines regulatory requirements and timelines for clinical trial reporting and AE/SAE escalation in India.</w:t>
      </w:r>
    </w:p>
    <w:p>
      <w:r>
        <w:rPr>
          <w:b/>
        </w:rPr>
        <w:t>GCP</w:t>
      </w:r>
      <w:r>
        <w:t>: Good Clinical Practice. International standard for ethical and scientific quality requirements for designing, conducting, recording, and reporting trials.</w:t>
      </w:r>
    </w:p>
    <w:p>
      <w:r>
        <w:rPr>
          <w:b/>
        </w:rPr>
        <w:t>GCP-ASU</w:t>
      </w:r>
      <w:r>
        <w:t>: Good Clinical Practice guidelines specific to Ayurveda, Siddha, and Unani systems of medicine as per ICMR standards.</w:t>
      </w:r>
    </w:p>
    <w:p>
      <w:r>
        <w:rPr>
          <w:b/>
        </w:rPr>
        <w:t>IEC</w:t>
      </w:r>
      <w:r>
        <w:t>: Institutional Ethics Committee. The body responsible for reviewing and approving clinical trial protocols, amendments, and adverse event reports.</w:t>
      </w:r>
    </w:p>
    <w:p>
      <w:r>
        <w:rPr>
          <w:b/>
        </w:rPr>
        <w:t>ICMR</w:t>
      </w:r>
      <w:r>
        <w:t>: Indian Council of Medical Research. A premier research body that sets guidelines for clinical research in India.</w:t>
      </w:r>
    </w:p>
    <w:p>
      <w:r>
        <w:rPr>
          <w:b/>
        </w:rPr>
        <w:t>ICH Guidelines</w:t>
      </w:r>
      <w:r>
        <w:t>: International Council for Harmonisation guidelines. Global standards for clinical trial conduct and reporting.</w:t>
      </w:r>
    </w:p>
    <w:p>
      <w:r>
        <w:rPr>
          <w:b/>
        </w:rPr>
        <w:t>SAE</w:t>
      </w:r>
      <w:r>
        <w:t>: Serious Adverse Event. An unintended harmful reaction to a study drug that is serious (hospitalization, disability, death, etc.).</w:t>
      </w:r>
    </w:p>
    <w:p>
      <w:r>
        <w:rPr>
          <w:b/>
        </w:rPr>
        <w:t>AE</w:t>
      </w:r>
      <w:r>
        <w:t>: Adverse Event. Any undesirable experience by a subject during a clinical trial, regardless of whether it is related to the study drug.</w:t>
      </w:r>
    </w:p>
    <w:p>
      <w:r>
        <w:rPr>
          <w:b/>
        </w:rPr>
        <w:t>Causality Assessment</w:t>
      </w:r>
      <w:r>
        <w:t>: Determination of the relationship between a drug and an adverse event (Certain, Probable, Possible, Unlikely, or Unrelated).</w:t>
      </w:r>
    </w:p>
    <w:p>
      <w:r>
        <w:rPr>
          <w:b/>
        </w:rPr>
        <w:t>Data Minimization</w:t>
      </w:r>
      <w:r>
        <w:t>: Security principle of collecting and storing only the minimum personal data necessary for a specific purpose.</w:t>
      </w:r>
    </w:p>
    <w:p>
      <w:pPr>
        <w:pStyle w:val="Heading1"/>
      </w:pPr>
      <w:r>
        <w:t>2. Clinical Research &amp; Trial Management</w:t>
      </w:r>
    </w:p>
    <w:p>
      <w:r>
        <w:rPr>
          <w:b/>
        </w:rPr>
        <w:t>Study / Trial</w:t>
      </w:r>
      <w:r>
        <w:t>: A research investigation on human subjects following a predetermined protocol to evaluate safety and/or efficacy of an intervention.</w:t>
      </w:r>
    </w:p>
    <w:p>
      <w:r>
        <w:rPr>
          <w:b/>
        </w:rPr>
        <w:t>Principal Investigator (PI)</w:t>
      </w:r>
      <w:r>
        <w:t>: The lead researcher responsible for conducting a trial at a site, enrolling subjects, and collecting data.</w:t>
      </w:r>
    </w:p>
    <w:p>
      <w:r>
        <w:rPr>
          <w:b/>
        </w:rPr>
        <w:t>Subject / Participant</w:t>
      </w:r>
      <w:r>
        <w:t>: An individual enrolled in a clinical trial. De-identified using system-generated unique IDs to protect privacy.</w:t>
      </w:r>
    </w:p>
    <w:p>
      <w:r>
        <w:rPr>
          <w:b/>
        </w:rPr>
        <w:t>De-identification</w:t>
      </w:r>
      <w:r>
        <w:t>: Removal or encryption of personally identifiable information (PII) to protect subject privacy; data is identified only by a unique system ID.</w:t>
      </w:r>
    </w:p>
    <w:p>
      <w:r>
        <w:rPr>
          <w:b/>
        </w:rPr>
        <w:t>Enrollment Status</w:t>
      </w:r>
      <w:r>
        <w:t>: Current status of a subject in the trial: Screened, Randomized, Completed, or Withdrawn.</w:t>
      </w:r>
    </w:p>
    <w:p>
      <w:r>
        <w:rPr>
          <w:b/>
        </w:rPr>
        <w:t>Screening</w:t>
      </w:r>
      <w:r>
        <w:t>: Initial assessment of potential subjects to determine eligibility for trial participation.</w:t>
      </w:r>
    </w:p>
    <w:p>
      <w:r>
        <w:rPr>
          <w:b/>
        </w:rPr>
        <w:t>Randomization</w:t>
      </w:r>
      <w:r>
        <w:t>: Process of assigning subjects to treatment groups in a way determined by chance, not by any deliberate decision.</w:t>
      </w:r>
    </w:p>
    <w:p>
      <w:r>
        <w:rPr>
          <w:b/>
        </w:rPr>
        <w:t>Consent / Informed Consent</w:t>
      </w:r>
      <w:r>
        <w:t>: Documented agreement by a subject to participate in a trial after being fully informed of its nature, risks, and benefits.</w:t>
      </w:r>
    </w:p>
    <w:p>
      <w:r>
        <w:rPr>
          <w:b/>
        </w:rPr>
        <w:t>Protocol</w:t>
      </w:r>
      <w:r>
        <w:t>: Detailed plan describing all aspects of a clinical trial, including objectives, design, methodology, statistical analysis, and ethical considerations.</w:t>
      </w:r>
    </w:p>
    <w:p>
      <w:r>
        <w:rPr>
          <w:b/>
        </w:rPr>
        <w:t>Protocol Deviation</w:t>
      </w:r>
      <w:r>
        <w:t>: Unintended or unapproved deviation from the study protocol; must be documented and reviewed by IEC.</w:t>
      </w:r>
    </w:p>
    <w:p>
      <w:r>
        <w:rPr>
          <w:b/>
        </w:rPr>
        <w:t>Milestone</w:t>
      </w:r>
      <w:r>
        <w:t>: Key event or deadline in the trial timeline (e.g., protocol approval, enrollment start, interim analysis, trial closure).</w:t>
      </w:r>
    </w:p>
    <w:p>
      <w:r>
        <w:rPr>
          <w:b/>
        </w:rPr>
        <w:t>Therapeutic Area</w:t>
      </w:r>
      <w:r>
        <w:t>: Medical specialty or disease category for the trial (e.g., Cardiology, Rheumatology, Gastrointestinal).</w:t>
      </w:r>
    </w:p>
    <w:p>
      <w:r>
        <w:rPr>
          <w:b/>
        </w:rPr>
        <w:t>Dosha Profile</w:t>
      </w:r>
      <w:r>
        <w:t>: Ayurveda-specific categorization of a subjects constitution (Vata, Pitta, Kapha) used for baseline characterization.</w:t>
      </w:r>
    </w:p>
    <w:p>
      <w:pPr>
        <w:pStyle w:val="Heading1"/>
      </w:pPr>
      <w:r>
        <w:t>3. CDISC Data Standards</w:t>
      </w:r>
    </w:p>
    <w:p>
      <w:r>
        <w:rPr>
          <w:b/>
        </w:rPr>
        <w:t>CDISC</w:t>
      </w:r>
      <w:r>
        <w:t>: Clinical Data Interchange Standards Consortium. International organization setting standards for clinical research data.</w:t>
      </w:r>
    </w:p>
    <w:p>
      <w:r>
        <w:rPr>
          <w:b/>
        </w:rPr>
        <w:t>CDASH</w:t>
      </w:r>
      <w:r>
        <w:t>: Clinical Data Acquisition Standards Harmonization. Standard for electronic case report form (eCRF) field design and data capture.</w:t>
      </w:r>
    </w:p>
    <w:p>
      <w:r>
        <w:rPr>
          <w:b/>
        </w:rPr>
        <w:t>SDTM</w:t>
      </w:r>
      <w:r>
        <w:t>: Study Data Tabulation Model. Standard for organizing and structuring study data for regulatory submission.</w:t>
      </w:r>
    </w:p>
    <w:p>
      <w:r>
        <w:rPr>
          <w:b/>
        </w:rPr>
        <w:t>SDTM Domains</w:t>
      </w:r>
      <w:r>
        <w:t>: Categories of data in the SDTM structure: DM (Demographics), AE (Adverse Events), VS (Vital Signs), CM (Concomitant Medications), etc.</w:t>
      </w:r>
    </w:p>
    <w:p>
      <w:r>
        <w:rPr>
          <w:b/>
        </w:rPr>
        <w:t>DM Domain</w:t>
      </w:r>
      <w:r>
        <w:t>: Demographics domain in SDTM; contains subject baseline characteristics like age, sex, race, enrollment status.</w:t>
      </w:r>
    </w:p>
    <w:p>
      <w:r>
        <w:rPr>
          <w:b/>
        </w:rPr>
        <w:t>AE Domain</w:t>
      </w:r>
      <w:r>
        <w:t>: Adverse Events domain in SDTM; contains all recorded adverse events and their attributes.</w:t>
      </w:r>
    </w:p>
    <w:p>
      <w:r>
        <w:rPr>
          <w:b/>
        </w:rPr>
        <w:t>VS Domain</w:t>
      </w:r>
      <w:r>
        <w:t>: Vital Signs domain in SDTM; contains physiological measurements like blood pressure, heart rate, temperature.</w:t>
      </w:r>
    </w:p>
    <w:p>
      <w:r>
        <w:rPr>
          <w:b/>
        </w:rPr>
        <w:t>CM Domain</w:t>
      </w:r>
      <w:r>
        <w:t>: Concomitant Medications domain in SDTM; contains non-study medications taken by subjects during the trial.</w:t>
      </w:r>
    </w:p>
    <w:p>
      <w:r>
        <w:rPr>
          <w:b/>
        </w:rPr>
        <w:t>USUBJID</w:t>
      </w:r>
      <w:r>
        <w:t>: Unique Subject Identifier; the unique de-identified ID assigned to each subject in the study.</w:t>
      </w:r>
    </w:p>
    <w:p>
      <w:r>
        <w:rPr>
          <w:b/>
        </w:rPr>
        <w:t>Define-XML</w:t>
      </w:r>
      <w:r>
        <w:t>: Standard for documenting metadata about SDTM datasets, including variable definitions, value lists, and computations for regulatory submission.</w:t>
      </w:r>
    </w:p>
    <w:p>
      <w:r>
        <w:rPr>
          <w:b/>
        </w:rPr>
        <w:t>eCRF</w:t>
      </w:r>
      <w:r>
        <w:t>: Electronic Case Report Form. Digital form for capturing study data at the point of care, based on CDASH standards.</w:t>
      </w:r>
    </w:p>
    <w:p>
      <w:r>
        <w:rPr>
          <w:b/>
        </w:rPr>
        <w:t>Data Query</w:t>
      </w:r>
      <w:r>
        <w:t>: Request from data manager to site or investigator to clarify, verify, or correct submitted data.</w:t>
      </w:r>
    </w:p>
    <w:p>
      <w:pPr>
        <w:pStyle w:val="Heading1"/>
      </w:pPr>
      <w:r>
        <w:t>4. Technical Architecture &amp; Infrastructure</w:t>
      </w:r>
    </w:p>
    <w:p>
      <w:r>
        <w:rPr>
          <w:b/>
        </w:rPr>
        <w:t>REST API</w:t>
      </w:r>
      <w:r>
        <w:t>: Representational State Transfer API. Web service that uses HTTP methods (GET, POST, PUT, DELETE) to perform CRUD operations.</w:t>
      </w:r>
    </w:p>
    <w:p>
      <w:r>
        <w:rPr>
          <w:b/>
        </w:rPr>
        <w:t>OAuth2</w:t>
      </w:r>
      <w:r>
        <w:t>: Industry-standard authorization protocol allowing users to authenticate and grant permissions without sharing passwords.</w:t>
      </w:r>
    </w:p>
    <w:p>
      <w:r>
        <w:rPr>
          <w:b/>
        </w:rPr>
        <w:t>OpenID Connect</w:t>
      </w:r>
      <w:r>
        <w:t>: Authentication layer built on top of OAuth2, used for user identity verification.</w:t>
      </w:r>
    </w:p>
    <w:p>
      <w:r>
        <w:rPr>
          <w:b/>
        </w:rPr>
        <w:t>JWT</w:t>
      </w:r>
      <w:r>
        <w:t>: JSON Web Token. Compact token format for securely transmitting claims between parties; used for session management.</w:t>
      </w:r>
    </w:p>
    <w:p>
      <w:r>
        <w:rPr>
          <w:b/>
        </w:rPr>
        <w:t>MFA</w:t>
      </w:r>
      <w:r>
        <w:t>: Multi-Factor Authentication. Security mechanism requiring two or more verification methods (e.g., password + TOTP code).</w:t>
      </w:r>
    </w:p>
    <w:p>
      <w:r>
        <w:rPr>
          <w:b/>
        </w:rPr>
        <w:t>TOTP</w:t>
      </w:r>
      <w:r>
        <w:t>: Time-based One-Time Password. A type of two-factor authentication that generates temporary codes every 30 seconds.</w:t>
      </w:r>
    </w:p>
    <w:p>
      <w:r>
        <w:rPr>
          <w:b/>
        </w:rPr>
        <w:t>RBAC</w:t>
      </w:r>
      <w:r>
        <w:t>: Role-Based Access Control. Security model restricting system access based on user roles (PI, IEC, DataManager, etc.).</w:t>
      </w:r>
    </w:p>
    <w:p>
      <w:r>
        <w:rPr>
          <w:b/>
        </w:rPr>
        <w:t>TLS 1.2+</w:t>
      </w:r>
      <w:r>
        <w:t>: Transport Layer Security. Encryption protocol for secure communication over HTTPS; version 1.2 or higher for modern security standards.</w:t>
      </w:r>
    </w:p>
    <w:p>
      <w:r>
        <w:rPr>
          <w:b/>
        </w:rPr>
        <w:t>AES-256</w:t>
      </w:r>
      <w:r>
        <w:t>: Advanced Encryption Standard with 256-bit key length. Encryption algorithm for protecting sensitive data at rest.</w:t>
      </w:r>
    </w:p>
    <w:p>
      <w:r>
        <w:rPr>
          <w:b/>
        </w:rPr>
        <w:t>Parameterized Queries</w:t>
      </w:r>
      <w:r>
        <w:t>: SQL queries with placeholders for values, preventing SQL injection attacks by separating code from data.</w:t>
      </w:r>
    </w:p>
    <w:p>
      <w:r>
        <w:rPr>
          <w:b/>
        </w:rPr>
        <w:t>PostgreSQL</w:t>
      </w:r>
      <w:r>
        <w:t>: Open-source relational database system; primary data store for the AIIA-CTMS backend.</w:t>
      </w:r>
    </w:p>
    <w:p>
      <w:r>
        <w:rPr>
          <w:b/>
        </w:rPr>
        <w:t>S3-Compatible Storage</w:t>
      </w:r>
      <w:r>
        <w:t>: Object storage service compatible with Amazon S3 API for storing documents, PDFs, and consent forms.</w:t>
      </w:r>
    </w:p>
    <w:p>
      <w:r>
        <w:rPr>
          <w:b/>
        </w:rPr>
        <w:t>Docker</w:t>
      </w:r>
      <w:r>
        <w:t>: Containerization technology for packaging applications and dependencies in isolated containers.</w:t>
      </w:r>
    </w:p>
    <w:p>
      <w:r>
        <w:rPr>
          <w:b/>
        </w:rPr>
        <w:t>Cloud Hosting</w:t>
      </w:r>
      <w:r>
        <w:t>: Deployment of application on cloud platforms (GCP, Azure) with automatic scaling and managed services.</w:t>
      </w:r>
    </w:p>
    <w:p>
      <w:pPr>
        <w:pStyle w:val="Heading1"/>
      </w:pPr>
      <w:r>
        <w:t>5. FHIR &amp; Interoperability</w:t>
      </w:r>
    </w:p>
    <w:p>
      <w:r>
        <w:rPr>
          <w:b/>
        </w:rPr>
        <w:t>FHIR</w:t>
      </w:r>
      <w:r>
        <w:t>: Fast Healthcare Interoperability Resources (HL7 FHIR R4). Modern standard for exchanging healthcare data across systems.</w:t>
      </w:r>
    </w:p>
    <w:p>
      <w:r>
        <w:rPr>
          <w:b/>
        </w:rPr>
        <w:t>FHIR R4</w:t>
      </w:r>
      <w:r>
        <w:t>: Release 4 of FHIR; the current stable version with comprehensive resource definitions for healthcare entities.</w:t>
      </w:r>
    </w:p>
    <w:p>
      <w:r>
        <w:rPr>
          <w:b/>
        </w:rPr>
        <w:t>HAPI FHIR</w:t>
      </w:r>
      <w:r>
        <w:t>: Open-source Java framework for building and consuming FHIR APIs; used as the FHIR gateway in AIIA-CTMS.</w:t>
      </w:r>
    </w:p>
    <w:p>
      <w:r>
        <w:rPr>
          <w:b/>
        </w:rPr>
        <w:t>Patient Resource</w:t>
      </w:r>
      <w:r>
        <w:t>: FHIR resource representing demographic and administrative information about a subject/patient.</w:t>
      </w:r>
    </w:p>
    <w:p>
      <w:r>
        <w:rPr>
          <w:b/>
        </w:rPr>
        <w:t>AdverseEvent Resource</w:t>
      </w:r>
      <w:r>
        <w:t>: FHIR resource representing an adverse event occurrence with details on causality, severity, and outcome.</w:t>
      </w:r>
    </w:p>
    <w:p>
      <w:r>
        <w:rPr>
          <w:b/>
        </w:rPr>
        <w:t>ResearchStudy Resource</w:t>
      </w:r>
      <w:r>
        <w:t>: FHIR resource representing a clinical research study with metadata on objectives, phases, and participants.</w:t>
      </w:r>
    </w:p>
    <w:p>
      <w:r>
        <w:rPr>
          <w:b/>
        </w:rPr>
        <w:t>Location Resource</w:t>
      </w:r>
      <w:r>
        <w:t>: FHIR resource representing a physical site or facility (e.g., research center location).</w:t>
      </w:r>
    </w:p>
    <w:p>
      <w:r>
        <w:rPr>
          <w:b/>
        </w:rPr>
        <w:t>Organization Resource</w:t>
      </w:r>
      <w:r>
        <w:t>: FHIR resource representing an organization (e.g., Ministry of Ayush, AIIA, hospital).</w:t>
      </w:r>
    </w:p>
    <w:p>
      <w:r>
        <w:rPr>
          <w:b/>
        </w:rPr>
        <w:t>ABDM</w:t>
      </w:r>
      <w:r>
        <w:t>: Ayushman Bharat Digital Mission. Indias health data exchange framework; AIIA-CTMS has stub integration for future linking.</w:t>
      </w:r>
    </w:p>
    <w:p>
      <w:r>
        <w:rPr>
          <w:b/>
        </w:rPr>
        <w:t>Health ID</w:t>
      </w:r>
      <w:r>
        <w:t>: Unique identifier in the ABDM ecosystem linking a citizen to their electronic health records.</w:t>
      </w:r>
    </w:p>
    <w:p>
      <w:r>
        <w:rPr>
          <w:b/>
        </w:rPr>
        <w:t>Interoperability</w:t>
      </w:r>
      <w:r>
        <w:t>: Ability of different systems to exchange and use data seamlessly; FHIR enables this across healthcare IT systems.</w:t>
      </w:r>
    </w:p>
    <w:p>
      <w:pPr>
        <w:pStyle w:val="Heading1"/>
      </w:pPr>
      <w:r>
        <w:t>6. Database &amp; Data Management</w:t>
      </w:r>
    </w:p>
    <w:p>
      <w:r>
        <w:rPr>
          <w:b/>
        </w:rPr>
        <w:t>Entity-Relationship Model</w:t>
      </w:r>
      <w:r>
        <w:t>: Database design approach using entities (tables) and their relationships (foreign keys) to structure data.</w:t>
      </w:r>
    </w:p>
    <w:p>
      <w:r>
        <w:rPr>
          <w:b/>
        </w:rPr>
        <w:t>Primary Key (PK)</w:t>
      </w:r>
      <w:r>
        <w:t>: Unique identifier for each record in a table; ensures uniqueness and enables fast lookups.</w:t>
      </w:r>
    </w:p>
    <w:p>
      <w:r>
        <w:rPr>
          <w:b/>
        </w:rPr>
        <w:t>Foreign Key (FK)</w:t>
      </w:r>
      <w:r>
        <w:t>: Reference to a primary key in another table, establishing relationships between entities.</w:t>
      </w:r>
    </w:p>
    <w:p>
      <w:r>
        <w:rPr>
          <w:b/>
        </w:rPr>
        <w:t>Schema</w:t>
      </w:r>
      <w:r>
        <w:t>: Logical blueprint of a database defining tables, columns, data types, constraints, and relationships.</w:t>
      </w:r>
    </w:p>
    <w:p>
      <w:r>
        <w:rPr>
          <w:b/>
        </w:rPr>
        <w:t>Audit Log</w:t>
      </w:r>
      <w:r>
        <w:t>: Tamper-evident record of all changes to data, including who made the change, when, what changed, and before/after values.</w:t>
      </w:r>
    </w:p>
    <w:p>
      <w:r>
        <w:rPr>
          <w:b/>
        </w:rPr>
        <w:t>Hash Chain</w:t>
      </w:r>
      <w:r>
        <w:t>: Cryptographic technique linking audit records by including a hash of the previous record in the current one, detecting tampering.</w:t>
      </w:r>
    </w:p>
    <w:p>
      <w:r>
        <w:rPr>
          <w:b/>
        </w:rPr>
        <w:t>Record Hash</w:t>
      </w:r>
      <w:r>
        <w:t>: Cryptographic hash computed from audit record data plus the previous record hash; used for tamper-evidence.</w:t>
      </w:r>
    </w:p>
    <w:p>
      <w:r>
        <w:rPr>
          <w:b/>
        </w:rPr>
        <w:t>Immutable Audit Trail</w:t>
      </w:r>
      <w:r>
        <w:t>: Audit log that cannot be modified or deleted after creation, ensuring integrity and regulatory compliance.</w:t>
      </w:r>
    </w:p>
    <w:p>
      <w:r>
        <w:rPr>
          <w:b/>
        </w:rPr>
        <w:t>Data Completeness</w:t>
      </w:r>
      <w:r>
        <w:t>: Percentage of required fields populated for a subject or dataset; tracked per SDTM domain.</w:t>
      </w:r>
    </w:p>
    <w:p>
      <w:r>
        <w:rPr>
          <w:b/>
        </w:rPr>
        <w:t>Data Quality</w:t>
      </w:r>
      <w:r>
        <w:t>: Assessment of whether data is accurate, complete, consistent, and compliant with CDISC standards.</w:t>
      </w:r>
    </w:p>
    <w:p>
      <w:r>
        <w:rPr>
          <w:b/>
        </w:rPr>
        <w:t>Compliance Score</w:t>
      </w:r>
      <w:r>
        <w:t>: Computed metric reflecting adherence to regulatory checkpoints and GCP requirements for a study.</w:t>
      </w:r>
    </w:p>
    <w:p>
      <w:r>
        <w:rPr>
          <w:b/>
        </w:rPr>
        <w:t>Indexing</w:t>
      </w:r>
      <w:r>
        <w:t>: Database optimization technique creating fast lookup structures on frequently queried columns (study_id, subject_id, event_date, etc.).</w:t>
      </w:r>
    </w:p>
    <w:p>
      <w:pPr>
        <w:pStyle w:val="Heading1"/>
      </w:pPr>
      <w:r>
        <w:t>7. Security, Compliance &amp; Audit Concepts</w:t>
      </w:r>
    </w:p>
    <w:p>
      <w:r>
        <w:rPr>
          <w:b/>
        </w:rPr>
        <w:t>Tamper Detection</w:t>
      </w:r>
      <w:r>
        <w:t>: Capability to identify unauthorized or unintended modifications to data using cryptographic hashing and audit trails.</w:t>
      </w:r>
    </w:p>
    <w:p>
      <w:r>
        <w:rPr>
          <w:b/>
        </w:rPr>
        <w:t>Tamper-Evident</w:t>
      </w:r>
      <w:r>
        <w:t>: System design that makes any unauthorized changes immediately detectable; the audit chain breaks if data is modified.</w:t>
      </w:r>
    </w:p>
    <w:p>
      <w:r>
        <w:rPr>
          <w:b/>
        </w:rPr>
        <w:t>PII</w:t>
      </w:r>
      <w:r>
        <w:t>: Personally Identifiable Information. Sensitive data about subjects (name, address, contact) that must be protected and minimized.</w:t>
      </w:r>
    </w:p>
    <w:p>
      <w:r>
        <w:rPr>
          <w:b/>
        </w:rPr>
        <w:t>Subject PII Table</w:t>
      </w:r>
      <w:r>
        <w:t>: Separate database table containing encrypted personally identifiable information, accessed only by authorized roles.</w:t>
      </w:r>
    </w:p>
    <w:p>
      <w:r>
        <w:rPr>
          <w:b/>
        </w:rPr>
        <w:t>Escalation</w:t>
      </w:r>
      <w:r>
        <w:t>: Process of automatically increasing alert level or notification recipients when a critical event (e.g., SAE with missed deadline) occurs.</w:t>
      </w:r>
    </w:p>
    <w:p>
      <w:r>
        <w:rPr>
          <w:b/>
        </w:rPr>
        <w:t>Escalation Level</w:t>
      </w:r>
      <w:r>
        <w:t>: Tier in escalation hierarchy: Level 0 (PI), Level 1 (IEC), Level 2 (Sponsor), Level 3 (NPvCC/Ministry).</w:t>
      </w:r>
    </w:p>
    <w:p>
      <w:r>
        <w:rPr>
          <w:b/>
        </w:rPr>
        <w:t>Deadline Watcher</w:t>
      </w:r>
      <w:r>
        <w:t>: Background job running periodically to check open AE/SAE events against reporting deadlines and trigger escalations.</w:t>
      </w:r>
    </w:p>
    <w:p>
      <w:r>
        <w:rPr>
          <w:b/>
        </w:rPr>
        <w:t>Rules Engine</w:t>
      </w:r>
      <w:r>
        <w:t>: Configurable system that applies regulatory rules (e.g., SAE initial report within 24 hours) to compute deadlines and actions.</w:t>
      </w:r>
    </w:p>
    <w:p>
      <w:r>
        <w:rPr>
          <w:b/>
        </w:rPr>
        <w:t>Permission Matrix</w:t>
      </w:r>
      <w:r>
        <w:t>: Table defining which roles have which permissions (Create, Read, Update, Delete) for each resource type.</w:t>
      </w:r>
    </w:p>
    <w:p>
      <w:r>
        <w:rPr>
          <w:b/>
        </w:rPr>
        <w:t>Session Management</w:t>
      </w:r>
      <w:r>
        <w:t>: Mechanism for tracking authenticated users; typically using JWT tokens or server-side session stores.</w:t>
      </w:r>
    </w:p>
    <w:p>
      <w:r>
        <w:rPr>
          <w:b/>
        </w:rPr>
        <w:t>Data Residency</w:t>
      </w:r>
      <w:r>
        <w:t>: Requirement that data be stored within a specific geographic region (e.g., India) for regulatory compliance.</w:t>
      </w:r>
    </w:p>
    <w:p>
      <w:pPr>
        <w:pStyle w:val="Heading1"/>
      </w:pPr>
      <w:r>
        <w:t>8. System Roles &amp; User Types</w:t>
      </w:r>
    </w:p>
    <w:p>
      <w:r>
        <w:rPr>
          <w:b/>
        </w:rPr>
        <w:t>PI (Principal Investigator)</w:t>
      </w:r>
      <w:r>
        <w:t>: Site-level role responsible for trial conduct, subject enrollment, data entry, and AE/SAE reporting.</w:t>
      </w:r>
    </w:p>
    <w:p>
      <w:r>
        <w:rPr>
          <w:b/>
        </w:rPr>
        <w:t>IEC Member</w:t>
      </w:r>
      <w:r>
        <w:t>: Ethics committee role reviewing protocols, amendments, and adverse events for regulatory approval.</w:t>
      </w:r>
    </w:p>
    <w:p>
      <w:r>
        <w:rPr>
          <w:b/>
        </w:rPr>
        <w:t>Data Manager</w:t>
      </w:r>
      <w:r>
        <w:t>: Responsible for data quality, CDASH/SDTM compliance, query resolution, and SDTM dataset export.</w:t>
      </w:r>
    </w:p>
    <w:p>
      <w:r>
        <w:rPr>
          <w:b/>
        </w:rPr>
        <w:t>Pharmacovigilance Officer / PV Officer</w:t>
      </w:r>
      <w:r>
        <w:t>: Monitors AE/SAE signals nationally (NPvCC), ensures reporting timeline compliance, tracks escalations.</w:t>
      </w:r>
    </w:p>
    <w:p>
      <w:r>
        <w:rPr>
          <w:b/>
        </w:rPr>
        <w:t>Sponsor / Trial Admin</w:t>
      </w:r>
      <w:r>
        <w:t>: Portfolio-level role overseeing multiple trials, budgets, timelines, and compliance status.</w:t>
      </w:r>
    </w:p>
    <w:p>
      <w:r>
        <w:rPr>
          <w:b/>
        </w:rPr>
        <w:t>Executive Viewer</w:t>
      </w:r>
      <w:r>
        <w:t>: Ministry/leadership role viewing aggregate national KPIs, dashboards, and strategic metrics.</w:t>
      </w:r>
    </w:p>
    <w:p>
      <w:r>
        <w:rPr>
          <w:b/>
        </w:rPr>
        <w:t>Auditor / Compliance Officer</w:t>
      </w:r>
      <w:r>
        <w:t>: Reviews audit trail, data integrity, chain-of-custody, and prepares for regulatory inspections.</w:t>
      </w:r>
    </w:p>
    <w:p>
      <w:pPr>
        <w:pStyle w:val="Heading1"/>
      </w:pPr>
      <w:r>
        <w:t>9. Common Acronyms &amp; Abbreviations</w:t>
      </w:r>
    </w:p>
    <w:p>
      <w:r>
        <w:rPr>
          <w:b/>
        </w:rPr>
        <w:t>API</w:t>
      </w:r>
      <w:r>
        <w:t>: Application Programming Interface</w:t>
      </w:r>
    </w:p>
    <w:p>
      <w:r>
        <w:rPr>
          <w:b/>
        </w:rPr>
        <w:t>SMTP</w:t>
      </w:r>
      <w:r>
        <w:t>: Simple Mail Transfer Protocol</w:t>
      </w:r>
    </w:p>
    <w:p>
      <w:r>
        <w:rPr>
          <w:b/>
        </w:rPr>
        <w:t>SMS</w:t>
      </w:r>
      <w:r>
        <w:t>: Short Message Service</w:t>
      </w:r>
    </w:p>
    <w:p>
      <w:r>
        <w:rPr>
          <w:b/>
        </w:rPr>
        <w:t>JSON</w:t>
      </w:r>
      <w:r>
        <w:t>: JavaScript Object Notation</w:t>
      </w:r>
    </w:p>
    <w:p>
      <w:r>
        <w:rPr>
          <w:b/>
        </w:rPr>
        <w:t>XML</w:t>
      </w:r>
      <w:r>
        <w:t>: Extensible Markup Language</w:t>
      </w:r>
    </w:p>
    <w:p>
      <w:r>
        <w:rPr>
          <w:b/>
        </w:rPr>
        <w:t>CSV</w:t>
      </w:r>
      <w:r>
        <w:t>: Comma-Separated Values</w:t>
      </w:r>
    </w:p>
    <w:p>
      <w:r>
        <w:rPr>
          <w:b/>
        </w:rPr>
        <w:t>HTTPS</w:t>
      </w:r>
      <w:r>
        <w:t>: HTTP Secure (encrypted)</w:t>
      </w:r>
    </w:p>
    <w:p>
      <w:r>
        <w:rPr>
          <w:b/>
        </w:rPr>
        <w:t>OAuth</w:t>
      </w:r>
      <w:r>
        <w:t>: Open Authorization</w:t>
      </w:r>
    </w:p>
    <w:p>
      <w:r>
        <w:rPr>
          <w:b/>
        </w:rPr>
        <w:t>JWT</w:t>
      </w:r>
      <w:r>
        <w:t>: JSON Web Token</w:t>
      </w:r>
    </w:p>
    <w:p>
      <w:r>
        <w:rPr>
          <w:b/>
        </w:rPr>
        <w:t>RBAC</w:t>
      </w:r>
      <w:r>
        <w:t>: Role-Based Access Control</w:t>
      </w:r>
    </w:p>
    <w:p>
      <w:r>
        <w:rPr>
          <w:b/>
        </w:rPr>
        <w:t>PII</w:t>
      </w:r>
      <w:r>
        <w:t>: Personally Identifiable Information</w:t>
      </w:r>
    </w:p>
    <w:p>
      <w:r>
        <w:rPr>
          <w:b/>
        </w:rPr>
        <w:t>CRUD</w:t>
      </w:r>
      <w:r>
        <w:t>: Create, Read, Update, Delete</w:t>
      </w:r>
    </w:p>
    <w:p>
      <w:r>
        <w:rPr>
          <w:b/>
        </w:rPr>
        <w:t>MVP</w:t>
      </w:r>
      <w:r>
        <w:t>: Minimum Viable Product</w:t>
      </w:r>
    </w:p>
    <w:p>
      <w:r>
        <w:rPr>
          <w:b/>
        </w:rPr>
        <w:t>KPI</w:t>
      </w:r>
      <w:r>
        <w:t>: Key Performance Indicator</w:t>
      </w:r>
    </w:p>
    <w:p>
      <w:r>
        <w:rPr>
          <w:b/>
        </w:rPr>
        <w:t>ETL</w:t>
      </w:r>
      <w:r>
        <w:t>: Extract, Transform, Load</w:t>
      </w:r>
    </w:p>
    <w:p>
      <w:r>
        <w:rPr>
          <w:b/>
        </w:rPr>
        <w:t>FHIR</w:t>
      </w:r>
      <w:r>
        <w:t>: Fast Healthcare Interoperability Resources</w:t>
      </w:r>
    </w:p>
    <w:p>
      <w:r>
        <w:rPr>
          <w:b/>
        </w:rPr>
        <w:t>HL7</w:t>
      </w:r>
      <w:r>
        <w:t>: Health Level 7</w:t>
      </w:r>
    </w:p>
    <w:p>
      <w:r>
        <w:rPr>
          <w:b/>
        </w:rPr>
        <w:t>SNOMED</w:t>
      </w:r>
      <w:r>
        <w:t>: Systematized Nomenclature of Medicine</w:t>
      </w:r>
    </w:p>
    <w:p>
      <w:r>
        <w:rPr>
          <w:b/>
        </w:rPr>
        <w:t>UUID</w:t>
      </w:r>
      <w:r>
        <w:t>: Universally Unique Identifier</w:t>
      </w:r>
    </w:p>
    <w:p>
      <w:r>
        <w:rPr>
          <w:b/>
        </w:rPr>
        <w:t>ISO8601</w:t>
      </w:r>
      <w:r>
        <w:t>: International standard for date/time format</w:t>
      </w:r>
    </w:p>
    <w:p>
      <w:pPr>
        <w:pStyle w:val="Heading1"/>
      </w:pPr>
      <w:r>
        <w:t>10. Key Project Concepts</w:t>
      </w:r>
    </w:p>
    <w:p>
      <w:r>
        <w:rPr>
          <w:b/>
        </w:rPr>
        <w:t>Dashboard</w:t>
      </w:r>
      <w:r>
        <w:t>: Role-specific UI view providing personalized information, metrics, and actions for each user role.</w:t>
      </w:r>
    </w:p>
    <w:p>
      <w:r>
        <w:rPr>
          <w:b/>
        </w:rPr>
        <w:t>Multi-Centre Trial</w:t>
      </w:r>
      <w:r>
        <w:t>: A clinical trial conducted at multiple research sites under one protocol, overseen by one sponsor.</w:t>
      </w:r>
    </w:p>
    <w:p>
      <w:r>
        <w:rPr>
          <w:b/>
        </w:rPr>
        <w:t>Continuing Review</w:t>
      </w:r>
      <w:r>
        <w:t>: Periodic IEC review (typically annual) of an ongoing trial to reassess risk/benefit and ensure compliance.</w:t>
      </w:r>
    </w:p>
    <w:p>
      <w:r>
        <w:rPr>
          <w:b/>
        </w:rPr>
        <w:t>Reporting Deadline</w:t>
      </w:r>
      <w:r>
        <w:t>: Regulatory time limit for reporting an AE/SAE to authorities (e.g., 24 hours for SAE initial report).</w:t>
      </w:r>
    </w:p>
    <w:p>
      <w:r>
        <w:rPr>
          <w:b/>
        </w:rPr>
        <w:t>Study Status</w:t>
      </w:r>
      <w:r>
        <w:t>: Current phase of a trial: Draft, Pending IEC Approval, Active, Closed, or Suspended.</w:t>
      </w:r>
    </w:p>
    <w:p>
      <w:r>
        <w:rPr>
          <w:b/>
        </w:rPr>
        <w:t>Subject Enrollment Funnel</w:t>
      </w:r>
      <w:r>
        <w:t>: Visual representation of subject progression: Screened -&gt; Randomized -&gt; Completed -&gt; Withdrawn.</w:t>
      </w:r>
    </w:p>
    <w:p>
      <w:r>
        <w:rPr>
          <w:b/>
        </w:rPr>
        <w:t>Synthetic Data</w:t>
      </w:r>
      <w:r>
        <w:t>: Artificially generated data used for testing/demo purposes (no real subject information).</w:t>
      </w:r>
    </w:p>
    <w:p>
      <w:r>
        <w:rPr>
          <w:b/>
        </w:rPr>
        <w:t>Rule Configuration</w:t>
      </w:r>
      <w:r>
        <w:t>: JSON-based settings defining regulatory logic (timelines, thresholds) that can be updated without code changes.</w:t>
      </w:r>
    </w:p>
    <w:p>
      <w:r>
        <w:rPr>
          <w:b/>
        </w:rPr>
        <w:t>Background Job</w:t>
      </w:r>
      <w:r>
        <w:t>: Automated task running periodically (cron) to process data, check conditions, or trigger actions (e.g., deadline watcher).</w:t>
      </w:r>
    </w:p>
    <w:p>
      <w:r>
        <w:rPr>
          <w:b/>
        </w:rPr>
        <w:t>Data Export</w:t>
      </w:r>
      <w:r>
        <w:t>: Download of study data in standardized formats (SDTM, Define-XML, CSV, PDF) for regulatory submission or archival.</w:t>
      </w:r>
    </w:p>
    <w:p/>
    <w:p>
      <w:pPr/>
      <w:r>
        <w:t>This glossary is a reference document for understanding technical concepts, standards, and terminology used throughout the AIIA-CTMS project. For additional context, refer to the PRD, TRD, Architecture Guide, and API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