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0" w:before="200"/>
        <w:jc w:val="righ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文档编号：QTP-CryoTwin-SM-2026-001</w:t>
      </w:r>
    </w:p>
    <w:p>
      <w:pPr>
        <w:spacing w:after="600" w:before="0"/>
        <w:jc w:val="right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0"/>
          <w:szCs w:val="20"/>
        </w:rPr>
        <w:t xml:space="preserve">密级：内部资料</w:t>
      </w:r>
    </w:p>
    <w:p>
      <w:pPr>
        <w:spacing w:after="240" w:before="1200" w:line="52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44"/>
          <w:szCs w:val="44"/>
        </w:rPr>
        <w:t xml:space="preserve">青藏高原冰冻圈灾害</w:t>
      </w:r>
    </w:p>
    <w:p>
      <w:pPr>
        <w:spacing w:after="360" w:before="0" w:line="52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44"/>
          <w:szCs w:val="44"/>
        </w:rPr>
        <w:t xml:space="preserve">数字孪生系统</w:t>
      </w:r>
    </w:p>
    <w:p>
      <w:pPr>
        <w:pBdr>
          <w:bottom w:val="single" w:color="1F3864" w:sz="12" w:space="10"/>
        </w:pBdr>
        <w:spacing w:after="300" w:before="80"/>
        <w:jc w:val="center"/>
      </w:pPr>
      <w:r>
        <w:rPr>
          <w:rFonts w:ascii="Arial" w:eastAsia="黑体" w:hAnsi="Arial"/>
          <w:b/>
          <w:bCs/>
          <w:i w:val="false"/>
          <w:iCs w:val="false"/>
          <w:color w:val="1F1F1F"/>
          <w:sz w:val="40"/>
          <w:szCs w:val="40"/>
        </w:rPr>
        <w:t xml:space="preserve">系 统 说 明 书</w:t>
      </w:r>
    </w:p>
    <w:p>
      <w:pPr>
        <w:spacing w:after="120" w:before="0"/>
        <w:jc w:val="center"/>
      </w:pPr>
      <w:r>
        <w:rPr>
          <w:rFonts w:ascii="Times New Roman" w:eastAsia="宋体" w:hAnsi="Times New Roman"/>
          <w:b w:val="false"/>
          <w:bCs w:val="false"/>
          <w:i/>
          <w:iCs/>
          <w:color w:val="595959"/>
          <w:sz w:val="22"/>
          <w:szCs w:val="22"/>
        </w:rPr>
        <w:t xml:space="preserve">Qinghai-Tibet Plateau Cryosphere Disaster Digital Twin System</w:t>
      </w:r>
    </w:p>
    <w:p>
      <w:pPr>
        <w:spacing w:after="900" w:before="0"/>
        <w:jc w:val="center"/>
      </w:pPr>
      <w:r>
        <w:rPr>
          <w:rFonts w:ascii="Times New Roman" w:eastAsia="宋体" w:hAnsi="Times New Roman"/>
          <w:b w:val="false"/>
          <w:bCs w:val="false"/>
          <w:i/>
          <w:iCs/>
          <w:color w:val="595959"/>
          <w:sz w:val="22"/>
          <w:szCs w:val="22"/>
        </w:rPr>
        <w:t xml:space="preserve">System Manual (Research &amp; Engineering Edition)</w:t>
      </w:r>
    </w:p>
    <w:p>
      <w:pPr>
        <w:spacing w:after="120" w:before="0"/>
        <w:jc w:val="center"/>
      </w:pPr>
      <w:r>
        <w:rPr>
          <w:rFonts w:ascii="Times New Roman" w:eastAsia="宋体" w:hAnsi="Times New Roman"/>
          <w:b/>
          <w:bCs/>
          <w:i w:val="false"/>
          <w:iCs w:val="false"/>
          <w:color w:val="2E75B6"/>
          <w:sz w:val="26"/>
          <w:szCs w:val="26"/>
        </w:rPr>
        <w:t xml:space="preserve">科研与工程双用途文档</w:t>
      </w:r>
    </w:p>
    <w:p>
      <w:pPr>
        <w:spacing w:after="700" w:before="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4"/>
          <w:szCs w:val="24"/>
        </w:rPr>
        <w:t xml:space="preserve">系统移交 · 结题验收 · 答辩评审 · 二次开发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7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文档版本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V1.0（首次正式发布）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文档状态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受控发布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适用阶段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系统移交 / 结题验收 / 答辩评审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编制日期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2026 年 10 月 21 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编制单位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项目组（盖章有效）</w:t>
            </w:r>
          </w:p>
        </w:tc>
      </w:tr>
    </w:tbl>
    <w:p>
      <w:pPr>
        <w:spacing w:after="0" w:before="600"/>
        <w:jc w:val="center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24"/>
          <w:szCs w:val="24"/>
        </w:rPr>
        <w:t xml:space="preserve">2026 年 10 月</w:t>
      </w:r>
    </w:p>
    <w:p>
      <w:r>
        <w:br w:type="page"/>
      </w:r>
    </w:p>
    <w:p>
      <w:pPr>
        <w:spacing w:after="200" w:before="0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32"/>
          <w:szCs w:val="32"/>
        </w:rPr>
        <w:t xml:space="preserve">文档控制与使用说明</w:t>
      </w:r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本文件为青藏高原冰冻圈灾害数字孪生系统的正式系统说明书，用于系统建设成果的归档、移交、结题验收、答辩评审及后续二次开发。文档内容以 2026 年 10 月 21 日项目工作区中的代码、配置与数据资产为事实基准；凡标注“待确认”的事项，均表示需在移交评审中由项目组进一步核实。</w:t>
      </w:r>
    </w:p>
    <w:p>
      <w:pPr>
        <w:pStyle w:val="Heading3"/>
        <w:spacing w:after="120" w:before="220" w:line="340"/>
      </w:pPr>
      <w:bookmarkStart w:name="_Toc1" w:id="1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文档信息</w:t>
      </w:r>
      <w:bookmarkEnd w:id="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500"/>
        <w:gridCol w:w="347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系统说明书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文档编号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QTP-CryoTwin-SM-2026-001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英文名称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 Manual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版本号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V1.0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文档密级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内部资料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发布状态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受控发布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编制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项目组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审核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待填写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批准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待填写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生效日期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2026-10-21</w:t>
            </w:r>
          </w:p>
        </w:tc>
      </w:tr>
    </w:tbl>
    <w:p>
      <w:pPr>
        <w:pStyle w:val="Heading3"/>
        <w:spacing w:after="120" w:before="220" w:line="340"/>
      </w:pPr>
      <w:bookmarkStart w:name="_Toc2" w:id="2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修订记录</w:t>
      </w:r>
      <w:bookmarkEnd w:id="2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170"/>
        <w:gridCol w:w="1200"/>
        <w:gridCol w:w="11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版本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日期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编制/修订</w:t>
            </w:r>
          </w:p>
        </w:tc>
        <w:tc>
          <w:tcPr>
            <w:tcW w:type="dxa" w:w="1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审核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2026-10-21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首次发布：整合架构、业务、数据、模型、接口、部署、安全、测试与二次开发内容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项目组</w:t>
            </w:r>
          </w:p>
        </w:tc>
        <w:tc>
          <w:tcPr>
            <w:tcW w:type="dxa" w:w="1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待填写</w:t>
            </w:r>
          </w:p>
        </w:tc>
      </w:tr>
    </w:tbl>
    <w:p>
      <w:pPr>
        <w:pStyle w:val="Heading3"/>
        <w:spacing w:after="120" w:before="220" w:line="340"/>
      </w:pPr>
      <w:bookmarkStart w:name="_Toc3" w:id="3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适用读者与阅读路径</w:t>
      </w:r>
      <w:bookmarkEnd w:id="3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670"/>
        <w:gridCol w:w="250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读者对象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关注重点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建议阅读章节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评审专家 / 答辩评委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系统定位、总体架构、业务完整性、模型方法与验证、创新点与边界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1、2、3、4、5、9、11 章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系统开发人员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架构、接口、数据模型、算法实现、代码组织与约束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2、4、5、6、10 章及附录 A—D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运维与移交人员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部署环境、启停、配置、备份恢复、故障排查、安全基线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7、8、9 章及附录 B、G、H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业务使用人员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页面功能、操作流程、输入输出与结果解读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3、5.4、5.6 节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二次开发人员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扩展点、复用组件、开发规范、坐标与栅格约束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第 6、10 章及附录 A—D</w:t>
            </w:r>
          </w:p>
        </w:tc>
      </w:tr>
    </w:tbl>
    <w:p>
      <w:pPr>
        <w:pStyle w:val="Heading3"/>
        <w:spacing w:after="120" w:before="220" w:line="340"/>
      </w:pPr>
      <w:bookmarkStart w:name="_Toc4" w:id="4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编制依据</w:t>
      </w:r>
      <w:bookmarkEnd w:id="4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系统源代码与运行配置：webgis_backend、webgis_frontend、flood_workflow、Training、validation、scripts。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项目既有技术文档：docs/ 下技术思路、模块技术说明、评估汇报、论文规划与运维文档。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数据资产实测：data/ 目录枚举、SQLite 索引库只读查询、GeoTIFF/GeoJSON 元数据核对。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代码审查结论：2026 年系统代码体检结果（安全、正确性、性能与工程性）。</w:t>
      </w:r>
    </w:p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阅读提示：文中“已实现”表示当前代码可直接运行并产出结果；“部分实现”表示主流程可用但存在明确限制；“规划中”表示尚未落地。涉及数据规模、文件数量与验证指标的数字，除特别说明外均为 2026-10-21 实测值。</w:t>
      </w:r>
    </w:p>
    <w:p>
      <w:r>
        <w:br w:type="page"/>
      </w:r>
    </w:p>
    <w:p>
      <w:pPr>
        <w:spacing w:after="200" w:before="0"/>
      </w:pPr>
      <w:r>
        <w:rPr>
          <w:rFonts w:ascii="Arial" w:eastAsia="黑体" w:hAnsi="Arial"/>
          <w:b/>
          <w:bCs/>
          <w:i w:val="false"/>
          <w:iCs w:val="false"/>
          <w:color w:val="1F3864"/>
          <w:sz w:val="32"/>
          <w:szCs w:val="32"/>
        </w:rPr>
        <w:t xml:space="preserve">文档目录</w:t>
      </w:r>
    </w:p>
    <w:sdt>
      <w:sdtPr>
        <w:alias w:val="文档目录"/>
      </w:sdtPr>
      <w:sdtContent>
        <w:p>
          <w:pPr>
            <w:pStyle w:val="TOC3"/>
            <w:tabs>
              <w:tab w:val="right" w:pos="9070" w:leader="dot"/>
            </w:tabs>
            <w:ind w:left="440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文档信息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">
            <w:r>
              <w:t xml:space="preserve">修订记录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3">
            <w:r>
              <w:t xml:space="preserve">适用读者与阅读路径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4">
            <w:r>
              <w:t xml:space="preserve">编制依据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5">
            <w:r>
              <w:t xml:space="preserve">1 系统概述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">
            <w:r>
              <w:t xml:space="preserve">1.1 建设背景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">
            <w:r>
              <w:t xml:space="preserve">1.2 建设目标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">
            <w:r>
              <w:t xml:space="preserve">1.3 系统定位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">
            <w:r>
              <w:t xml:space="preserve">1.4 建设内容与功能边界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">
            <w:r>
              <w:t xml:space="preserve">1.5 用户角色与典型场景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1">
            <w:r>
              <w:t xml:space="preserve">1.6 主要技术指标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2">
            <w:r>
              <w:t xml:space="preserve">2 总体架构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3">
            <w:r>
              <w:t xml:space="preserve">2.1 设计原则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4">
            <w:r>
              <w:t xml:space="preserve">2.2 逻辑架构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5">
            <w:r>
              <w:t xml:space="preserve">2.3 功能架构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6">
            <w:r>
              <w:t xml:space="preserve">2.4 技术架构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7">
            <w:r>
              <w:t xml:space="preserve">2.5 数据流与模块依赖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8">
            <w:r>
              <w:t xml:space="preserve">2.6 部署架构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19">
            <w:r>
              <w:t xml:space="preserve">3 业务功能说明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0">
            <w:r>
              <w:t xml:space="preserve">3.1 首页综合展示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1">
            <w:r>
              <w:t xml:space="preserve">3.2 灾害数据库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2">
            <w:r>
              <w:t xml:space="preserve">3.3 灾害过程模拟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3">
            <w:r>
              <w:t xml:space="preserve">3.3.1 LSTM 径流模拟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4">
            <w:r>
              <w:t xml:space="preserve">3.3.2 洪水淹没分析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5">
            <w:r>
              <w:t xml:space="preserve">3.3.3 融雪洪水识别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6">
            <w:r>
              <w:t xml:space="preserve">3.3.4 模拟结果可视化与导出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7">
            <w:r>
              <w:t xml:space="preserve">3.4 风险评估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28">
            <w:r>
              <w:t xml:space="preserve">3.5 决策支持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29">
            <w:r>
              <w:t xml:space="preserve">3.5.1 决策智能体（RAG）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30">
            <w:r>
              <w:t xml:space="preserve">3.5.2 院士专家名录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31">
            <w:r>
              <w:t xml:space="preserve">3.5.3 防灾决策内容库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2">
            <w:r>
              <w:t xml:space="preserve">3.6 系统管理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3">
            <w:r>
              <w:t xml:space="preserve">3.7 登录与权限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4">
            <w:r>
              <w:t xml:space="preserve">3.8 典型端到端业务流程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35">
            <w:r>
              <w:t xml:space="preserve">4 数据体系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6">
            <w:r>
              <w:t xml:space="preserve">4.1 数据总体构成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7">
            <w:r>
              <w:t xml:space="preserve">4.2 气象驱动数据（ERA5）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8">
            <w:r>
              <w:t xml:space="preserve">4.3 融雪与冰冻圈灾害数据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39">
            <w:r>
              <w:t xml:space="preserve">4.4 社会经济与脆弱性数据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0">
            <w:r>
              <w:t xml:space="preserve">4.5 模型、阈值与地形数据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1">
            <w:r>
              <w:t xml:space="preserve">4.6 数据库设计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2">
            <w:r>
              <w:t xml:space="preserve">4.7 目录与命名规范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3">
            <w:r>
              <w:t xml:space="preserve">4.8 数据质量、缺口与治理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44">
            <w:r>
              <w:t xml:space="preserve">5 模型与算法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5">
            <w:r>
              <w:t xml:space="preserve">5.1 LSTM 径流模型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6">
            <w:r>
              <w:t xml:space="preserve">5.2 分位阈值洪水淹没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7">
            <w:r>
              <w:t xml:space="preserve">5.3 融雪洪水识别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48">
            <w:r>
              <w:t xml:space="preserve">5.4 风险评估模型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49">
            <w:r>
              <w:t xml:space="preserve">5.4.1 理论框架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50">
            <w:r>
              <w:t xml:space="preserve">5.4.2 权重方法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51">
            <w:r>
              <w:t xml:space="preserve">5.4.3 分级与县域汇总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2">
            <w:r>
              <w:t xml:space="preserve">5.5 RAG 决策智能体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3">
            <w:r>
              <w:t xml:space="preserve">5.6 模型与结果验证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4">
            <w:r>
              <w:t xml:space="preserve">5.7 模型现状与改进项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55">
            <w:r>
              <w:t xml:space="preserve">6 接口与集成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6">
            <w:r>
              <w:t xml:space="preserve">6.1 接口规范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7">
            <w:r>
              <w:t xml:space="preserve">6.2 接口总览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58">
            <w:r>
              <w:t xml:space="preserve">6.3 关键接口说明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59">
            <w:r>
              <w:t xml:space="preserve">6.3.1 径流模拟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60">
            <w:r>
              <w:t xml:space="preserve">6.3.2 洪水淹没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61">
            <w:r>
              <w:t xml:space="preserve">6.3.3 风险评估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62">
            <w:r>
              <w:t xml:space="preserve">6.3.4 决策智能体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3">
            <w:r>
              <w:t xml:space="preserve">6.4 页面、静态资源与错误处理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4">
            <w:r>
              <w:t xml:space="preserve">6.5 外部服务集成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65">
            <w:r>
              <w:t xml:space="preserve">7 部署与运维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6">
            <w:r>
              <w:t xml:space="preserve">7.1 环境要求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7">
            <w:r>
              <w:t xml:space="preserve">7.2 目录与运行时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8">
            <w:r>
              <w:t xml:space="preserve">7.3 安装与启动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69">
            <w:r>
              <w:t xml:space="preserve">7.4 配置项与环境变量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0">
            <w:r>
              <w:t xml:space="preserve">7.5 日志与监控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1">
            <w:r>
              <w:t xml:space="preserve">7.6 备份与恢复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2">
            <w:r>
              <w:t xml:space="preserve">7.7 换机、迁移与运行时重建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3">
            <w:r>
              <w:t xml:space="preserve">7.8 常见故障排查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4">
            <w:r>
              <w:t xml:space="preserve">7.9 升级与回滚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75">
            <w:r>
              <w:t xml:space="preserve">8 安全与权限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6">
            <w:r>
              <w:t xml:space="preserve">8.1 认证与会话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7">
            <w:r>
              <w:t xml:space="preserve">8.2 RBAC 权限模型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8">
            <w:r>
              <w:t xml:space="preserve">8.3 安全护栏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79">
            <w:r>
              <w:t xml:space="preserve">8.4 审计日志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0">
            <w:r>
              <w:t xml:space="preserve">8.5 已知安全风险与整改建议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1">
            <w:r>
              <w:t xml:space="preserve">9 测试与质量保证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2">
            <w:r>
              <w:t xml:space="preserve">9.1 测试体系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3">
            <w:r>
              <w:t xml:space="preserve">9.2 验证结果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4">
            <w:r>
              <w:t xml:space="preserve">9.3 当前测试基线与已知问题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5">
            <w:r>
              <w:t xml:space="preserve">9.4 质量保证建议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86">
            <w:r>
              <w:t xml:space="preserve">10 二次开发指南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7">
            <w:r>
              <w:t xml:space="preserve">10.1 代码组织与命名约定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8">
            <w:r>
              <w:t xml:space="preserve">10.2 新增后端模块/接口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89">
            <w:r>
              <w:t xml:space="preserve">10.3 新增前端页面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0">
            <w:r>
              <w:t xml:space="preserve">10.4 可复用组件与工具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1">
            <w:r>
              <w:t xml:space="preserve">10.5 开发约束（硬性）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2">
            <w:r>
              <w:t xml:space="preserve">10.6 开发调试与提交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93">
            <w:r>
              <w:t xml:space="preserve">11 已知边界与演进规划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4">
            <w:r>
              <w:t xml:space="preserve">11.1 功能状态矩阵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5">
            <w:r>
              <w:t xml:space="preserve">11.2 技术债与优先整改项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6">
            <w:r>
              <w:t xml:space="preserve">11.3 演进路线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70" w:leader="dot"/>
            </w:tabs>
          </w:pPr>
          <w:hyperlink w:history="1" w:anchor="_Toc97">
            <w:r>
              <w:t xml:space="preserve">12 附录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8">
            <w:r>
              <w:t xml:space="preserve">附录 A 接口清单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99">
            <w:r>
              <w:t xml:space="preserve">附录 B 配置项与环境变量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0">
            <w:r>
              <w:t xml:space="preserve">附录 C 灾害类型与图层白名单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1">
            <w:r>
              <w:t xml:space="preserve">附录 D 数据库表结构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102">
            <w:r>
              <w:t xml:space="preserve">D.1 系统管理库 admin.db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103">
            <w:r>
              <w:t xml:space="preserve">D.2 气象栅格索引库 TibetanPlateau_index.db</w:t>
            </w:r>
            <w:r>
              <w:tab/>
            </w:r>
            <w:r>
              <w:fldChar w:fldCharType="begin" w:dirty="true"/>
              <w:instrText xml:space="preserve">PAGEREF _Toc103 \h</w:instrText>
              <w:fldChar w:fldCharType="separate"/>
              <w:fldChar w:fldCharType="end"/>
            </w:r>
          </w:hyperlink>
        </w:p>
        <w:p>
          <w:pPr>
            <w:pStyle w:val="TOC3"/>
            <w:tabs>
              <w:tab w:val="right" w:pos="9070" w:leader="dot"/>
            </w:tabs>
            <w:ind w:left="440"/>
          </w:pPr>
          <w:hyperlink w:history="1" w:anchor="_Toc104">
            <w:r>
              <w:t xml:space="preserve">D.3 专家知识库 expert_kb.db</w:t>
            </w:r>
            <w:r>
              <w:tab/>
            </w:r>
            <w:r>
              <w:fldChar w:fldCharType="begin" w:dirty="true"/>
              <w:instrText xml:space="preserve">PAGEREF _Toc104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5">
            <w:r>
              <w:t xml:space="preserve">附录 E 术语表</w:t>
            </w:r>
            <w:r>
              <w:tab/>
            </w:r>
            <w:r>
              <w:fldChar w:fldCharType="begin" w:dirty="true"/>
              <w:instrText xml:space="preserve">PAGEREF _Toc105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6">
            <w:r>
              <w:t xml:space="preserve">附录 F 文档索引</w:t>
            </w:r>
            <w:r>
              <w:tab/>
            </w:r>
            <w:r>
              <w:fldChar w:fldCharType="begin" w:dirty="true"/>
              <w:instrText xml:space="preserve">PAGEREF _Toc106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7">
            <w:r>
              <w:t xml:space="preserve">附录 G 交付与验收清单</w:t>
            </w:r>
            <w:r>
              <w:tab/>
            </w:r>
            <w:r>
              <w:fldChar w:fldCharType="begin" w:dirty="true"/>
              <w:instrText xml:space="preserve">PAGEREF _Toc107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70" w:leader="dot"/>
            </w:tabs>
            <w:ind w:left="220"/>
          </w:pPr>
          <w:hyperlink w:history="1" w:anchor="_Toc108">
            <w:r>
              <w:t xml:space="preserve">附录 H 待确认事项</w:t>
            </w:r>
            <w:r>
              <w:tab/>
            </w:r>
            <w:r>
              <w:fldChar w:fldCharType="begin" w:dirty="true"/>
              <w:instrText xml:space="preserve">PAGEREF _Toc108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0" w:before="1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595959"/>
          <w:sz w:val="19"/>
          <w:szCs w:val="19"/>
        </w:rPr>
        <w:t xml:space="preserve">说明：目录为 Word 域，打开文档后如页码未刷新，可全选后按 F9 或右键“更新域”。</w:t>
      </w:r>
    </w:p>
    <w:p>
      <w:pPr>
        <w:pStyle w:val="Heading1"/>
        <w:spacing w:after="240" w:before="240" w:line="360"/>
      </w:pPr>
      <w:bookmarkStart w:name="_Toc5" w:id="5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1 系统概述</w:t>
      </w:r>
      <w:bookmarkEnd w:id="5"/>
    </w:p>
    <w:p>
      <w:pPr>
        <w:pStyle w:val="Heading2"/>
        <w:spacing w:after="160" w:before="300" w:line="360"/>
      </w:pPr>
      <w:bookmarkStart w:name="_Toc6" w:id="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1.1 建设背景</w:t>
      </w:r>
      <w:bookmarkEnd w:id="6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青藏高原平均海拔 4000 m 以上，冰川、多年冻土、积雪与湖泊广泛发育，是黄河、长江、澜沧江等大江大河的发源地，被称为“亚洲水塔”。在全球气候变暖背景下，冰川退缩、冻土消融、极端降水与冰雪融水叠加，导致冰湖溃决洪水（GLOFs）、融雪型洪水（SFs）、降雨型洪水（PFs）、滑坡堰塞湖溃决洪水（LLOFs）、冰川跃动、热融滑塌（RTS）、雪崩与风吹雪等冰冻圈灾害事件频发，对居民点、牧业生产、交通干线、水利水电与能源基础设施构成持续威胁。</w:t>
      </w:r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传统灾害管理普遍存在三方面短板：其一，灾害目录、气象驱动、承灾体与社会经济数据分散在不同部门与格式中，难以形成统一的时空底座；其二，灾害过程模拟与风险评估多为离线计算，成果难以及时进入业务研判；其三，决策建议缺乏数据溯源，难以支撑可解释、可复核的应急会商。数字孪生理念强调以数据映射为基础、以过程模拟为核心、以风险量化为抓手、以决策支持为出口，为上述问题提供了系统化解决路径。</w:t>
      </w:r>
    </w:p>
    <w:p>
      <w:pPr>
        <w:pStyle w:val="Heading2"/>
        <w:spacing w:after="160" w:before="300" w:line="360"/>
      </w:pPr>
      <w:bookmarkStart w:name="_Toc7" w:id="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1.2 建设目标</w:t>
      </w:r>
      <w:bookmarkEnd w:id="7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系统面向青藏高原冰冻圈灾害的监测评估与应急管理需求，构建“数据—模拟—评估—决策—管理”一体化的 WebGIS 数字孪生平台，具体目标包括：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统一数据底座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：集成 8 类冰冻圈灾害事件、ERA5 气象驱动、GLDAS 融雪、基础地理、社会经济与县域脆弱性数据，形成可检索、可追溯、可复用的数据资产。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过程模拟能力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：以 LSTM 径流模型与分位阈值淹没模型构成寒区洪水致灾链，支持逐日、逐像元的径流与淹没情景模拟。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风险量化能力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：以 R = H × E × V 为理论框架，实现危险性、暴露度、脆弱性的栅格像元级合成、五级分级与县域汇总。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决策支持能力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：通过检索增强（RAG）智能体、院士专家名录与防灾措施库，将系统真实数据转化为可解释、可溯源的建议。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工程运维能力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：提供会话认证、RBAC 授权、审计日志、系统状态、受控数据管理与单机自包含部署，满足移交与长期运行要求。</w:t>
      </w:r>
    </w:p>
    <w:p>
      <w:pPr>
        <w:pStyle w:val="Heading2"/>
        <w:spacing w:after="160" w:before="300" w:line="360"/>
      </w:pPr>
      <w:bookmarkStart w:name="_Toc8" w:id="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1.3 系统定位</w:t>
      </w:r>
      <w:bookmarkEnd w:id="8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70"/>
        <w:gridCol w:w="26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定位</w:t>
            </w:r>
          </w:p>
        </w:tc>
        <w:tc>
          <w:tcPr>
            <w:tcW w:type="dxa" w:w="4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内涵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对应能力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科研用途</w:t>
            </w:r>
          </w:p>
        </w:tc>
        <w:tc>
          <w:tcPr>
            <w:tcW w:type="dxa" w:w="4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支撑冰冻圈灾害致灾链研究、模型验证、风险评估方法学对比与论文成果产出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类灾害数据、LSTM 径流、H×E×V 评估、命中率验证、方法学知识库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工程用途</w:t>
            </w:r>
          </w:p>
        </w:tc>
        <w:tc>
          <w:tcPr>
            <w:tcW w:type="dxa" w:w="4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作为可部署、可运维、可移交的业务系统，支撑日常查询、情景模拟与应急会商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个业务页面、97 条接口、RBAC、审计、备份恢复、单机离线运行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教学与二次开发</w:t>
            </w:r>
          </w:p>
        </w:tc>
        <w:tc>
          <w:tcPr>
            <w:tcW w:type="dxa" w:w="4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作为数字孪生 + WebGIS + 深度学习融合的教学与原型平台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模块化 Blueprint、原生前端、清晰的数据与模型接口</w:t>
            </w:r>
          </w:p>
        </w:tc>
      </w:tr>
    </w:tbl>
    <w:p>
      <w:pPr>
        <w:pStyle w:val="Heading2"/>
        <w:spacing w:after="160" w:before="300" w:line="360"/>
      </w:pPr>
      <w:bookmarkStart w:name="_Toc9" w:id="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1.4 建设内容与功能边界</w:t>
      </w:r>
      <w:bookmarkEnd w:id="9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170"/>
        <w:gridCol w:w="190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功能域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主要内容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首页综合展示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多源图层融合、底图切换、流域高亮、地名定位、统计概览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灾害数据库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类灾害事件浏览、属性查询、动态计数、缓冲分析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径流模拟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逐像元日径流、流域裁剪、结果 GeoTIFF 与时序播放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已实现（模型口径待统一）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洪水淹没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分位阈值判定、逐日淹没栅格、面积/概率统计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融雪洪水识别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 年极值判据、事件日栅格与统计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部分实现（判据偏宽松）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风险评估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H×E×V 栅格合成、熵权/自定义权重、五级分级、县域汇总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决策支持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 智能体、院士专家名录、防灾实例与工程/非工程措施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用户/角色/权限、审计日志、数据运维、智能体提示词配置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雪崩/风吹雪/冰川/冻土过程模拟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能量平衡、颗粒流、冰湖溃决、冻土热状态等物理过程模型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避险路径与资源调度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最短路径、多目标优化、应急物资调度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三维可视化与实时遥感</w:t>
            </w:r>
          </w:p>
        </w:tc>
        <w:tc>
          <w:tcPr>
            <w:tcW w:type="dxa" w:w="5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三维场景、卫星/无人机近实时接入</w:t>
            </w:r>
          </w:p>
        </w:tc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</w:tr>
    </w:tbl>
    <w:p>
      <w:pPr>
        <w:pStyle w:val="Heading2"/>
        <w:spacing w:after="160" w:before="300" w:line="360"/>
      </w:pPr>
      <w:bookmarkStart w:name="_Toc10" w:id="1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1.5 用户角色与典型场景</w:t>
      </w:r>
      <w:bookmarkEnd w:id="1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870"/>
        <w:gridCol w:w="25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角色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典型场景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系统入口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科研人员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查询历史灾害事件、运行径流/淹没情景、导出风险栅格开展论文分析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灾害数据库、过程模拟、风险评估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评审专家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核查系统架构、数据来源、模型方法、验证结果与工程化程度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全站 + 本说明书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业务用户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查看流域风险格局、检索专家与措施、向智能体咨询处置建议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首页、风险评估、决策支持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维护账号权限、审计操作、更新数据与模型、配置智能体提示词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运维人员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部署、启停、备份、故障排查与版本升级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run.ps1 / diagnose.ps1 / 日志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二次开发人员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新增图层、接口、算法或页面，复用既有栅格与安全组件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源码 + 第 10 章</w:t>
            </w:r>
          </w:p>
        </w:tc>
      </w:tr>
    </w:tbl>
    <w:p>
      <w:pPr>
        <w:pStyle w:val="Heading2"/>
        <w:spacing w:after="160" w:before="300" w:line="360"/>
      </w:pPr>
      <w:bookmarkStart w:name="_Toc11" w:id="1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1.6 主要技术指标</w:t>
      </w:r>
      <w:bookmarkEnd w:id="1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47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指标类别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指标项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当前值 / 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部署形态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架构与运行方式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B/S 架构；Flask 同源托管前端与 API；Windows 单机自包含运行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代码规模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 / 前端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 Python 约 8,105 行；自研前端 JS 21 个文件（不含第三方库）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接口规模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 路由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自定义路由 97 条（模块 77 条 + 应用 20 条）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数据规模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原始 / 中间 / 子系统数据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原始约 5.1 TB（393,098 个文件）；中间约 2.6 GB；WebGIS 数据区约 108 GB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气象驱动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四变量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1980-01-01—2025-12-30；约 1 km；索引 130,680 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融雪驱动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 日融雪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1980-01-01—2025-12-31 逐日；50,406 个文件；约 10 km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模型规模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参数量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123,301 个参数；2 层 LSTM，hidden=100，输入 4 变量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评估单元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风险计算粒度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栅格像元级；输出 5 级风险 GeoTIFF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验证样本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历史洪水点命中率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SHP 精编口径 389 点命中 387（99.5%，1 km 容差）；需结合随机基线解读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并发能力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长任务处理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同步计算 + 单任务锁；尚未开展并发压测（待确认）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离线能力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本地依赖</w:t>
            </w:r>
          </w:p>
        </w:tc>
        <w:tc>
          <w:tcPr>
            <w:tcW w:type="dxa" w:w="5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前端库、字体、模型、数据均本地化；在线底图与 DeepSeek 需外网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12" w:id="12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2 总体架构</w:t>
      </w:r>
      <w:bookmarkEnd w:id="12"/>
    </w:p>
    <w:p>
      <w:pPr>
        <w:pStyle w:val="Heading2"/>
        <w:spacing w:after="160" w:before="300" w:line="360"/>
      </w:pPr>
      <w:bookmarkStart w:name="_Toc13" w:id="1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2.1 设计原则</w:t>
      </w:r>
      <w:bookmarkEnd w:id="13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模块化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：后端按业务域拆分为 Flask Blueprint，前端按页面组织，模块间通过明确接口契约协作。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同源部署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：Flask 同时托管页面、静态资源与 API，规避跨域配置，降低部署复杂度。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后端计算、前端渲染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：后端只产出 GeoTIFF/GeoJSON/JSON，前端用 GeoTIFF.js 与 OpenLayers 完成免插件渲染。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数据可溯源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：灾害、经济、专家、决策内容均保留来源字段；智能体回答强制标注数据源。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幂等与可重跑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：数据库种子、知识库构建、阈值与模拟产物均设计为可重复执行。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安全默认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：路径穿越防护、文件白名单、密码哈希、会话保护与审计日志构成基础护栏。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离线优先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：前端依赖与运行环境随硬盘迁移，除在线底图和外部大模型外均可离线使用。</w:t>
      </w:r>
    </w:p>
    <w:p>
      <w:pPr>
        <w:pStyle w:val="Heading2"/>
        <w:spacing w:after="160" w:before="300" w:line="360"/>
      </w:pPr>
      <w:bookmarkStart w:name="_Toc14" w:id="1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2.2 逻辑架构</w:t>
      </w:r>
      <w:bookmarkEnd w:id="14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系统采用“展示层—应用层—模型层—服务层—数据层”五层逻辑架构。上层通过下层提供的接口获取能力，层间不跨层直接访问数据文件，保证职责清晰与可替换性。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architecture.png" descr="图 2-1  系统五层总体架构" title="图 2-1  系统五层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 w:line="280"/>
        <w:jc w:val="center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19"/>
          <w:szCs w:val="19"/>
        </w:rPr>
        <w:t xml:space="preserve">图 2-1  系统五层总体架构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170"/>
        <w:gridCol w:w="3500"/>
      </w:tblGrid>
      <w:tr>
        <w:trPr>
          <w:cantSplit/>
          <w:tblHeader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层次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组成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主要职责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展示层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 个页面、OpenLayers、ECharts、GeoTIFF.js、公共 UI 组件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地图渲染、参数交互、图表统计、结果播放与导出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应用层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 应用、Blueprint、路由、页面与静态资源托管、统一错误处理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请求分发、业务编排、接口信封与错误语义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模型层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径流、阈值淹没、融雪识别、H×E×V、RAG 智能体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核心计算与知识检索，产出栅格、统计与文本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服务层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认证、RBAC、审计、索引查询、文件服务、系统状态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横切能力复用，保障安全与可运维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数据层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 数据区、4 个 SQLite 库、模型与阈值文件</w:t>
            </w:r>
          </w:p>
        </w:tc>
        <w:tc>
          <w:tcPr>
            <w:tcW w:type="dxa" w:w="3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数据持久化、索引加速与产物管理</w:t>
            </w:r>
          </w:p>
        </w:tc>
      </w:tr>
    </w:tbl>
    <w:p>
      <w:pPr>
        <w:pStyle w:val="Heading2"/>
        <w:spacing w:after="160" w:before="300" w:line="360"/>
      </w:pPr>
      <w:bookmarkStart w:name="_Toc15" w:id="15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2.3 功能架构</w:t>
      </w:r>
      <w:bookmarkEnd w:id="1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4270"/>
        <w:gridCol w:w="170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页面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后端模块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首页综合展示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index.html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多源图层、底图切换、流域高亮、地名定位、统计概览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basin、geocode、data_query、economy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灾害数据库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query.html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类灾害浏览、属性查询、动态计数、缓冲分析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disaster、basin、data_query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灾害过程模拟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径流、阈值淹没、融雪识别、时序播放与导出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simulate、snowmelt_flood、runoff_engine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风险评估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H×E×V 计算、权重选择、五级分级、县域汇总与导出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决策支持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decision.html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 对话、专家名录、防灾实例、工程/非工程措施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llm、expert、decision、expert_kb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用户/角色/权限、审计日志、数据运维、智能体配置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admin、admin_db、system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登录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login.html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账号登录、会话建立、退出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</w:tr>
    </w:tbl>
    <w:p>
      <w:pPr>
        <w:pStyle w:val="Heading2"/>
        <w:spacing w:after="160" w:before="300" w:line="360"/>
      </w:pPr>
      <w:bookmarkStart w:name="_Toc16" w:id="1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2.4 技术架构</w:t>
      </w:r>
      <w:bookmarkEnd w:id="1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70"/>
        <w:gridCol w:w="37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层次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技术选型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版本/说明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前端地图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OpenLayers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本地托管，支持 EPSG:4326 与 Web Mercator 显示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前端栅格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GeoTIFF.js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浏览器端解码 LZW/Deflate 等压缩 GeoTIFF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前端图表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ECharts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统计饼图、柱状图、折线图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前端工程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原生 HTML/CSS/JavaScript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无构建系统，按依赖顺序加载，便于离线部署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后端框架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 + Blueprint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3.1.2；同源托管页面、静态资源与 API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科学计算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NumPy、SciPy、Pandas、Rasterio、GeoPandas、Shapely、PyProj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numpy 2.3.3、scipy 1.16.3、rasterio 1.4.3、geopandas 1.1.1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深度学习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PyTorch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2.8.0；CPU/GPU 自适应批处理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SQLite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索引库、权限库、知识库，零运维、随盘迁移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运行时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内嵌 CPython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3.12.6，位于 .runtime/python，可重定位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外部服务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高德地图 API、DeepSeek API</w:t>
            </w:r>
          </w:p>
        </w:tc>
        <w:tc>
          <w:tcPr>
            <w:tcW w:type="dxa" w:w="3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可选；密钥仅存后端环境变量</w:t>
            </w:r>
          </w:p>
        </w:tc>
      </w:tr>
    </w:tbl>
    <w:p>
      <w:pPr>
        <w:pStyle w:val="Heading2"/>
        <w:spacing w:after="160" w:before="300" w:line="360"/>
      </w:pPr>
      <w:bookmarkStart w:name="_Toc17" w:id="1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2.5 数据流与模块依赖</w:t>
      </w:r>
      <w:bookmarkEnd w:id="17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系统以“数据 → 模拟 → 评估 → 决策 → 管理”为纵向主线。洪水致灾链的强前置关系为：径流模拟产出逐日径流栅格，淹没判定将其与分位阈值比较生成逐日淹没栅格，风险评估再以淹没栅格作为危险性 H 的唯一输入。缺少上游产物时，风险评估接口返回 409 并明确指出缺失环节，避免以空数据生成“看似正常”的结果。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343275"/>
            <wp:effectExtent t="0" r="0" b="0" l="0"/>
            <wp:docPr id="2" name="dataflow.png" descr="图 2-2  业务主线与模块依赖" title="图 2-2  业务主线与模块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 w:line="280"/>
        <w:jc w:val="center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19"/>
          <w:szCs w:val="19"/>
        </w:rPr>
        <w:t xml:space="preserve">图 2-2  业务主线与模块依赖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70"/>
        <w:gridCol w:w="2300"/>
        <w:gridCol w:w="120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生产者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产物 / 接口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消费者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依赖性质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 / runoff_engine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逐日径流 GeoTIFF、/api/simulate/runoff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淹没判定、风险评估、系统状态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强前置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 / flood-inundation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逐日淹没 GeoTIFF、/api/simulate/flood-inundation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alert（H）、expert_kb、系统状态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强前置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风险/危险/暴露/脆弱 4 类 5 级 GeoTIFF、县域统计 JSON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前端图层、智能体方法学、报告导出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评估出口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disaster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 GeoJSON、/api/disaster/&lt;type&gt;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首页图层、灾害库、RAG 语料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数据底座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expert_kb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知识库 8 表、build_context(question)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llm（/api/llm/chat）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检索增强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 / admin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login_required、permission_required、审计日志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全站受保护接口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安全基座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/api/system/status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系统管理页状态面板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可观测性</w:t>
            </w:r>
          </w:p>
        </w:tc>
      </w:tr>
    </w:tbl>
    <w:p>
      <w:pPr>
        <w:pStyle w:val="Heading2"/>
        <w:spacing w:after="160" w:before="300" w:line="360"/>
      </w:pPr>
      <w:bookmarkStart w:name="_Toc18" w:id="1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2.6 部署架构</w:t>
      </w:r>
      <w:bookmarkEnd w:id="18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系统采用单机自包含部署：浏览器通过 HTTP 访问 Flask 应用，Flask 直接托管前端页面、静态资源与 API，计算结果写入本地 data/ 目录，权限与索引数据保存在本地 SQLite。Python 运行时内嵌在项目目录 .runtime/ 中，使整个项目可随硬盘迁移到任意 Windows 电脑运行，不依赖目标机器的 Python 安装。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476500"/>
            <wp:effectExtent t="0" r="0" b="0" l="0"/>
            <wp:docPr id="3" name="deployment.png" descr="图 2-3  单机自包含部署架构" title="图 2-3  单机自包含部署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80" w:line="280"/>
        <w:jc w:val="center"/>
      </w:pPr>
      <w:r>
        <w:rPr>
          <w:rFonts w:ascii="Times New Roman" w:eastAsia="宋体" w:hAnsi="Times New Roman"/>
          <w:b/>
          <w:bCs/>
          <w:i w:val="false"/>
          <w:iCs w:val="false"/>
          <w:color w:val="595959"/>
          <w:sz w:val="19"/>
          <w:szCs w:val="19"/>
        </w:rPr>
        <w:t xml:space="preserve">图 2-3  单机自包含部署架构</w:t>
      </w:r>
    </w:p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外部依赖说明：在线高德底图与地理编码、DeepSeek 决策智能体需要外网与有效密钥；二者不可用时，图层浏览（本地矢量）、灾害库、过程模拟、风险评估与系统管理仍可离线运行。</w:t>
      </w:r>
    </w:p>
    <w:p>
      <w:pPr>
        <w:pStyle w:val="Heading1"/>
        <w:pageBreakBefore/>
        <w:spacing w:after="240" w:before="240" w:line="360"/>
      </w:pPr>
      <w:bookmarkStart w:name="_Toc19" w:id="19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3 业务功能说明</w:t>
      </w:r>
      <w:bookmarkEnd w:id="19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系统由 7 个页面构成，覆盖“看、查、算、评、决、管”完整业务闭环。本章按页面顺序说明功能、输入、输出、约束与当前状态，并在 3.8 节给出端到端操作流程。</w:t>
      </w:r>
    </w:p>
    <w:p>
      <w:pPr>
        <w:pStyle w:val="Heading2"/>
        <w:spacing w:after="160" w:before="300" w:line="360"/>
      </w:pPr>
      <w:bookmarkStart w:name="_Toc20" w:id="2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3.1 首页综合展示</w:t>
      </w:r>
      <w:bookmarkEnd w:id="20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首页是全系统的空间入口与统一时空底座。页面以 OpenLayers 地图为核心，叠加基础地理、冰冻圈专题、灾害事件、基础设施与社会经济图层，并提供底图切换、图层控制、流域高亮、地名检索与统计概览。首页选定的流域与时空范围可作为后续模拟与评估的参数来源。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70"/>
        <w:gridCol w:w="3200"/>
      </w:tblGrid>
      <w:tr>
        <w:trPr>
          <w:cantSplit/>
          <w:tblHeader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图层组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主要图层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基础地理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国界、省界、市界、县界、流域、河网、湖泊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空间定位与评估范围约束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冰冻圈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冰川、多年冻土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寒区致灾环境背景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灾害事件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类冰冻圈灾害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历史灾害格局与事件检索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基础设施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铁路、公路、水坝、水库、电厂、居民点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承灾体与暴露度参照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社会经济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县域 GDP、人口等统计点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经济密度与暴露度背景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气象水文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气象站、水文站、气温/降水栅格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驱动数据可视化与查询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行政与驻点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国家/省/市/县驻地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行政层级浏览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主要交互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底图切换：矢量底图与影像底图一键切换；在线瓦片不可用时提示并保留本地矢量图层。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图层控制：按组勾选/取消专题图层，支持透明度调整与图例查看。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流域高亮：点击流域或通过下拉选择，联动高亮并作为模拟、评估的 basin_id。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地名定位：调用 /modules/geocode 进行地理编码，定位到坐标并弹出信息。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要素弹窗：点击站点、水坝、水库、居民点等要素查看属性，支持灾害影响范围缓冲分析。</w:t>
      </w:r>
    </w:p>
    <w:p>
      <w:pPr>
        <w:pStyle w:val="Heading2"/>
        <w:spacing w:after="160" w:before="300" w:line="360"/>
      </w:pPr>
      <w:bookmarkStart w:name="_Toc21" w:id="2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3.2 灾害数据库</w:t>
      </w:r>
      <w:bookmarkEnd w:id="21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灾害数据库集成 8 类冰冻圈灾害事件，按类型白名单路由加载 GeoJSON，提供事件浏览、属性查询、动态计数与缓冲分析。数据来源与文件名由后端统一白名单管理，前端不可任意指定文件路径。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70"/>
        <w:gridCol w:w="1400"/>
        <w:gridCol w:w="200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灾害类型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代码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几何类型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要素数量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降雨型洪水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rainfall_floods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融雪型洪水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snowmelt_floods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冰湖溃决洪水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glacial_lake_floods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滑坡堰塞湖溃决洪水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landslide_dam_floods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冰川跃动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glacier_surging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多年冻土热融滑塌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rts_qtp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2,669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雪崩危害范围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avalanche_hazard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风吹雪危害范围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blizzard_hazard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面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62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功能说明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类型切换：通过 /api/disaster/types 获取类型元数据与动态计数，通过 /api/disaster/&lt;type&gt; 加载事件 GeoJSON。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属性浏览：点击事件弹出属性表，中文字段名映射展示灾害编号、类型、时间、区域、面积等。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缓冲分析：可对选定要素生成 5/10/15/20 km 影响范围，并叠加基础设施图层辅助研判。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气象水文查询：按变量、日期范围检索 ERA5 栅格，结果可在地图叠加并导出列表。</w:t>
      </w:r>
    </w:p>
    <w:p>
      <w:pPr>
        <w:pStyle w:val="Heading2"/>
        <w:spacing w:after="160" w:before="300" w:line="360"/>
      </w:pPr>
      <w:bookmarkStart w:name="_Toc22" w:id="2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3.3 灾害过程模拟</w:t>
      </w:r>
      <w:bookmarkEnd w:id="22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过程模拟模块以“气象驱动 → LSTM 径流 → 阈值淹没”为主链路，并提供 GLDAS 融雪洪水识别。所有结果以 GeoTIFF 写盘，前端按日期播放并支持统计导出。</w:t>
      </w:r>
    </w:p>
    <w:p>
      <w:pPr>
        <w:pStyle w:val="Heading3"/>
        <w:spacing w:after="120" w:before="220" w:line="340"/>
      </w:pPr>
      <w:bookmarkStart w:name="_Toc23" w:id="23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3.3.1 LSTM 径流模拟</w:t>
      </w:r>
      <w:bookmarkEnd w:id="23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径流模拟以 ERA5 四变量（2 m 气温、2 m 最高气温、降水合计、降水最大值）为驱动，逐像元输入 LSTM，输出研究区逐日径流栅格。后端采用单任务锁，避免多个长任务同时占用 CPU/GPU；默认 batch 为 16,384 像元，以规避过大显存/内存导致的运行时崩溃。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3970"/>
        <w:gridCol w:w="170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是否必填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 / model_name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MODELS_DIR 下的 .pt 模型文件名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start_date / end_date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模拟起止日期（含端点）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basin_id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流域编号；指定后按流域边界裁剪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全研究区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batch_size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每批处理像元数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16,384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warmup_days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否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预热天数，用于状态初始化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处理流程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校验日期、模型与流域参数，检查索引库中驱动数据是否覆盖请求时段。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按日期顺序读取四变量 GeoTIFF，完成网格对齐、无效值掩膜与批量张量化。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逐批通过 LSTM 推理，得到逐像元日径流；按日期聚合后写入 runoff_results。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采用临时文件 + 原子替换写入 GeoTIFF，避免并发或中断产生半个文件。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返回文件列表、设备类型、批大小、像元数、耗时与回退原因等元数据。</w:t>
      </w:r>
    </w:p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输出与约束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输出：outputs/runoff_results/{YYYY-MM-DD}_runoff.tif；当前累计约 16,800 个文件、107.6 GB。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压缩与类型：LZW、float32、nodata=NaN；禁用 zstd（前端解码器不兼容）。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并发：同一时刻仅允许一个模拟任务，重复提交返回 409 simulation_busy。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现状：在线推理按 T=1 逐日执行，跨日记忆默认关闭；模型训练与在线推理的序列口径存在差异，详见 5.7 节。</w:t>
      </w:r>
    </w:p>
    <w:p>
      <w:pPr>
        <w:pStyle w:val="Heading3"/>
        <w:spacing w:after="120" w:before="220" w:line="340"/>
      </w:pPr>
      <w:bookmarkStart w:name="_Toc24" w:id="24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3.3.2 洪水淹没分析</w:t>
      </w:r>
      <w:bookmarkEnd w:id="24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淹没分析读取径流模拟产物，与用户选择的分位阈值场逐像元比较，判定当日是否淹没并统计淹没面积与比例。其本质是“超阈值径流强度”而非水动力演进，计算高效但忽略洪水汇流与时空滞后。</w:t>
      </w:r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判定公式：inundation(i,j,t) = runoff(i,j,t) ≥ threshold(i,j) ? runoff(i,j,t) : 0。阈值场包括 10p、50p、90p、95p、99p 五档，分别对应不同重现水平的宽松/严格情景。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7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输出字段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total_days / flood_days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请求时段总天数 / 发生淹没的天数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flood_probability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淹没天数占比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avg_flood_ratio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平均单日淹没像元占比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avg_mean_value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淹没区平均超阈值强度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flood_results[]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逐日结果：是否淹没、文件、像元数、比例、面积、均值、最大值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dates_processed / urls</w:t>
            </w:r>
          </w:p>
        </w:tc>
        <w:tc>
          <w:tcPr>
            <w:tcW w:type="dxa" w:w="6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处理日期与结果文件访问地址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前置条件：请求时段内必须已有径流产物，否则接口返回 400 并提示先运行径流模拟。结果文件写入 outputs/flood_inundation/，当前保留 2024 年 365 天、约 423 MB。</w:t>
      </w:r>
    </w:p>
    <w:p>
      <w:pPr>
        <w:pStyle w:val="Heading3"/>
        <w:spacing w:after="120" w:before="220" w:line="340"/>
      </w:pPr>
      <w:bookmarkStart w:name="_Toc25" w:id="25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3.3.3 融雪洪水识别</w:t>
      </w:r>
      <w:bookmarkEnd w:id="25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融雪洪水识别以 GLDAS 日融雪量为驱动，采用“当日融雪量 ≥ 当年年最大值”的年极值判据识别事件日，并可按流域裁剪。年最大值栅格缓存于 data/processed/GLDAS_snowmelt_max/，事件日结果写入同名目录。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必填参数：basin_id、model_name、start_date、end_date。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输出：total_days、valid_days、flood_days、flood_probability、avg_flood_ratio、事件日期与结果 URL。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限制：年极值判据在部分年份可能退化为“全年多日均为洪水”，建议后续改为分位数/倍数阈值并叠加最小面积门槛（见 5.7 节）。</w:t>
      </w:r>
    </w:p>
    <w:p>
      <w:pPr>
        <w:pStyle w:val="Heading3"/>
        <w:spacing w:after="120" w:before="220" w:line="340"/>
      </w:pPr>
      <w:bookmarkStart w:name="_Toc26" w:id="26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3.3.4 模拟结果可视化与导出</w:t>
      </w:r>
      <w:bookmarkEnd w:id="26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前端通过 fetch 获取 GeoTIFF 的 ArrayBuffer，使用 GeoTIFF.js 解码，按 2%/98% 分位拉伸后映射为 20 段彩虹色带，写入 canvas，再以 ol.source.ImageCanvas 叠加到地图。时序播放采用链式 setTimeout，按倍速逐帧加载。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图层控制：可调整透明度、显示/隐藏、查看图例。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统计导出：淹没统计可导出 CSV；风险统计可导出 CSV；图表可保存 PNG。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动画导出：支持将时序结果合成为 GIF（依赖 matplotlib/图像库）。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性能提示：一次请求加载全部日期 TIF 会占用大量内存，长时段建议分批/串行加载（见 11.2 节技术债）。</w:t>
      </w:r>
    </w:p>
    <w:p>
      <w:pPr>
        <w:pStyle w:val="Heading2"/>
        <w:spacing w:after="160" w:before="300" w:line="360"/>
      </w:pPr>
      <w:bookmarkStart w:name="_Toc27" w:id="2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3.4 风险评估</w:t>
      </w:r>
      <w:bookmarkEnd w:id="27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风险评估以栅格像元为基本单元，按 R = H × E × V 合成综合风险，输出风险、危险性、暴露度、脆弱性四类五级栅格及县域统计。该模块是系统“数据—模拟—评估—决策”主线的量化核心，其危险性 H 强制依赖上游淹没产物。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70"/>
        <w:gridCol w:w="250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输入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默认/取值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start_date / end_date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评估时段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2024-07-01 至 2024-08-31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basin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评估范围，可为 all 或流域标识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all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weight_method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权重方法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entropy（默认）/ custom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risk_weights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H/E/V 自定义权重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custom 时必填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exposure_weights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暴露度五维自定义权重</w:t>
            </w:r>
          </w:p>
        </w:tc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custom 时可选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计算步骤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读取时段内逐日淹没栅格，逐像元取最大值得到 H_raw，仅在淹没区做 min-max 归一化。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加载县域 GDP、人口、耕地、粮食、牲畜五维统计，按评估年就近取期，质心点 IDW（k=8，power=2）插值，并用 OSM landuse 做像素调制。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加载 SV_QTP 五期脆弱性面，按评估年就近取期栅格化；缺失县用淹没区非零中位数填充。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三要素在淹没区内归一化，按权重合成风险；非淹没区强制为 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对风险值按 q20/q40/q60/q80 分位分为 5 级，输出栅格与各级面积/县域统计。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70"/>
        <w:gridCol w:w="2300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风险等级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名称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数值区间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图例颜色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低风险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(0, q20)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#2c7bb6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较低风险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[q20, q40)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#abd9e9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中风险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[q40, q60)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#ffffbf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较高风险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[q60, q80)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#fdae61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高风险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[q80, +∞)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#d7191c</w:t>
            </w:r>
          </w:p>
        </w:tc>
      </w:tr>
    </w:tbl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>
        <w:trPr>
          <w:cantSplit/>
          <w:tblHeader/>
        </w:trPr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输出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risk_tif_url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综合风险五级 GeoTIFF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hazard_tif_url / exposure_tif_url / vulnerability_tif_url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三要素五级 GeoTIFF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stats.levels[5]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各级面积、GDP、人口、耕地、粮食、牲畜及占比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meta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权重方法与权重、脆弱性说明、CRS、像元大小、评估时段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缺失数据语义：若时段内无淹没产物，接口返回 409 与 missing_step（runoff / flood_inundation / range_mismatch），前端据此引导用户先完成上游模拟，避免生成无意义的风险结果。</w:t>
      </w:r>
    </w:p>
    <w:p>
      <w:pPr>
        <w:pStyle w:val="Heading2"/>
        <w:spacing w:after="160" w:before="300" w:line="360"/>
      </w:pPr>
      <w:bookmarkStart w:name="_Toc28" w:id="2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3.5 决策支持</w:t>
      </w:r>
      <w:bookmarkEnd w:id="28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决策支持模块由三部分组成：检索增强的决策智能体、院士专家名录、防灾决策内容库。其核心价值不是通用问答，而是把系统内部的灾害事件、县域经济、基础设施、方法学等真实数据注入大模型上下文，并要求回答标注数据来源。</w:t>
      </w:r>
    </w:p>
    <w:p>
      <w:pPr>
        <w:pStyle w:val="Heading3"/>
        <w:spacing w:after="120" w:before="220" w:line="340"/>
      </w:pPr>
      <w:bookmarkStart w:name="_Toc29" w:id="29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3.5.1 决策智能体（RAG）</w:t>
      </w:r>
      <w:bookmarkEnd w:id="29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交互方式：前端通过 POST /api/llm/chat 发送消息数组，后端以 SSE 流式返回增量内容。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上下文控制：仅取最近 20 条消息，单条截断 4,000 字，防止上下文溢出。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检索增强：expert_kb.build_context 按灾害类型、区域、年份关键词路由到参数化 SQL，检索案例、县域、设施、站点与方法学，注入最后一条用户消息。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可溯源：系统提示词要求对结论标注 [数据源:xxx]；数据未覆盖时须显式说明，不得编造。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安全：DeepSeek 密钥仅存后端环境变量，前端不可见；系统提示词可由管理员在系统管理中覆盖。</w:t>
      </w:r>
    </w:p>
    <w:p>
      <w:pPr>
        <w:pStyle w:val="Heading3"/>
        <w:spacing w:after="120" w:before="220" w:line="340"/>
      </w:pPr>
      <w:bookmarkStart w:name="_Toc30" w:id="30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3.5.2 院士专家名录</w:t>
      </w:r>
      <w:bookmarkEnd w:id="30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专家名录收录 10 位冰冻圈、水文、地质灾害、寒区工程等领域专家（6 位院士、3 位研究员、1 位所长），字段包括姓名、单位、研究方向、公开联系方式与资料来源。支持按领域筛选与关键词搜索，接口为 /api/expert/profiles 与 /api/expert/fields。</w:t>
      </w:r>
    </w:p>
    <w:p>
      <w:pPr>
        <w:pStyle w:val="Heading3"/>
        <w:spacing w:after="120" w:before="220" w:line="340"/>
      </w:pPr>
      <w:bookmarkStart w:name="_Toc31" w:id="31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3.5.3 防灾决策内容库</w:t>
      </w:r>
      <w:bookmarkEnd w:id="3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477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内容类别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数量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组织方式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防灾减灾实例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10 例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按灾种/区域/处置过程组织，含来源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工程措施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条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类工程措施，含适用条件与来源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非工程措施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 条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类非工程措施，含适用条件与来源</w:t>
            </w:r>
          </w:p>
        </w:tc>
      </w:tr>
    </w:tbl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内容以静态 JSON 存放于 data/webgis/content/decision_content.json，由 /api/decision/content 提供；智能体可引用这些条目作为建议依据。</w:t>
      </w:r>
    </w:p>
    <w:p>
      <w:pPr>
        <w:pStyle w:val="Heading2"/>
        <w:spacing w:after="160" w:before="300" w:line="360"/>
      </w:pPr>
      <w:bookmarkStart w:name="_Toc32" w:id="3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3.6 系统管理</w:t>
      </w:r>
      <w:bookmarkEnd w:id="32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系统管理面向管理员，提供账号、角色、权限、日志、数据文件与智能体配置的集中运维。所有接口在登录基础上叠加权限点校验，形成“登录 + 权限”的双层防线。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670"/>
        <w:gridCol w:w="17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子模块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主要功能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权限点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系统概览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版本、运行时长、模型数量、存储与在线用户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system:view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分页查询、新建、编辑、删除、重置密码、批量启停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user:view / create / update / delete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角色列表、新建、编辑、删除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role:view / create / update / delete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权限管理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权限点清单、角色权限查询与分配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permission:view / assign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日志统计、筛选查询、清空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log:view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数据管理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数据目录树、文件列表、上传、删除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data:manage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智能体配置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读取、修改、重置系统提示词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setting:edit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修改密码</w:t>
            </w:r>
          </w:p>
        </w:tc>
        <w:tc>
          <w:tcPr>
            <w:tcW w:type="dxa" w:w="5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当前用户修改密码</w:t>
            </w:r>
          </w:p>
        </w:tc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setting:edit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安全提示：当前清空审计日志仅校验 log:view（查看权限），建议移交前改为独立的 log:delete 权限，避免只读角色销毁审计记录。</w:t>
      </w:r>
    </w:p>
    <w:p>
      <w:pPr>
        <w:pStyle w:val="Heading2"/>
        <w:spacing w:after="160" w:before="300" w:line="360"/>
      </w:pPr>
      <w:bookmarkStart w:name="_Toc33" w:id="3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3.7 登录与权限</w:t>
      </w:r>
      <w:bookmarkEnd w:id="33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系统采用基于 Cookie 的会话认证。登录成功后服务端写入 session，Cookie 设置 HttpOnly、SameSite=Lax，有效期 8 小时。未登录访问受保护接口返回 401；已登录但无权限返回 403。内置三类角色：admin（系统管理员）、operator（业务操作员）、viewer（只读访客），共 14 个权限点。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57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角色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代码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默认账号</w:t>
            </w:r>
          </w:p>
        </w:tc>
        <w:tc>
          <w:tcPr>
            <w:tcW w:type="dxa" w:w="35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典型权限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系统管理员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35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全部权限，含用户/角色/权限/日志/数据/设置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业务操作员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operator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operator</w:t>
            </w:r>
          </w:p>
        </w:tc>
        <w:tc>
          <w:tcPr>
            <w:tcW w:type="dxa" w:w="35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业务查询、模拟、评估、决策内容查看与部分写操作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只读访客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viewer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viewer</w:t>
            </w:r>
          </w:p>
        </w:tc>
        <w:tc>
          <w:tcPr>
            <w:tcW w:type="dxa" w:w="35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图层、灾害库、风险结果、专家与决策内容查看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初始口令必须通过 .env 覆盖默认值；生产环境不得使用文档或示例中的默认账号口令。详见第 8 章安全基线。</w:t>
      </w:r>
    </w:p>
    <w:p>
      <w:pPr>
        <w:pStyle w:val="Heading2"/>
        <w:spacing w:after="160" w:before="300" w:line="360"/>
      </w:pPr>
      <w:bookmarkStart w:name="_Toc34" w:id="3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3.8 典型端到端业务流程</w:t>
      </w:r>
      <w:bookmarkEnd w:id="34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以“某流域 2024 年 7—8 月洪水风险评估”为例，推荐操作顺序如下：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1 空间定位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：在首页选择流域或输入地名定位，确认研究范围与图层背景。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2 灾害背景核查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：进入灾害数据库，按类型浏览历史事件，必要时做缓冲分析。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3 径流模拟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：进入模拟预测，选择模型与时段，运行 LSTM 径流，检查进度与结果图层。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4 淹没分析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：选择阈值档位（如 90p/95p），运行淹没判定，核对淹没面积与概率统计。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5 风险评估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：进入风险评估，选择时段、流域与权重方法，生成 H/E/V 与综合风险图层，查看分级统计与县域汇总。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6 决策会商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：进入决策支持，向智能体询问高风险区处置建议，核对 [数据源] 标注；检索专家与措施库。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  <w:r>
        <w:rPr>
          <w:rFonts w:ascii="Times New Roman" w:eastAsia="宋体" w:hAnsi="Times New Roman"/>
          <w:b/>
          <w:bCs/>
          <w:i w:val="false"/>
          <w:iCs w:val="false"/>
          <w:sz w:val="24"/>
          <w:szCs w:val="24"/>
        </w:rPr>
        <w:t xml:space="preserve">步骤 7 成果归档</w:t>
      </w: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：导出风险统计 CSV、GeoTIFF 与图表 PNG，纳入评估报告；管理员在审计日志中核对操作记录。</w:t>
      </w:r>
    </w:p>
    <w:p>
      <w:pPr>
        <w:pStyle w:val="Heading1"/>
        <w:pageBreakBefore/>
        <w:spacing w:after="240" w:before="240" w:line="360"/>
      </w:pPr>
      <w:bookmarkStart w:name="_Toc35" w:id="35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4 数据体系</w:t>
      </w:r>
      <w:bookmarkEnd w:id="35"/>
    </w:p>
    <w:p>
      <w:pPr>
        <w:pStyle w:val="Heading2"/>
        <w:spacing w:after="160" w:before="300" w:line="360"/>
      </w:pPr>
      <w:bookmarkStart w:name="_Toc36" w:id="3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4.1 数据总体构成</w:t>
      </w:r>
      <w:bookmarkEnd w:id="36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系统数据分为原始输入、中间成果与 WebGIS 子系统数据三层，统一收口在 data/ 目录。原始数据只读，中间成果可重建，运行产物可再生；权限库与业务内容数据随系统交付。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1600"/>
        <w:gridCol w:w="42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一级目录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文件数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体量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内容与定位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393,098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5.1 TB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ERA5/GLDAS 驱动、GeoJSON 底图、DEM、模型、阈值、社会经济原始资料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2,450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2.6 GB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经济派生 CSV、索引与权限库、栅格化成果、融雪年最大缓存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data/webgis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17,231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108 GB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业务内容 JSON、上传数据、径流/淹没/风险运行产物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合计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41.3 万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5.2 TB</w:t>
            </w:r>
          </w:p>
        </w:tc>
        <w:tc>
          <w:tcPr>
            <w:tcW w:type="dxa" w:w="4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随硬盘迁移；除交付物外不纳入 Git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口径说明：项目早期 README 记载数据区约 82 GB，系当时仅纳入部分变量目录的阶段性口径。本说明书采用 2026-10-21 对 data/ 全目录枚举的实测值；其中 ERA5 四变量约 1.5 TB，积雪类扩展变量约 3.8 TB。</w:t>
      </w:r>
    </w:p>
    <w:p>
      <w:pPr>
        <w:pStyle w:val="Heading2"/>
        <w:spacing w:after="160" w:before="300" w:line="360"/>
      </w:pPr>
      <w:bookmarkStart w:name="_Toc37" w:id="3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4.2 气象驱动数据（ERA5）</w:t>
      </w:r>
      <w:bookmarkEnd w:id="37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700"/>
        <w:gridCol w:w="1000"/>
        <w:gridCol w:w="117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变量目录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TIF 数量</w:t>
            </w:r>
          </w:p>
        </w:tc>
        <w:tc>
          <w:tcPr>
            <w:tcW w:type="dxa" w:w="2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年份范围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单文件均值</w:t>
            </w:r>
          </w:p>
        </w:tc>
        <w:tc>
          <w:tcPr>
            <w:tcW w:type="dxa" w:w="1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体量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temperature_2m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16,615</w:t>
            </w:r>
          </w:p>
        </w:tc>
        <w:tc>
          <w:tcPr>
            <w:tcW w:type="dxa" w:w="2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1980-01-01—2025-12-30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22.75 MB</w:t>
            </w:r>
          </w:p>
        </w:tc>
        <w:tc>
          <w:tcPr>
            <w:tcW w:type="dxa" w:w="1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369.2 GB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temperature_2m_max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16,800</w:t>
            </w:r>
          </w:p>
        </w:tc>
        <w:tc>
          <w:tcPr>
            <w:tcW w:type="dxa" w:w="2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1980-01-01—2025-12-30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22.75 MB</w:t>
            </w:r>
          </w:p>
        </w:tc>
        <w:tc>
          <w:tcPr>
            <w:tcW w:type="dxa" w:w="1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382.3 GB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total_precipitation_max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16,616</w:t>
            </w:r>
          </w:p>
        </w:tc>
        <w:tc>
          <w:tcPr>
            <w:tcW w:type="dxa" w:w="2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1980-01-01—2025-12-30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22.75 MB</w:t>
            </w:r>
          </w:p>
        </w:tc>
        <w:tc>
          <w:tcPr>
            <w:tcW w:type="dxa" w:w="1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378.1 GB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total_precipitation_sum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16,037</w:t>
            </w:r>
          </w:p>
        </w:tc>
        <w:tc>
          <w:tcPr>
            <w:tcW w:type="dxa" w:w="2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1980-01-01—2025-12-30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22.75 MB</w:t>
            </w:r>
          </w:p>
        </w:tc>
        <w:tc>
          <w:tcPr>
            <w:tcW w:type="dxa" w:w="1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364.9 GB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格式与坐标：GeoTIFF，EPSG:4326，float32，空间分辨率 0.008983°（约 1 km）。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命名规则：{变量}_{YYYY-MM-DD}.tif，同名 .tfw 与 .tif.aux.xml 辅助文件。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缺失情况：四变量分别缺 185、0、184、763 天；缺失日期在模拟中按无效值掩膜处理。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单位：实测已为摄氏度与毫米，无需 K→℃、m→mm 换算。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扩展变量：raw/TibetanPlateau 下另有 snowfall_sum、snow_cover、snow_depth、snow_water_equivalent 四个积雪变量（1950—2024），当前主链路未使用。</w:t>
      </w:r>
    </w:p>
    <w:p>
      <w:pPr>
        <w:pStyle w:val="Heading2"/>
        <w:spacing w:after="160" w:before="300" w:line="360"/>
      </w:pPr>
      <w:bookmarkStart w:name="_Toc38" w:id="3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4.3 融雪与冰冻圈灾害数据</w:t>
      </w:r>
      <w:bookmarkEnd w:id="38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000"/>
        <w:gridCol w:w="2200"/>
        <w:gridCol w:w="370"/>
      </w:tblGrid>
      <w:tr>
        <w:trPr>
          <w:cantSplit/>
          <w:tblHeader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格式/分辨率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时间范围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规模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 日融雪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GeoTIFF，0.0898°（约 10 km）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1980-01-01—2025-12-31 逐日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50,406 个文件，6.2 GB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融雪洪水识别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类灾害事件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 点/面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历史事件（各类型不一）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36 个 GeoJSON 共 391 MB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灾害库、RAG 语料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冰川/冻土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 Polygon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现状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冰川约 270 MB；冻土 12,534 面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寒区环境背景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流域/河网/湖泊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现状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 15/12/61；河网 9,508/213/104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空间约束与底图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基础设施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现状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水坝 230、水库 93、电厂 337、道路 151/189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承灾体参照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居民点/台站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 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现状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居民点 2/26/162；台站 106/106/17</w:t>
            </w:r>
          </w:p>
        </w:tc>
        <w:tc>
          <w:tcPr>
            <w:tcW w:type="dxa" w:w="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暴露度与底图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GLDAS 目录名为 GLDAS025_Snowmelt，但实测分辨率约 0.0898°，与“025”（0.25°）命名不一致，需在移交时确认数据产品来源与重采样过程。</w:t>
      </w:r>
    </w:p>
    <w:p>
      <w:pPr>
        <w:pStyle w:val="Heading2"/>
        <w:spacing w:after="160" w:before="300" w:line="360"/>
      </w:pPr>
      <w:bookmarkStart w:name="_Toc39" w:id="3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4.4 社会经济与脆弱性数据</w:t>
      </w:r>
      <w:bookmarkEnd w:id="39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70"/>
        <w:gridCol w:w="9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维度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清洗后文件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基准年处理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county_gdp_latest.csv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 ≤ 评估年最近期；仅至 2015 时外推并标注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 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人口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county_population_latest.csv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取最新年份人口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 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耕地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county_arable_latest.csv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 ≤ 评估年最近期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 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粮食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county_grain_latest.csv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 ≤ 评估年最近期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 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牲畜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county_livestock_latest.csv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取 ≤ 评估年最近期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 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脆弱性</w:t>
            </w:r>
          </w:p>
        </w:tc>
        <w:tc>
          <w:tcPr>
            <w:tcW w:type="dxa" w:w="3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SV_QTP_2000-2020.shp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SV2000/2005/2010/2015/2020 就近取期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脆弱性 V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县域名称规范化：去行政后缀，建立历史别名映射（如合作市↔夏河县），避免匹配失败。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单位统一：GDP 由亿元统一为万元；其余指标按原始统计单位保留并标注。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空间化：县域质心点 IDW（k=8，power=2）插值，再以 OSM landuse 做像素调制，向居民地/耕地/草地等真实承灾地类集中。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脆弱性缺失：县域 SV ≤ 0 视为缺失，用淹没区非零 SV 中位数填充，避免异常归零。</w:t>
      </w:r>
    </w:p>
    <w:p>
      <w:pPr>
        <w:pStyle w:val="Heading2"/>
        <w:spacing w:after="160" w:before="300" w:line="360"/>
      </w:pPr>
      <w:bookmarkStart w:name="_Toc40" w:id="4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4.5 模型、阈值与地形数据</w:t>
      </w:r>
      <w:bookmarkEnd w:id="4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670"/>
        <w:gridCol w:w="1500"/>
      </w:tblGrid>
      <w:tr>
        <w:trPr>
          <w:cantSplit/>
          <w:tblHeader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文件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规模/分辨率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models/lstm_runoff_model.pt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0.47 MB；123,301 参数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径流权重；当前仅含权重，无变量顺序/归一化元数据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thresholds/grid_threshold_{10,50,90,95,99}p.tif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 个，共 32.7 MB；3479×1560；0.008983°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径流分位阈值场，用于淹没判定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thresholds2024/ 同名 5 个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共 28.7 MB；3478×1557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2024 年专用阈值场（99p 文件偏小，待确认）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dem/TP_China_dem.tif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2.42 GB；37,487×16,806；约 90 m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研究区 DEM，用于地形背景与潜在淹没约束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models/Perma_Distr_map21.tif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22 MB；937.49 m；ESRI:102025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冻土分布辅助图层</w:t>
            </w:r>
          </w:p>
        </w:tc>
      </w:tr>
    </w:tbl>
    <w:p>
      <w:pPr>
        <w:pStyle w:val="Heading2"/>
        <w:spacing w:after="160" w:before="300" w:line="360"/>
      </w:pPr>
      <w:bookmarkStart w:name="_Toc41" w:id="4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4.6 数据库设计</w:t>
      </w:r>
      <w:bookmarkEnd w:id="4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337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位置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主要表（行数）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TibetanPlateau_index.db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TibetanPlateau_index（130,680）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变量—日期—路径索引，模拟与查询共用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admin.db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users(3)、roles(3)、permissions(14)、role_permissions(33)、admin_logs(55)、settings(0)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账号、角色、权限、审计与系统设置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expert_kb.db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kb_disaster_cases(3,688)、kb_counties(2,089)、kb_infra(660)、kb_stations(106)、kb_sources(16)、kb_geo_overview(7)、kb_methods(5)、kb_era5_stats(1)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 决策知识库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era5_index.db（备份）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data/processed/db/_backup_20260907/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era5_index(100,804)、flood_mask_index(366)、flood_png_index(366)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历史索引备份，主目录不再使用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索引表关键字段：variable、date、file_path、bbox_minx/miny/maxx/maxy、bands、crs；索引 idx_var_date(variable, date)。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权限库启动时幂等建表并写入种子数据；知识库需通过 python -m modules.expert_kb 构建或重建。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完整表结构见附录 D。</w:t>
      </w:r>
    </w:p>
    <w:p>
      <w:pPr>
        <w:pStyle w:val="Heading2"/>
        <w:spacing w:after="160" w:before="300" w:line="360"/>
      </w:pPr>
      <w:bookmarkStart w:name="_Toc42" w:id="4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4.7 目录与命名规范</w:t>
      </w:r>
      <w:bookmarkEnd w:id="42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470"/>
        <w:gridCol w:w="390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约定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规则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项目根定位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所有路径基于 config.BASE_DIR 相对解析，不写死盘符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BASE_DIR/data/raw/...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驱动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变量目录 + 日期文件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TibetanPlateau/temperature_2m/temperature_2m_2024-07-01.tif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 融雪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位日期文件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GLDAS025_Snowmelt/20240701.tif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径流产物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日期_runoff.tif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runoff_results/2024-07-01_runoff.tif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淹没产物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日期_flood_inundation.tif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flood_inundation/2024-07-01_flood_inundation.tif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风险产物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时段前缀 + 要素名 + 分级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risk_results/2024-07-01_2024-08-31_risk_level.tif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行政区/流域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GeoJSON，WGS84</w:t>
            </w:r>
          </w:p>
        </w:tc>
        <w:tc>
          <w:tcPr>
            <w:tcW w:type="dxa" w:w="3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geo/boundary/TP_China.geojson</w:t>
            </w:r>
          </w:p>
        </w:tc>
      </w:tr>
    </w:tbl>
    <w:p>
      <w:pPr>
        <w:pStyle w:val="Heading2"/>
        <w:spacing w:after="160" w:before="300" w:line="360"/>
      </w:pPr>
      <w:bookmarkStart w:name="_Toc43" w:id="4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4.8 数据质量、缺口与治理</w:t>
      </w:r>
      <w:bookmarkEnd w:id="43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870"/>
        <w:gridCol w:w="24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缺口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影响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网格化人口（WorldPop/LandScan）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暴露度只能县域插值，山区精度低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接入 100 m 人口栅格，替代/校正 IDW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网格 GDP / 夜间灯光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 暴露仅县域点插值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引入 NTL 反演或网格 GDP 产品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土地覆盖/耕地栅格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难以精确掩膜建成区与耕地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引入 FROM-GLC10、GLC_FCS30 等 30 m 产品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历史灾情/洪水事件点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风险分级缺 ROC/命中率校验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整理事件点并建立验证集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精细社会脆弱性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脆弱性仅县域代理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接入普查级年龄/贫困/教育/住房指标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数据时效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 仅至 2015、人口单年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外推并显式标注基准年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县域名称历史变更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匹配失败风险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维护别名表并纳入预处理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待确认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DEM_FILE 指向不存在文件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配置项无可执行引用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删除死配置或指向 processed/dem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待确认</w:t>
            </w:r>
          </w:p>
        </w:tc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索引库同日期变量双记录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去重后仅 16,800 日期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明确相对/绝对路径双记录策略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数据治理要求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原始数据只读：data/raw 不做原地修改，派生数据一律写入 data/processed 或 outputs。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产物可再生：runoff_results、flood_inundation、risk_results 可由模型与阈值重跑生成，不作为唯一交付物。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内容数据受控：webgis/content 与 uploads 纳入版本管理或备份，变更需留痕。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索引一致性：新增驱动数据后需同步更新 TibetanPlateau_index.db，否则按索引查询会漏数据。</w:t>
      </w:r>
    </w:p>
    <w:p>
      <w:pPr>
        <w:pStyle w:val="Heading1"/>
        <w:pageBreakBefore/>
        <w:spacing w:after="240" w:before="240" w:line="360"/>
      </w:pPr>
      <w:bookmarkStart w:name="_Toc44" w:id="44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5 模型与算法</w:t>
      </w:r>
      <w:bookmarkEnd w:id="44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本章说明系统核心模型的结构、训练/推理口径、关键公式、验证结果与已知限制。涉及代码审查发现的模型风险，在 5.7 节集中列出，供移交评审与后续改进参考。</w:t>
      </w:r>
    </w:p>
    <w:p>
      <w:pPr>
        <w:pStyle w:val="Heading2"/>
        <w:spacing w:after="160" w:before="300" w:line="360"/>
      </w:pPr>
      <w:bookmarkStart w:name="_Toc45" w:id="45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5.1 LSTM 径流模型</w:t>
      </w:r>
      <w:bookmarkEnd w:id="4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配置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网络结构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 层 LSTM（input_size=4，hidden_size=100，dropout=0.2）→ Linear(100→1) → ReLU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参数量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123,301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输入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batch × 最多 31 天 × 4 变量（气温、最高气温、降水合计、降水最大值）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输出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逐日径流 [B, T]；月径流为逐日求和 [B]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训练样本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叶尔羌河流域逐日面平均，540 个月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数据划分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 1956—1990（420 个月）；测试 1991—2000（120 个月）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训练超参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EPOCHS=55，BATCH_SIZE=12，INIT_LR=0.005，ExponentialLR gamma=0.9，MSELoss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权重文件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models/lstm_runoff_model.pt（0.47 MB）</w:t>
            </w:r>
          </w:p>
        </w:tc>
      </w:tr>
    </w:tbl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在线推理流程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按请求日期逐日读取四变量 GeoTIFF，使用索引库定位文件，完成网格对齐与无效值掩膜。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将有效像元组织为 batch × 1 × 4 张量，按 16,384 像元分批送入模型。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逐日输出径流，写入 float32、LZW、nodata=NaN 的 GeoTIFF；写盘采用原子替换。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返回设备、批大小、像元数、跨日记忆状态、无效值填充数与耗时。</w:t>
      </w:r>
    </w:p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性能基线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70"/>
        <w:gridCol w:w="2000"/>
        <w:gridCol w:w="160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场景</w:t>
            </w:r>
          </w:p>
        </w:tc>
        <w:tc>
          <w:tcPr>
            <w:tcW w:type="dxa" w:w="2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改进后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改进前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提升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单日端到端径流模拟</w:t>
            </w:r>
          </w:p>
        </w:tc>
        <w:tc>
          <w:tcPr>
            <w:tcW w:type="dxa" w:w="2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21.1 s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159 s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7.5×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流域掩膜计算</w:t>
            </w:r>
          </w:p>
        </w:tc>
        <w:tc>
          <w:tcPr>
            <w:tcW w:type="dxa" w:w="2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0.6 s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约 265×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无效像元算力浪费</w:t>
            </w:r>
          </w:p>
        </w:tc>
        <w:tc>
          <w:tcPr>
            <w:tcW w:type="dxa" w:w="2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已通过掩膜前置回收（约 41.6%）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160" w:before="300" w:line="360"/>
      </w:pPr>
      <w:bookmarkStart w:name="_Toc46" w:id="4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5.2 分位阈值洪水淹没</w:t>
      </w:r>
      <w:bookmarkEnd w:id="46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淹没模型将径流视为致灾强度，以历史径流分位数作为阈值：径流超过阈值即判为淹没，并保留超阈值径流量作为强度值。该方法计算代价低、可批量处理长时序，适合情景对比；但其物理简化明显，未考虑汇流、演进、地形与堤防。</w:t>
      </w:r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阈值场由多年径流逐像元分位数生成，默认 10p/50p/90p/95p/99p。10p 对应宽松情景，99p 对应极端情景。阈值场分辨率与径流栅格一致（3479×1560，0.008983°），保证逐像元比较无需重采样。</w:t>
      </w:r>
    </w:p>
    <w:p>
      <w:pPr>
        <w:pStyle w:val="Heading2"/>
        <w:spacing w:after="160" w:before="300" w:line="360"/>
      </w:pPr>
      <w:bookmarkStart w:name="_Toc47" w:id="4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5.3 融雪洪水识别</w:t>
      </w:r>
      <w:bookmarkEnd w:id="47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以 GLDAS 日融雪量为输入，逐像元比较“当日融雪量”与“当年年最大值”，满足即判为融雪洪水事件日。年最大值栅格按年缓存，避免重复计算。该判据实现简单，但在年最大值的像元尺度上容易产生大量事件日，建议后续引入分位数（如 95p/99p）、倍数阈值与最小连片面积约束，并与历史融雪洪水事件做命中率验证。</w:t>
      </w:r>
    </w:p>
    <w:p>
      <w:pPr>
        <w:pStyle w:val="Heading2"/>
        <w:spacing w:after="160" w:before="300" w:line="360"/>
      </w:pPr>
      <w:bookmarkStart w:name="_Toc48" w:id="4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5.4 风险评估模型</w:t>
      </w:r>
      <w:bookmarkEnd w:id="48"/>
    </w:p>
    <w:p>
      <w:pPr>
        <w:pStyle w:val="Heading3"/>
        <w:spacing w:after="120" w:before="220" w:line="340"/>
      </w:pPr>
      <w:bookmarkStart w:name="_Toc49" w:id="49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5.4.1 理论框架</w:t>
      </w:r>
      <w:bookmarkEnd w:id="49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采用国际通用的 R = H × E × V 框架（UNDRR、IPCC AR5、第一次全国自然灾害综合风险普查）。三要素均归一化至 [0,1]，非淹没区风险强制为 0，体现“无危险则无风险”。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70"/>
        <w:gridCol w:w="45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要素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定义</w:t>
            </w:r>
          </w:p>
        </w:tc>
        <w:tc>
          <w:tcPr>
            <w:tcW w:type="dxa" w:w="4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系统实现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 危险性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时段内最大淹没强度</w:t>
            </w:r>
          </w:p>
        </w:tc>
        <w:tc>
          <w:tcPr>
            <w:tcW w:type="dxa" w:w="4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逐日淹没栅格取最大值，淹没区 min-max 归一化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 暴露度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承灾体暴露程度</w:t>
            </w:r>
          </w:p>
        </w:tc>
        <w:tc>
          <w:tcPr>
            <w:tcW w:type="dxa" w:w="4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GDP/人口/耕地/粮食/牲畜五维，IDW + OSM 调制，归一化后合成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 脆弱性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承灾体抗灾与恢复能力</w:t>
            </w:r>
          </w:p>
        </w:tc>
        <w:tc>
          <w:tcPr>
            <w:tcW w:type="dxa" w:w="4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SV_QTP 五期就近取期栅格化，缺失中位数填充，归一化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 风险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综合风险</w:t>
            </w:r>
          </w:p>
        </w:tc>
        <w:tc>
          <w:tcPr>
            <w:tcW w:type="dxa" w:w="4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加权几何平均/乘积合成，分位数五级分级</w:t>
            </w:r>
          </w:p>
        </w:tc>
      </w:tr>
    </w:tbl>
    <w:p>
      <w:pPr>
        <w:pStyle w:val="Heading3"/>
        <w:spacing w:after="120" w:before="220" w:line="340"/>
      </w:pPr>
      <w:bookmarkStart w:name="_Toc50" w:id="50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5.4.2 权重方法</w:t>
      </w:r>
      <w:bookmarkEnd w:id="5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70"/>
        <w:gridCol w:w="440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方法</w:t>
            </w:r>
          </w:p>
        </w:tc>
        <w:tc>
          <w:tcPr>
            <w:tcW w:type="dxa" w:w="2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适用</w:t>
            </w:r>
          </w:p>
        </w:tc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实现要点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entropy（默认）</w:t>
            </w:r>
          </w:p>
        </w:tc>
        <w:tc>
          <w:tcPr>
            <w:tcW w:type="dxa" w:w="2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无专家先验的客观赋权</w:t>
            </w:r>
          </w:p>
        </w:tc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顶层 H/E/V 采用熵权 × AHP 先验凸组合（α=0.60，先验 [0.40,0.35,0.25]），防止结构性因子被数据判零；暴露度五维用纯熵权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custom</w:t>
            </w:r>
          </w:p>
        </w:tc>
        <w:tc>
          <w:tcPr>
            <w:tcW w:type="dxa" w:w="2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专家会商/情景对比</w:t>
            </w:r>
          </w:p>
        </w:tc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前端滑块指定 H/E/V 与五维权重，后端归一化后使用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熵权法要点：比重沿“像元轴”归一化，而非指标轴；退化情形（熵值为 0、权重全零）回退等权，避免 NaN 与零权。</w:t>
      </w:r>
    </w:p>
    <w:p>
      <w:pPr>
        <w:pStyle w:val="Heading3"/>
        <w:spacing w:after="120" w:before="220" w:line="340"/>
      </w:pPr>
      <w:bookmarkStart w:name="_Toc51" w:id="51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5.4.3 分级与县域汇总</w:t>
      </w:r>
      <w:bookmarkEnd w:id="51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风险分级采用分位数法（q20/40/60/80），使各级面积大致均衡，便于区域内部比较；其代价是阈值为相对值，不同情景/年份的绝对风险值不可直接比较。县域汇总采用“质心落入法”，仅对质心落入淹没区的县域求和，避免 IDW 面积分解造成的统计失真。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7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汇总项</w:t>
            </w:r>
          </w:p>
        </w:tc>
        <w:tc>
          <w:tcPr>
            <w:tcW w:type="dxa" w:w="6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口径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淹没面积</w:t>
            </w:r>
          </w:p>
        </w:tc>
        <w:tc>
          <w:tcPr>
            <w:tcW w:type="dxa" w:w="6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淹没像元数 × 像元面积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 / 人口 / 耕地 / 粮食 / 牲畜</w:t>
            </w:r>
          </w:p>
        </w:tc>
        <w:tc>
          <w:tcPr>
            <w:tcW w:type="dxa" w:w="6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质心落入淹没区的县域权威统计值求和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各级占比</w:t>
            </w:r>
          </w:p>
        </w:tc>
        <w:tc>
          <w:tcPr>
            <w:tcW w:type="dxa" w:w="6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各风险等级面积 / 淹没总面积</w:t>
            </w:r>
          </w:p>
        </w:tc>
      </w:tr>
    </w:tbl>
    <w:p>
      <w:pPr>
        <w:pStyle w:val="Heading2"/>
        <w:spacing w:after="160" w:before="300" w:line="360"/>
      </w:pPr>
      <w:bookmarkStart w:name="_Toc52" w:id="5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5.5 RAG 决策智能体</w:t>
      </w:r>
      <w:bookmarkEnd w:id="52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智能体由“大模型代理 + 检索增强 + 数据溯源”三部分组成。后端 llm.py 作为 OpenAI 兼容接口的安全代理，密钥不出后端；expert_kb.py 负责知识库构建与上下文检索。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环节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实现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消息裁剪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仅保留最近 20 条，单条超过 4,000 字截断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关键词路由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识别灾害类型、区域、年份，路由到案例/县域/设施/站点/方法学表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SQL 检索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参数化查询，避免注入；降级链为 类型→区域→全量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上下文注入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将检索结果注入最后一条用户消息，要求以 [数据源:xxx] 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流式输出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SSE 逐段返回 content，结束标记 [DONE]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降级策略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知识库缺失时仍可对话，但明确提示数据未覆盖</w:t>
            </w:r>
          </w:p>
        </w:tc>
      </w:tr>
    </w:tbl>
    <w:p>
      <w:pPr>
        <w:pStyle w:val="Heading2"/>
        <w:spacing w:after="160" w:before="300" w:line="360"/>
      </w:pPr>
      <w:bookmarkStart w:name="_Toc53" w:id="5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5.6 模型与结果验证</w:t>
      </w:r>
      <w:bookmarkEnd w:id="53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验证目录 validation/ 以历史洪水点位检验危险性格局的命中情况：将点位与五级危险性栅格叠加，统计点落入淹没/危险区的比例，并设置不同空间容差。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200"/>
        <w:gridCol w:w="1000"/>
        <w:gridCol w:w="1200"/>
        <w:gridCol w:w="2200"/>
      </w:tblGrid>
      <w:tr>
        <w:trPr>
          <w:cantSplit/>
          <w:tblHeader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验证口径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参与点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命中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命中率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SHP 精编，1980—2025，1 km（主口径）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389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387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99.5%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点数据经人工整理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CSV 事件目录，1 km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670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480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71.6%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事件目录口径，含定位不确定性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全部点合计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1,059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867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81.9%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两类数据合并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2024 单年旧版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178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123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69.1%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旧阈值/旧径流结果</w:t>
            </w:r>
          </w:p>
        </w:tc>
      </w:tr>
      <w:tr>
        <w:trPr>
          <w:cantSplit/>
        </w:trPr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随机落区基线（SHP）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97.7%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用于判断命中率的判别力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解读提示：SHP 主口径 99.5% 与随机落区基线 97.7% 差距仅约 1.8 个百分点，说明当前危险性栅格覆盖范围较广，命中率高但判别力有限。正式结题/答辩中应同时报告随机基线，并补充 ROC/AUC、命中-误报比或事件窗口验证，避免将“高命中率”等同于“高精度”。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分年命中：2019 年 47/47（100%）、2020 年 164/164（100%）、2024 年 176/178（98.9%）。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容差敏感性：SHP 口径 0 km 为 98.5%，1/3/5 km 均为 99.5%。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等级构成：5 级 302 点、4 级 44、3 级 28、2 级 6、1 级 7、0 级 2。</w:t>
      </w:r>
    </w:p>
    <w:p>
      <w:pPr>
        <w:pStyle w:val="Heading2"/>
        <w:spacing w:after="160" w:before="300" w:line="360"/>
      </w:pPr>
      <w:bookmarkStart w:name="_Toc54" w:id="5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5.7 模型现状与改进项</w:t>
      </w:r>
      <w:bookmarkEnd w:id="54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70"/>
        <w:gridCol w:w="2400"/>
        <w:gridCol w:w="23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问题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影响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M-01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训练按月序列（最多 31 天）求和，在线推理按 T=1 逐日、跨日记忆关闭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训练/推理语义不一致，模型能力未充分发挥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统一时序长度与隐状态传递策略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M-02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训练特征为流域空间均值，推理使用逐像元原始值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输入分布不一致，像元级结果可信度受影响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推理复现训练期聚合与归一化口径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M-03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预处理先用全样本均值填 NaN，再划分训练/测试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测试期信息泄漏，指标偏乐观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仅用训练期统计量填充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M-04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推理要求整条序列无 NaN，否则整条作废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有效样本被过度剔除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按可用变量插值/掩膜，保留有效像元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M-05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融雪年极值判据偏宽松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事件日过多，概率失真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改用分位/倍数阈值 + 面积门槛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M-06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模型文件仅存权重，缺变量顺序、归一化与训练时段元数据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换模型/换数据易错配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随权重保存配置清单与版本号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M-07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风险分级为相对分位数，绝对后果阈值未落地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跨情景不可比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补充绝对后果阈值与双口径分级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M-08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验证未报告随机基线与 ROC/AUC</w:t>
            </w:r>
          </w:p>
        </w:tc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高命中率易被误读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建立标准化验证报告模板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55" w:id="55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6 接口与集成</w:t>
      </w:r>
      <w:bookmarkEnd w:id="55"/>
    </w:p>
    <w:p>
      <w:pPr>
        <w:pStyle w:val="Heading2"/>
        <w:spacing w:after="160" w:before="300" w:line="360"/>
      </w:pPr>
      <w:bookmarkStart w:name="_Toc56" w:id="5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6.1 接口规范</w:t>
      </w:r>
      <w:bookmarkEnd w:id="5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约定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协议与编码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HTTP/HTTPS；请求与响应默认 application/json；流式接口为 text/event-stream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同源部署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前端与 API 同源；开发态 CORS 白名单 localhost/127.0.0.1:3000、:5000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Cookie 会话；登录后有效期 8 小时；HttpOnly、SameSite=Lax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授权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受保护接口先 login_required（401），再 permission_required（403）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响应信封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模块使用 {success, data, message}；业务模块多用 {status, error/message, ...}；详见各接口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错误处理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/api/* 的 404 返回统一 JSON；500 统一 JSON 且不暴露异常细节；非 API 页面返回 HTML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文件服务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TIF 仅允许 .tif；GeoJSON 仅允许 .geojson；路径经 realpath + commonpath 校验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上传限制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MAX_CONTENT_LENGTH=16 MB</w:t>
            </w:r>
          </w:p>
        </w:tc>
      </w:tr>
    </w:tbl>
    <w:p>
      <w:pPr>
        <w:pStyle w:val="Heading2"/>
        <w:spacing w:after="160" w:before="300" w:line="360"/>
      </w:pPr>
      <w:bookmarkStart w:name="_Toc57" w:id="5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6.2 接口总览</w:t>
      </w:r>
      <w:bookmarkEnd w:id="57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00"/>
        <w:gridCol w:w="1000"/>
        <w:gridCol w:w="417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蓝图/分组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前缀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路由数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主要能力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/api/auth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登录、退出、当前用户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/api/system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系统状态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/api/admin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用户/角色/权限/日志/数据/智能体配置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basin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/api/basin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流域、河网、冰川、冻土、边界、居民地、湖泊等图层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disaster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/api/disaster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灾害类型元数据与事件 GeoJSON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data_query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/api/query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变量、日期范围、文件列表、TIF 服务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/api/simulate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模型、径流、淹没、阈值、结果列表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snowmelt_flood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/api/snowmelt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融雪识别与结果 TIF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/api/alert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H×E×V 风险评估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economy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/api/economy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GDP、电厂、水坝、水库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llm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/api/llm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SSE 对话、健康检查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expert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/api/expert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专家名录与领域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decision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/api/decision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决策内容库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geocode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/modules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高德地理编码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应用层</w:t>
            </w:r>
          </w:p>
        </w:tc>
        <w:tc>
          <w:tcPr>
            <w:tcW w:type="dxa" w:w="2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</w:t>
            </w:r>
          </w:p>
        </w:tc>
        <w:tc>
          <w:tcPr>
            <w:tcW w:type="dxa" w:w="4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页面、静态资源、健康检查、错误处理</w:t>
            </w:r>
          </w:p>
        </w:tc>
      </w:tr>
    </w:tbl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完整路由清单见附录 A。需要说明的是：当前业务接口（模拟、评估、决策、图层）多为公开接口，仅管理接口强制登录与权限校验；这一现状与系统安全基线存在差距，整改建议见 8.5 节。</w:t>
      </w:r>
    </w:p>
    <w:p>
      <w:pPr>
        <w:pStyle w:val="Heading2"/>
        <w:spacing w:after="160" w:before="300" w:line="360"/>
      </w:pPr>
      <w:bookmarkStart w:name="_Toc58" w:id="5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6.3 关键接口说明</w:t>
      </w:r>
      <w:bookmarkEnd w:id="58"/>
    </w:p>
    <w:p>
      <w:pPr>
        <w:pStyle w:val="Heading3"/>
        <w:spacing w:after="120" w:before="220" w:line="340"/>
      </w:pPr>
      <w:bookmarkStart w:name="_Toc59" w:id="59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6.3.1 径流模拟</w:t>
      </w:r>
      <w:bookmarkEnd w:id="59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方法与路径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/api/simulate/runoff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请求体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{model 或 model_name, start_date, end_date, basin_id?, batch_size?, warmup_days?}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成功响应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status=success；data 含 files、output_dir_all_files、device_used、batch_pixels、basin_id、warmup_days、n_pixels、cross_day_memory、fallback_reason、nodata_values_filled、elapsed_seconds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参数/日期/驱动缺失 400；已有任务运行 409 simulation_busy；异常 500</w:t>
            </w:r>
          </w:p>
        </w:tc>
      </w:tr>
    </w:tbl>
    <w:p>
      <w:pPr>
        <w:pStyle w:val="Heading3"/>
        <w:spacing w:after="120" w:before="220" w:line="340"/>
      </w:pPr>
      <w:bookmarkStart w:name="_Toc60" w:id="60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6.3.2 洪水淹没</w:t>
      </w:r>
      <w:bookmarkEnd w:id="6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方法与路径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/api/simulate/flood-inundation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请求体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{start_date, end_date, threshold, basin_id?}；threshold 为阈值文件名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成功响应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total_days、flood_days、flood_probability、avg_flood_ratio、avg_mean_value、urls、dates_processed、flood_results[]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无径流产物 400；参数错误 400；异常 500</w:t>
            </w:r>
          </w:p>
        </w:tc>
      </w:tr>
    </w:tbl>
    <w:p>
      <w:pPr>
        <w:pStyle w:val="Heading3"/>
        <w:spacing w:after="120" w:before="220" w:line="340"/>
      </w:pPr>
      <w:bookmarkStart w:name="_Toc61" w:id="61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6.3.3 风险评估</w:t>
      </w:r>
      <w:bookmarkEnd w:id="6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方法与路径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/api/alert/risk_assessment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请求体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{start_date?, end_date?, basin?, weight_method?, risk_weights?, exposure_weights?}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成功响应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risk_tif_url、hazard_tif_url、exposure_tif_url、vulnerability_tif_url；stats.levels[5]；meta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无淹没数据 409 NO_INUNDATION_DATA，missing_step ∈ runoff / flood_inundation / range_mismatch</w:t>
            </w:r>
          </w:p>
        </w:tc>
      </w:tr>
    </w:tbl>
    <w:p>
      <w:pPr>
        <w:pStyle w:val="Heading3"/>
        <w:spacing w:after="120" w:before="220" w:line="340"/>
      </w:pPr>
      <w:bookmarkStart w:name="_Toc62" w:id="62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6.3.4 决策智能体</w:t>
      </w:r>
      <w:bookmarkEnd w:id="62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方法与路径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POST /api/llm/chat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请求体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{messages:[{role, content}]}；仅取最近 20 条，单条截断 4,000 字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响应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text/event-stream；每条 data: {"content": ...}；结束 data: [DONE]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前置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需配置 DEEPSEEK_API_KEY；未配置返回 500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后端检索 expert_kb 并注入最后一条用户消息；系统提示词可被 admin settings 覆盖</w:t>
            </w:r>
          </w:p>
        </w:tc>
      </w:tr>
    </w:tbl>
    <w:p>
      <w:pPr>
        <w:pStyle w:val="Heading2"/>
        <w:spacing w:after="160" w:before="300" w:line="360"/>
      </w:pPr>
      <w:bookmarkStart w:name="_Toc63" w:id="6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6.4 页面、静态资源与错误处理</w:t>
      </w:r>
      <w:bookmarkEnd w:id="63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00"/>
        <w:gridCol w:w="297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路径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页面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/、/index.html、/query.html、/simulate.html、/alert.html、/decision.html、/login.html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渲染前端页面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管理页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/admin.html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 session 时 302 到登录页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产物静态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/backend-static/&lt;path&gt;、/runoff_results/、/flood_inundation/、/risk_results/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映射 outputs 目录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前端资源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/js/&lt;path&gt;、/css/&lt;path&gt;、/static/masks|pngs|animations/&lt;path&gt;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本地托管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矢量数据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/data/raw/geo/&lt;path&gt;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仅 .geojson，否则 403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探活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/api/health、/favicon.ico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服务名与时间 / 204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404、500</w:t>
            </w:r>
          </w:p>
        </w:tc>
        <w:tc>
          <w:tcPr>
            <w:tcW w:type="dxa" w:w="2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API 返回 JSON；页面返回 HTML；500 隐藏异常细节</w:t>
            </w:r>
          </w:p>
        </w:tc>
      </w:tr>
    </w:tbl>
    <w:p>
      <w:pPr>
        <w:pStyle w:val="Heading2"/>
        <w:spacing w:after="160" w:before="300" w:line="360"/>
      </w:pPr>
      <w:bookmarkStart w:name="_Toc64" w:id="6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6.5 外部服务集成</w:t>
      </w:r>
      <w:bookmarkEnd w:id="64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870"/>
        <w:gridCol w:w="140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服务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配置项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不可用时行为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高德地图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在线底图瓦片、地理编码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AMAP_KEY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底图空白/定位失败；本地矢量图层仍可用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决策智能体大模型</w:t>
            </w:r>
          </w:p>
        </w:tc>
        <w:tc>
          <w:tcPr>
            <w:tcW w:type="dxa" w:w="2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DEEPSEEK_API_KEY、MODEL、API_URL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对话返回 500；其他模块不受影响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65" w:id="65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7 部署与运维</w:t>
      </w:r>
      <w:bookmarkEnd w:id="65"/>
    </w:p>
    <w:p>
      <w:pPr>
        <w:pStyle w:val="Heading2"/>
        <w:spacing w:after="160" w:before="300" w:line="360"/>
      </w:pPr>
      <w:bookmarkStart w:name="_Toc66" w:id="6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7.1 环境要求</w:t>
      </w:r>
      <w:bookmarkEnd w:id="6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70"/>
        <w:gridCol w:w="4200"/>
      </w:tblGrid>
      <w:tr>
        <w:trPr>
          <w:cantSplit/>
          <w:tblHeader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项目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最低要求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推荐配置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10/11 64 位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Windows Server 2019/2022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CPU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 核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核及以上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内存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GB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32 GB 及以上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磁盘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 TB 可用空间（含数据）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SSD/NVMe，预留 20% 余量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GPU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非必需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NVIDIA GPU（CUDA）可加速 LSTM 推理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浏览器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Chrome/Edge 最新版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Chrome/Edge 最新版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网络</w:t>
            </w:r>
          </w:p>
        </w:tc>
        <w:tc>
          <w:tcPr>
            <w:tcW w:type="dxa" w:w="32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可选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访问高德与 DeepSeek 时需外网</w:t>
            </w:r>
          </w:p>
        </w:tc>
      </w:tr>
    </w:tbl>
    <w:p>
      <w:pPr>
        <w:pStyle w:val="Heading2"/>
        <w:spacing w:after="160" w:before="300" w:line="360"/>
      </w:pPr>
      <w:bookmarkStart w:name="_Toc67" w:id="6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7.2 目录与运行时</w:t>
      </w:r>
      <w:bookmarkEnd w:id="67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0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路径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.runtime/python/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内嵌 CPython 3.12.6 运行时，sys.prefix 由 exe 位置推导，可随盘迁移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.runtime/mplconfig/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matplotlib 配置目录，避免用户目录写入权限问题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webgis_backend/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 入口、配置与业务模块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webgis_frontend/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HTML/JS/CSS 与本地第三方库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原始、中间与 WebGIS 数据区（约 5.2 TB）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项目技术文档与本说明书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scripts/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运行时构建、启动、预处理与基准脚本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</w:t>
            </w:r>
          </w:p>
        </w:tc>
        <w:tc>
          <w:tcPr>
            <w:tcW w:type="dxa" w:w="6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冒烟、并发、栅格可读性与端到端测试</w:t>
            </w:r>
          </w:p>
        </w:tc>
      </w:tr>
    </w:tbl>
    <w:p>
      <w:pPr>
        <w:pStyle w:val="Heading2"/>
        <w:spacing w:after="160" w:before="300" w:line="360"/>
      </w:pPr>
      <w:bookmarkStart w:name="_Toc68" w:id="6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7.3 安装与启动</w:t>
      </w:r>
      <w:bookmarkEnd w:id="68"/>
    </w:p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首次部署（随硬盘迁移）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将整个项目目录（含 .runtime、data、.env）拷贝/挂载到目标 Windows 电脑，盘符可变。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运行诊断脚本：powershell -ExecutionPolicy Bypass -File .\diagnose.ps1；可加 -Full 追加冒烟测试。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启动服务：powershell -ExecutionPolicy Bypass -File .\run.ps1；或直接双击 run.bat。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脚本自动执行四项自检（运行时、核心依赖、.env、端口），默认监听 127.0.0.1:5000，5 秒后打开浏览器。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换端口：.\run.ps1 -Port 5001；不自动开浏览器：-NoBrowser；调试模式：-Debug。</w:t>
      </w:r>
    </w:p>
    <w:p>
      <w:pPr>
        <w:pStyle w:val="Heading4"/>
        <w:spacing w:after="80" w:before="160" w:line="320"/>
      </w:pPr>
      <w:r>
        <w:rPr>
          <w:rFonts w:ascii="Arial" w:eastAsia="黑体" w:hAnsi="Arial"/>
          <w:b/>
          <w:bCs/>
          <w:i w:val="false"/>
          <w:iCs w:val="false"/>
          <w:color w:val="404040"/>
          <w:sz w:val="24"/>
          <w:szCs w:val="24"/>
        </w:rPr>
        <w:t xml:space="preserve">直接运行</w:t>
      </w:r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python webgis_backend\app.py 可直接启动，但默认加载 DevelopmentConfig（DEBUG=True）；生产环境应使用 run.ps1/start.py，默认 FLASK_CONFIG=production。</w:t>
      </w:r>
    </w:p>
    <w:p>
      <w:pPr>
        <w:pStyle w:val="Heading2"/>
        <w:spacing w:after="160" w:before="300" w:line="360"/>
      </w:pPr>
      <w:bookmarkStart w:name="_Toc69" w:id="6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7.4 配置项与环境变量</w:t>
      </w:r>
      <w:bookmarkEnd w:id="69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7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变量/配置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作用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默认/说明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SECRET_KEY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 会话签名密钥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必须通过 .env 注入强随机值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ADMIN_USERNAME / ADMIN_PASSWORD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管理员账号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必须覆盖默认值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OPERATOR_USERNAME / OPERATOR_PASSWORD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操作员账号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必须覆盖默认值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VIEWER_USERNAME / VIEWER_PASSWORD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访客账号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必须覆盖默认值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AMAP_KEY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高德地理编码/底图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未配置时相关功能返回明确错误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DEEPSEEK_API_KEY / MODEL / API_URL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决策智能体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未配置时对话返回 500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DATABASE_PATH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索引库路径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默认 data/processed/db/TibetanPlateau_index.db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FLASK_CONFIG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配置档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production / development / default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HOST / PORT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监听地址与端口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默认 127.0.0.1:5000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KMP_DUPLICATE_LIB_OK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OpenMP 冲突规避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启动脚本自动设为 TRUE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PYTHONNOUSERSITE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隔离用户 site-packages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启动脚本自动设为 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MPLCONFIGDIR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matplotlib 配置目录</w:t>
            </w:r>
          </w:p>
        </w:tc>
        <w:tc>
          <w:tcPr>
            <w:tcW w:type="dxa" w:w="3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.runtime/mplconfig</w:t>
            </w:r>
          </w:p>
        </w:tc>
      </w:tr>
    </w:tbl>
    <w:p>
      <w:pPr>
        <w:pStyle w:val="Heading2"/>
        <w:spacing w:after="160" w:before="300" w:line="360"/>
      </w:pPr>
      <w:bookmarkStart w:name="_Toc70" w:id="7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7.5 日志与监控</w:t>
      </w:r>
      <w:bookmarkEnd w:id="7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70"/>
        <w:gridCol w:w="420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日志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位置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应用日志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server.log / .runtime/last_run.log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启动、请求异常、模拟进度与错误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审计日志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admin.db → admin_logs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登录、用户/角色/权限变更、数据操作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模拟进度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应用日志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 5 天输出进度、已用时间与预计剩余时间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系统状态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/api/system/status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版本、运行时长、模型数量、存储、在线用户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当前未内置日志轮转与外部监控告警；长期运行建议由运维侧配置按天轮转、磁盘水位告警，并定期归档 admin_logs。</w:t>
      </w:r>
    </w:p>
    <w:p>
      <w:pPr>
        <w:pStyle w:val="Heading2"/>
        <w:spacing w:after="160" w:before="300" w:line="360"/>
      </w:pPr>
      <w:bookmarkStart w:name="_Toc71" w:id="7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7.6 备份与恢复</w:t>
      </w:r>
      <w:bookmarkEnd w:id="7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2070"/>
        <w:gridCol w:w="230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对象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是否必须备份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建议频率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恢复方式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data/processed/db/（4 个库）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每日/每次重大变更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停服后复制回原路径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.env（密钥与账号）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变更后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恢复到项目根，权限最小化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data/webgis/content、uploads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每日/变更后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复制回对应目录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data/raw（5.1 TB）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建议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一次性基线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随硬盘迁移或从原始数据源重建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outputs（径流/淹没/风险）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否（可再生）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按需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重跑模拟与评估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模型与阈值</w:t>
            </w:r>
          </w:p>
        </w:tc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是</w:t>
            </w:r>
          </w:p>
        </w:tc>
        <w:tc>
          <w:tcPr>
            <w:tcW w:type="dxa" w:w="2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版本变更时</w:t>
            </w:r>
          </w:p>
        </w:tc>
        <w:tc>
          <w:tcPr>
            <w:tcW w:type="dxa" w:w="2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从备份复制并核对校验和</w:t>
            </w:r>
          </w:p>
        </w:tc>
      </w:tr>
    </w:tbl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恢复步骤：停止服务 → 备份当前库文件 → 复制备份库与配置 → 启动服务 → 运行 diagnose.ps1 -Full 与 smoke_test.py 验证。</w:t>
      </w:r>
    </w:p>
    <w:p>
      <w:pPr>
        <w:pStyle w:val="Heading2"/>
        <w:spacing w:after="160" w:before="300" w:line="360"/>
      </w:pPr>
      <w:bookmarkStart w:name="_Toc72" w:id="7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7.7 换机、迁移与运行时重建</w:t>
      </w:r>
      <w:bookmarkEnd w:id="72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换机：整盘迁移即可；脚本按 BASE_DIR 相对解析路径，盘符变化不影响。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运行时损坏（联网）：powershell -ExecutionPolicy Bypass -File .\scripts\setup_runtime.ps1 -Force。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运行时损坏（离线）：python scripts\build_runtime.py --skip-core --from-venv .venv.old（需同版本 Python）。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依赖一致性：重建必须使用 requirements.lock.txt（58 个精确版本），不要使用未锁定的 requirements.txt。</w:t>
      </w:r>
    </w:p>
    <w:p>
      <w:pPr>
        <w:pStyle w:val="Heading2"/>
        <w:spacing w:after="160" w:before="300" w:line="360"/>
      </w:pPr>
      <w:bookmarkStart w:name="_Toc73" w:id="7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7.8 常见故障排查</w:t>
      </w:r>
      <w:bookmarkEnd w:id="73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70"/>
        <w:gridCol w:w="320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现象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可能原因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启动报端口占用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5000 已被其他进程占用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换端口 .\run.ps1 -Port 5001，或结束占用进程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提示缺少核心依赖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运行时损坏或依赖未安装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 diagnose.ps1 查看缺失项；重建运行时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OpenMP 冲突 / KMP 报错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未设置 KMP_DUPLICATE_LIB_OK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使用 run.ps1 启动，脚本自动设置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c10.dll 访问冲突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batch 过大/显存不足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保持 batch=16,384 或降低；确认无多任务并发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 前端无法解码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使用了 zstd 压缩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写盘统一 LZW；重新生成产物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Permission denied 写盘失败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并发写/文件被占用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使用原子写；关闭占用程序后重试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风险评估 409 NO_INUNDATION_DATA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缺少径流/淹没产物或时段不匹配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先运行径流与淹没；核对 missing_step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底图空白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外网不可达/高德瓦片被拦截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改用本地矢量底图或配置本地瓦片服务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智能体 500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未配置 DeepSeek 密钥/网络失败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检查 .env 与 /api/llm/health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pytest 报 fixture not found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测试自身缺少 fixture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使用 python tests/test_*.py 直接运行或先修复 fixture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数据目录为空</w:t>
            </w:r>
          </w:p>
        </w:tc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未随盘迁移或路径错误</w:t>
            </w:r>
          </w:p>
        </w:tc>
        <w:tc>
          <w:tcPr>
            <w:tcW w:type="dxa" w:w="3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核对 BASE_DIR 与 data/ 是否完整</w:t>
            </w:r>
          </w:p>
        </w:tc>
      </w:tr>
    </w:tbl>
    <w:p>
      <w:pPr>
        <w:pStyle w:val="Heading2"/>
        <w:spacing w:after="160" w:before="300" w:line="360"/>
      </w:pPr>
      <w:bookmarkStart w:name="_Toc74" w:id="7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7.9 升级与回滚</w:t>
      </w:r>
      <w:bookmarkEnd w:id="74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升级前：备份 4 个 SQLite 库、.env、content/uploads、模型与阈值，并记录当前版本与 commit。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代码升级：拉取新版本后，按 requirements.lock.txt 校验依赖；执行数据库迁移脚本（如有）。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回归验证：diagnose.ps1 -Full、tests/smoke_test.py、关键接口冒烟与一次小范围模拟。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回滚：恢复代码与数据备份；若索引/权限库结构变更，需使用对应版本备份，避免结构不兼容。</w:t>
      </w:r>
    </w:p>
    <w:p>
      <w:pPr>
        <w:pStyle w:val="Heading1"/>
        <w:pageBreakBefore/>
        <w:spacing w:after="240" w:before="240" w:line="360"/>
      </w:pPr>
      <w:bookmarkStart w:name="_Toc75" w:id="75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8 安全与权限</w:t>
      </w:r>
      <w:bookmarkEnd w:id="75"/>
    </w:p>
    <w:p>
      <w:pPr>
        <w:pStyle w:val="Heading2"/>
        <w:spacing w:after="160" w:before="300" w:line="360"/>
      </w:pPr>
      <w:bookmarkStart w:name="_Toc76" w:id="7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8.1 认证与会话</w:t>
      </w:r>
      <w:bookmarkEnd w:id="76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登录接口 POST /api/auth/login 校验用户名与 werkzeug 哈希密码，成功后写入 session。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Cookie 设置 HttpOnly、SameSite=Lax，有效期 8 小时；退出接口清除会话。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受保护接口使用 @login_required；未登录返回 401，前端跳转登录页。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管理接口叠加 @permission_required(code)；无权限返回 403。</w:t>
      </w:r>
    </w:p>
    <w:p>
      <w:pPr>
        <w:pStyle w:val="Heading2"/>
        <w:spacing w:after="160" w:before="300" w:line="360"/>
      </w:pPr>
      <w:bookmarkStart w:name="_Toc77" w:id="7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8.2 RBAC 权限模型</w:t>
      </w:r>
      <w:bookmarkEnd w:id="77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系统定义 14 个权限点与 3 个内置角色，角色通过 role_permissions 关联权限。权限点覆盖系统查看、用户/角色/权限管理、日志、设置与数据管理。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0"/>
        <w:gridCol w:w="3400"/>
        <w:gridCol w:w="900"/>
        <w:gridCol w:w="900"/>
        <w:gridCol w:w="800"/>
      </w:tblGrid>
      <w:tr>
        <w:trPr>
          <w:cantSplit/>
          <w:tblHeader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权限点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含义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operator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viewer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system:view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查看系统状态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user:view / create / update / delete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role:view / create / update / delete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角色管理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permission:view / assign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权限查看与分配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log:view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查看/清空审计日志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setting:edit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修改密码/智能体配置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部分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data:manage</w:t>
            </w:r>
          </w:p>
        </w:tc>
        <w:tc>
          <w:tcPr>
            <w:tcW w:type="dxa" w:w="3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数据文件管理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✓</w:t>
            </w:r>
          </w:p>
        </w:tc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—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上表为角色默认能力示意，实际以 admin.db 中 role_permissions 种子数据为准。viewer 默认拥有 log:view，而清空日志接口也仅校验该权限，存在越权销毁审计记录的风险。</w:t>
      </w:r>
    </w:p>
    <w:p>
      <w:pPr>
        <w:pStyle w:val="Heading2"/>
        <w:spacing w:after="160" w:before="300" w:line="360"/>
      </w:pPr>
      <w:bookmarkStart w:name="_Toc78" w:id="7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8.3 安全护栏</w:t>
      </w:r>
      <w:bookmarkEnd w:id="78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护栏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实现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路径穿越防护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os.path.realpath + commonpath 校验；文件服务仅放行指定后缀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文件白名单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GeoJSON 仅 .geojson；TIF 仅 .tif；上传文件名 secure_filename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密码存储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werkzeug 哈希，不保存明文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密钥隔离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DeepSeek/高德密钥仅存后端环境变量，前端不可见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管理员保护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禁止删除当前账号；禁止删除最后一名启用管理员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上传限制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单请求最大 16 MB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审计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登录、管理操作与数据变更写入 admin_logs，非阻塞写入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错误隐藏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500 统一 JSON，不向前端暴露异常堆栈</w:t>
            </w:r>
          </w:p>
        </w:tc>
      </w:tr>
    </w:tbl>
    <w:p>
      <w:pPr>
        <w:pStyle w:val="Heading2"/>
        <w:spacing w:after="160" w:before="300" w:line="360"/>
      </w:pPr>
      <w:bookmarkStart w:name="_Toc79" w:id="7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8.4 审计日志</w:t>
      </w:r>
      <w:bookmarkEnd w:id="79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审计日志记录用户名、动作、详情、IP 与时间，支持按关键字/时间筛选与图表统计。日志写入采用非阻塞方式，避免影响主请求；清空操作需登录并具备 log:view 权限。建议移交后增加日志归档、保留期限与不可篡改存储。</w:t>
      </w:r>
    </w:p>
    <w:p>
      <w:pPr>
        <w:pStyle w:val="Heading2"/>
        <w:spacing w:after="160" w:before="300" w:line="360"/>
      </w:pPr>
      <w:bookmarkStart w:name="_Toc80" w:id="8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8.5 已知安全风险与整改建议</w:t>
      </w:r>
      <w:bookmarkEnd w:id="80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依据 2026 年代码审查结果，以下问题应在正式移交/上线前完成整改。表中“优先级”按风险影响与利用难度划分。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170"/>
        <w:gridCol w:w="2000"/>
        <w:gridCol w:w="20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优先级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问题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影响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整改建议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S-01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模拟/评估/决策等业务接口无登录校验，全局无统一守卫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匿名可触发长任务、覆盖共享成果、消耗算力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为写操作与长任务接口加 login_required + 角色校验；增加 before_request 统一守卫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S-02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SECRET_KEY 与三组账号口令存在不安全默认值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可伪造会话或直接登录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缺失环境变量时拒绝启动；强制首次改密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S-03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前端将 GeoJSON 属性直接拼入 innerHTML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存储型 XSS，可执行恶意脚本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统一转义或使用 textContent 构建弹窗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S-04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清空审计日志仅校验 log:view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只读角色可销毁审计记录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新增 log:delete 权限并仅授予 admin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S-05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批量删除用户使用未刷新快照判断管理员数量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同批删除可导致管理员清空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循环内实时重查启用管理员数量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S-06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本地 .env 明文保存真实 API Key 与弱口令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文件泄露即密钥泄露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轮换密钥、使用强口令、限制目录权限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S-07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无登录失败次数限制与验证码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存在暴力破解风险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增加失败计数、锁定与审计告警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S-08</w:t>
            </w:r>
          </w:p>
        </w:tc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1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日志无轮转与完整性保护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长期运行磁盘占满/日志可被篡改</w:t>
            </w:r>
          </w:p>
        </w:tc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按天轮转、归档、只追加存储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81" w:id="81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9 测试与质量保证</w:t>
      </w:r>
      <w:bookmarkEnd w:id="81"/>
    </w:p>
    <w:p>
      <w:pPr>
        <w:pStyle w:val="Heading2"/>
        <w:spacing w:after="160" w:before="300" w:line="360"/>
      </w:pPr>
      <w:bookmarkStart w:name="_Toc82" w:id="8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9.1 测试体系</w:t>
      </w:r>
      <w:bookmarkEnd w:id="82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70"/>
        <w:gridCol w:w="260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测试文件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覆盖内容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运行方式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tests/smoke_test.py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健康检查、专家名录、决策内容、灾害库、图层路由、LLM、登录鉴权、知识库/RAG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tests/smoke_test.py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tests/test_runoff_engine.py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batch 不变性、像元独立性、跨日状态、端到端、流域范围、nodata、边界一致性等 9 项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tests/test_runoff_engine.py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tests/test_concurrency_safety.py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原子写、覆盖已存在文件、并发写、锁释放与 409 等 6 项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tests/test_concurrency_safety.py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tests/test_output_frontend_readable.py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TIFF 压缩标识、前端 geotiff.js 解码、NaN/数值无损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tests/test_output_frontend_readable.py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tests/test_route_smoke.py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模型列表、参数校验、全域/流域/warmup 模拟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python tests/test_route_smoke.py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tests/verify_geotiff_node.js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 调用 geotiff.js 解码校验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node tests/verify_geotiff_node.js &lt;tif&gt;</w:t>
            </w:r>
          </w:p>
        </w:tc>
      </w:tr>
    </w:tbl>
    <w:p>
      <w:pPr>
        <w:pStyle w:val="Heading2"/>
        <w:spacing w:after="160" w:before="300" w:line="360"/>
      </w:pPr>
      <w:bookmarkStart w:name="_Toc83" w:id="83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9.2 验证结果</w:t>
      </w:r>
      <w:bookmarkEnd w:id="83"/>
    </w:p>
    <w:p>
      <w:pPr>
        <w:keepNext w:val="false"/>
        <w:spacing w:after="120" w:before="0" w:line="360"/>
        <w:ind w:firstLine="48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风险危险性格局的历史洪水点验证结果见 5.6 节。总体而言，主口径命中率较高，但随机基线同样很高，说明当前结果更适合作为“覆盖性筛查”，尚不足以支撑高精度分区结论。建议在结题材料中同时呈现命中率、随机基线、分年稳定性与典型事件复核。</w:t>
      </w:r>
    </w:p>
    <w:p>
      <w:pPr>
        <w:pStyle w:val="Heading2"/>
        <w:spacing w:after="160" w:before="300" w:line="360"/>
      </w:pPr>
      <w:bookmarkStart w:name="_Toc84" w:id="8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9.3 当前测试基线与已知问题</w:t>
      </w:r>
      <w:bookmarkEnd w:id="84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pytest 缓存记录最近一次失败 11 项（test_runoff_engine 9 项、test_concurrency_safety 2 项），是否为最新完整运行结果待确认。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test_runoff_engine.py 的测试函数依赖未定义的 model fixture，pytest 直接运行会报 fixture not found；建议改为 fixture 注入或提供独立 main 入口。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test_route_smoke.py 断言依赖真实栅格与固定像元数（3,125,430），换机器/换研究区会失败；应改用合成小样本或 skipif。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测试未接入 CI；建议在移交环境配置定时任务或流水线，至少执行 smoke_test 与栅格可读性回归。</w:t>
      </w:r>
    </w:p>
    <w:p>
      <w:pPr>
        <w:pStyle w:val="Heading2"/>
        <w:spacing w:after="160" w:before="300" w:line="360"/>
      </w:pPr>
      <w:bookmarkStart w:name="_Toc85" w:id="85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9.4 质量保证建议</w:t>
      </w:r>
      <w:bookmarkEnd w:id="8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0"/>
      </w:tblGrid>
      <w:tr>
        <w:trPr>
          <w:cantSplit/>
          <w:tblHeader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方向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措施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测试可运行化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修复 fixture、去除对真实大数据的强依赖、为端到端测试提供小样本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回归门禁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提交前执行 smoke_test + test_output_frontend_readable；关键接口契约测试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模型验证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补齐 NSE/KGE/PBIAS、ROC/AUC、随机基线、分年与分事件验证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数据校验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新增驱动数据后校验索引一致性、栅格尺寸/CRS、缺失日期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文档同步</w:t>
            </w:r>
          </w:p>
        </w:tc>
        <w:tc>
          <w:tcPr>
            <w:tcW w:type="dxa" w:w="7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接口、配置、数据目录变更时同步更新本说明书与附录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86" w:id="86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10 二次开发指南</w:t>
      </w:r>
      <w:bookmarkEnd w:id="86"/>
    </w:p>
    <w:p>
      <w:pPr>
        <w:pStyle w:val="Heading2"/>
        <w:spacing w:after="160" w:before="300" w:line="360"/>
      </w:pPr>
      <w:bookmarkStart w:name="_Toc87" w:id="8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10.1 代码组织与命名约定</w:t>
      </w:r>
      <w:bookmarkEnd w:id="87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70"/>
        <w:gridCol w:w="41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层次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目录/文件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约定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后端入口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webgis_backend/app.py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蓝图注册、页面/静态路由、统一错误处理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后端模块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webgis_backend/modules/*.py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一个业务域一个模块；蓝图变量统一 {name}_bp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配置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webgis_backend/config.py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路径、常量、密钥统一收口；模块级常量供导入期使用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前端页面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webgis_frontend/*.html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一页一文件，按功能命名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前端脚本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webgis_frontend/js/*.js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与页面同名；公共组件放 ui-components.js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样式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webgis_frontend/css/*.css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主题变量集中在 styles.css，组件样式在 components.css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训练/离线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Training/、flood_workflow/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按 acquisition/preprocessing/training/inference 分层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脚本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scripts/</w:t>
            </w:r>
          </w:p>
        </w:tc>
        <w:tc>
          <w:tcPr>
            <w:tcW w:type="dxa" w:w="41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独立维护脚本，路径按项目根解析</w:t>
            </w:r>
          </w:p>
        </w:tc>
      </w:tr>
    </w:tbl>
    <w:p>
      <w:pPr>
        <w:pStyle w:val="Heading2"/>
        <w:spacing w:after="160" w:before="300" w:line="360"/>
      </w:pPr>
      <w:bookmarkStart w:name="_Toc88" w:id="8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10.2 新增后端模块/接口</w:t>
      </w:r>
      <w:bookmarkEnd w:id="88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 modules/ 下新建 xxx.py，定义 Blueprint（如 xxx_bp = Blueprint('xxx', __name__, url_prefix='/api/xxx')）。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 app.py 中 import 并 register_blueprint；需要鉴权的接口叠加 @login_required 与 @permission_required。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复用 utils.py 的路径校验、缓存与 JSON 加载；栅格写盘复用 runoff_engine.write_geotiff_atomic。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统一响应信封与错误码；新增权限点时同步更新 admin_db 种子与角色授权。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 tests/ 增加接口冒烟；在本说明书附录 A 补充路由。</w:t>
      </w:r>
    </w:p>
    <w:p>
      <w:pPr>
        <w:pStyle w:val="Heading2"/>
        <w:spacing w:after="160" w:before="300" w:line="360"/>
      </w:pPr>
      <w:bookmarkStart w:name="_Toc89" w:id="8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10.3 新增前端页面</w:t>
      </w:r>
      <w:bookmarkEnd w:id="89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复制现有页面结构，引入 js/lib 下已本地化的 OpenLayers/ECharts/GeoTIFF.js。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复用 loadGeoTiffLayer、interpolateColor、createLegend 与 UI.toast/modal/confirm。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所有后端数据插入 DOM 前必须转义，禁止直接拼接 innerHTML。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在 app.py 添加页面路由；如需登录，参考 /admin.html 的 session 检查与 302 跳转。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新增图层时同步更新图层控制、图例与移动端布局。</w:t>
      </w:r>
    </w:p>
    <w:p>
      <w:pPr>
        <w:pStyle w:val="Heading2"/>
        <w:spacing w:after="160" w:before="300" w:line="360"/>
      </w:pPr>
      <w:bookmarkStart w:name="_Toc90" w:id="9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10.4 可复用组件与工具</w:t>
      </w:r>
      <w:bookmarkEnd w:id="90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70"/>
        <w:gridCol w:w="400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组件/函数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位置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write_geotiff_atomic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modules/runoff_engine.py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临时文件 + os.replace 原子写，带退避重试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resolve_within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modules/utils.py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realpath + commonpath 路径穿越防护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load_json_cached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modules/utils.py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带缓存的 JSON 加载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loadGeoTiffLayer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js/simulate.js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 解码、拉伸、上色、图层叠加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interpolateColor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js/simulate.js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20 段色带插值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createLegend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js/simulate.js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生成图例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UI.toast / modal / alert / confirm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js/ui-components.js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统一交互组件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geotiff-render.js</w:t>
            </w:r>
          </w:p>
        </w:tc>
        <w:tc>
          <w:tcPr>
            <w:tcW w:type="dxa" w:w="2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js/</w:t>
            </w:r>
          </w:p>
        </w:tc>
        <w:tc>
          <w:tcPr>
            <w:tcW w:type="dxa" w:w="4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自包含栅格渲染，供气象查询等页面复用</w:t>
            </w:r>
          </w:p>
        </w:tc>
      </w:tr>
    </w:tbl>
    <w:p>
      <w:pPr>
        <w:pStyle w:val="Heading2"/>
        <w:spacing w:after="160" w:before="300" w:line="360"/>
      </w:pPr>
      <w:bookmarkStart w:name="_Toc91" w:id="9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10.5 开发约束（硬性）</w:t>
      </w:r>
      <w:bookmarkEnd w:id="91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670"/>
        <w:gridCol w:w="2900"/>
      </w:tblGrid>
      <w:tr>
        <w:trPr>
          <w:cantSplit/>
          <w:tblHeader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约束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要求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原因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坐标系统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后端栅格统一 EPSG:4326；前端转 3857 显示；县域栅格化用 Krasovsky_1940_Albers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保证叠加与统计一致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压缩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 固定 LZW，禁用 zstd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 geotiff.js 未注册 zstd 解码器，曾致线上事故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float32；nodata=NaN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与前端拉伸、掩膜逻辑一致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写盘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必须原子写（临时文件 + 替换）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规避 Windows 并发 Permission denied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模拟批量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batch=16,384 像元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规避显存/内存过大导致 c10.dll 访问冲突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运行环境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启动设置 KMP_DUPLICATE_LIB_OK=TRUE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规避 PyTorch 与 MKL 的 OpenMP 冲突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路径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全部基于 BASE_DIR 相对解析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保证换盘/换机可运行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不信任前端输入；文件操作走白名单与 realpath 校验</w:t>
            </w:r>
          </w:p>
        </w:tc>
        <w:tc>
          <w:tcPr>
            <w:tcW w:type="dxa" w:w="2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防止路径穿越与越权</w:t>
            </w:r>
          </w:p>
        </w:tc>
      </w:tr>
    </w:tbl>
    <w:p>
      <w:pPr>
        <w:pStyle w:val="Heading2"/>
        <w:spacing w:after="160" w:before="300" w:line="360"/>
      </w:pPr>
      <w:bookmarkStart w:name="_Toc92" w:id="92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10.6 开发调试与提交</w:t>
      </w:r>
      <w:bookmarkEnd w:id="92"/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本地开发：run.ps1 -Debug 启动；修改后端后可重启，前端静态资源刷新即可。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接口调试：优先使用 /api/health 与 /api/system/status 确认服务状态。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日志定位：server.log 查看异常堆栈；模拟问题关注进度日志与 device_used/batch_pixels。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提交规范：按 .trae/rules/git-commit-message.md 约定编写提交信息；不提交 .env、data/raw、outputs 与个人路径。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版本管理：模型、阈值、知识库变更需记录版本号与生成命令，保证可复现。</w:t>
      </w:r>
    </w:p>
    <w:p>
      <w:pPr>
        <w:pStyle w:val="Heading1"/>
        <w:pageBreakBefore/>
        <w:spacing w:after="240" w:before="240" w:line="360"/>
      </w:pPr>
      <w:bookmarkStart w:name="_Toc93" w:id="93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11 已知边界与演进规划</w:t>
      </w:r>
      <w:bookmarkEnd w:id="93"/>
    </w:p>
    <w:p>
      <w:pPr>
        <w:pStyle w:val="Heading2"/>
        <w:spacing w:after="160" w:before="300" w:line="360"/>
      </w:pPr>
      <w:bookmarkStart w:name="_Toc94" w:id="94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11.1 功能状态矩阵</w:t>
      </w:r>
      <w:bookmarkEnd w:id="94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4770"/>
      </w:tblGrid>
      <w:tr>
        <w:trPr>
          <w:cantSplit/>
          <w:tblHeader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能力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状态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边界说明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多源图层与灾害库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 类灾害；冰川跃动要素数量待确认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径流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在线 T=1、跨日记忆关闭；训练/推理口径待统一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阈值淹没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简化水动力；忽略汇流、演进与堤防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融雪识别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部分实现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年极值判据偏宽松，需分位/面积约束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风险评估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相对分位分级；绝对后果阈值未落地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 决策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关键词路由，非向量语义检索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已实现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日志清空权限需收紧；无会话即时吊销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雪崩/风吹雪/冰川/冻土过程模拟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论文规划中的物理过程模型尚未实现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避险路径/资源调度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当前仅提供承灾体与措施信息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三维/实时遥感/物联网</w:t>
            </w:r>
          </w:p>
        </w:tc>
        <w:tc>
          <w:tcPr>
            <w:tcW w:type="dxa" w:w="1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规划中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依赖后续数据与渲染投入</w:t>
            </w:r>
          </w:p>
        </w:tc>
      </w:tr>
    </w:tbl>
    <w:p>
      <w:pPr>
        <w:pStyle w:val="Heading2"/>
        <w:spacing w:after="160" w:before="300" w:line="360"/>
      </w:pPr>
      <w:bookmarkStart w:name="_Toc95" w:id="95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11.2 技术债与优先整改项</w:t>
      </w:r>
      <w:bookmarkEnd w:id="9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70"/>
        <w:gridCol w:w="4600"/>
      </w:tblGrid>
      <w:tr>
        <w:trPr>
          <w:cantSplit/>
          <w:tblHeader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优先级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事项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业务接口鉴权与统一守卫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模拟、评估、决策等长任务接口当前公开，须在移交前整改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密钥与默认口令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强制环境变量注入、轮换泄露密钥、首次登录改密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 XSS 转义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统一封装 escape/textContent，覆盖所有属性弹窗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训练/推理口径统一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序列长度、空间聚合、NaN 处理、状态传递一致化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错误静默降级整改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路径不存在、栅格尺寸不一致时必须显式报错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长任务异步化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引入任务队列与进度轮询，避免阻塞请求线程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P1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测试可运行化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修复 fixture、去真实数据依赖、接入 CI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前端事件与资源泄漏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弹窗监听、Select 交互、resize 监听需成对注销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栅格并发加载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长时段 TIF 改为串行/分批，避免内存峰值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日志轮转与监控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增加磁盘水位、任务耗时与错误率告警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P2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文档与配置一致性</w:t>
            </w:r>
          </w:p>
        </w:tc>
        <w:tc>
          <w:tcPr>
            <w:tcW w:type="dxa" w:w="4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清理死配置（DEM_FILE）、统一数据体量口径</w:t>
            </w:r>
          </w:p>
        </w:tc>
      </w:tr>
    </w:tbl>
    <w:p>
      <w:pPr>
        <w:pStyle w:val="Heading2"/>
        <w:spacing w:after="160" w:before="300" w:line="360"/>
      </w:pPr>
      <w:bookmarkStart w:name="_Toc96" w:id="9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11.3 演进路线</w:t>
      </w:r>
      <w:bookmarkEnd w:id="9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770"/>
      </w:tblGrid>
      <w:tr>
        <w:trPr>
          <w:cantSplit/>
          <w:tblHeader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阶段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目标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关键任务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近期（移交前）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安全与正确性达标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鉴权、密钥、XSS、错误语义、测试修复、文档同步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中期（1 年内）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模型与数据精度提升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统一训练/推理口径、补 NSE/ROC、接入 WorldPop/网格 GDP/土地覆盖、绝对后果分级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中长期（1—3 年）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多灾种与业务化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雪崩/风吹雪/冻土过程模型、避险路径与资源调度、三维可视化、实时遥感与物联网接入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远期（3 年以上）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平台化与协同</w:t>
            </w:r>
          </w:p>
        </w:tc>
        <w:tc>
          <w:tcPr>
            <w:tcW w:type="dxa" w:w="47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多源数据在线更新、模型服务化、跨部门数据共享、业务化运行与标准化接口</w:t>
            </w:r>
          </w:p>
        </w:tc>
      </w:tr>
    </w:tbl>
    <w:p>
      <w:pPr>
        <w:pStyle w:val="Heading1"/>
        <w:pageBreakBefore/>
        <w:spacing w:after="240" w:before="240" w:line="360"/>
      </w:pPr>
      <w:bookmarkStart w:name="_Toc97" w:id="97"/>
      <w:r>
        <w:rPr>
          <w:rFonts w:ascii="Arial" w:eastAsia="黑体" w:hAnsi="Arial"/>
          <w:b/>
          <w:bCs/>
          <w:i w:val="false"/>
          <w:iCs w:val="false"/>
          <w:color w:val="1F3864"/>
          <w:sz w:val="36"/>
          <w:szCs w:val="36"/>
        </w:rPr>
        <w:t xml:space="preserve">12 附录</w:t>
      </w:r>
      <w:bookmarkEnd w:id="97"/>
    </w:p>
    <w:p>
      <w:pPr>
        <w:pStyle w:val="Heading2"/>
        <w:spacing w:after="160" w:before="300" w:line="360"/>
      </w:pPr>
      <w:bookmarkStart w:name="_Toc98" w:id="9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A 接口清单</w:t>
      </w:r>
      <w:bookmarkEnd w:id="98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系统共注册 14 个蓝图、77 条业务路由，另有应用层页面与静态资源路由约 20 条。下表按模块汇总；具体参数与响应结构以代码为准，新增接口时应同步维护本表。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600"/>
        <w:gridCol w:w="800"/>
        <w:gridCol w:w="407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模块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蓝图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URL 前缀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路由数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主要接口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认证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/api/auth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login / logout / me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/api/system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/api/admin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26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stats、users（增删改查、批量）、roles、permissions、logs、change-password、data-tree、data-files（上传/删除）、agent-config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地理编码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geocode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/modules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geocode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数据查询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query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（无前缀）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/api/query/variables、/api/query/list、/api/query/range、/tif/&lt;path&gt;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流域与图层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basin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/api/basin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17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data、search、river、permafrost、glaciers、cma、weather_station、railway、road、settlement、city_settlement、capital_settlement、boundary_country/province/city/county、lake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模拟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simulate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/api/simulate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models、runoff、runoff/files、latest_tif、flood-inundation、flood/thresholds、flood-results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风险评估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alert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/api/alert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risk_assessment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社会经济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economy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/api/economy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gdp_data、powerplant_data、dam_data、reservoir_data（各含列表与单对象查询）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灾害库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disaster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（无前缀）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/api/disaster/&lt;disaster_type&gt;、/api/disaster/types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融雪洪水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snowmelt_flood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/api/snowmelt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identify、result/&lt;filename&gt;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大模型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llm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/api/llm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chat、health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专家知识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expert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/api/expert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profiles、fields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决策支持</w:t>
            </w:r>
          </w:p>
        </w:tc>
        <w:tc>
          <w:tcPr>
            <w:tcW w:type="dxa" w:w="13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decision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/api/decision</w:t>
            </w:r>
          </w:p>
        </w:tc>
        <w:tc>
          <w:tcPr>
            <w:tcW w:type="dxa" w:w="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0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content</w:t>
            </w:r>
          </w:p>
        </w:tc>
      </w:tr>
    </w:tbl>
    <w:p>
      <w:pPr>
        <w:pBdr>
          <w:top w:val="single" w:color="BFBFBF" w:sz="2" w:space="4"/>
          <w:left w:val="single" w:color="2E75B6" w:sz="12" w:space="6"/>
          <w:bottom w:val="single" w:color="BFBFBF" w:sz="2" w:space="4"/>
          <w:right w:val="single" w:color="BFBFBF" w:sz="2" w:space="4"/>
        </w:pBdr>
        <w:shd w:fill="F2F2F2" w:val="clear"/>
        <w:spacing w:after="140" w:before="60" w:line="300"/>
        <w:ind w:left="160" w:right="160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color w:val="404040"/>
          <w:sz w:val="21"/>
          <w:szCs w:val="21"/>
        </w:rPr>
        <w:t xml:space="preserve">接口鉴权现状：仅部分管理类接口叠加了登录与权限校验，模拟、风险评估、决策、数据查询等长任务接口默认公开（详见 8.5 节 S-01）。对外提供或接入校园网前，必须补充统一鉴权与限流。</w:t>
      </w:r>
    </w:p>
    <w:p>
      <w:pPr>
        <w:pStyle w:val="Heading2"/>
        <w:spacing w:after="160" w:before="300" w:line="360"/>
      </w:pPr>
      <w:bookmarkStart w:name="_Toc99" w:id="99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B 配置项与环境变量</w:t>
      </w:r>
      <w:bookmarkEnd w:id="99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配置集中在 webgis_backend/config.py，密钥与账号通过项目根目录 .env 或系统环境变量注入；.env 已被 .gitignore 忽略。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600"/>
        <w:gridCol w:w="397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变量/配置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默认值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FLASK_CONFIG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production（启动脚本设置）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配置档位：development / production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SECRET_KEY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dev-insecure-secret-change-me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会话签名密钥；生产必须注入强随机值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ADMIN_USERNAME / ADMIN_PASSWORD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 / admin123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系统管理员内置账号；首次登录应改密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OPERATOR_USERNAME / OPERATOR_PASSWORD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operator / operator123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运维账号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VIEWER_USERNAME / VIEWER_PASSWORD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viewer / viewer123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只读账号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AMAP_KEY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高德地理编码；未配置时相关功能返回明确错误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DEEPSEEK_API_KEY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决策智能体调用密钥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DEEPSEEK_MODEL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deepseek-v4-flash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对话模型名称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DEEPSEEK_API_URL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https://api.deepseek.com/chat/completions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接口地址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DATABASE_PATH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data/processed/db/TibetanPlateau_index.db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气象栅格索引库位置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MAX_CONTENT_LENGTH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16 MB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上传文件大小上限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DEM_FILE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data/raw/dem/wholeYarkant.tif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死配置：文件不存在且无代码引用，待清理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WEBGIS_DATA_DIR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data/webgis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content/uploads/outputs 三区根目录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MODELS_DIR / THRESHOLDS_DIR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data/raw/models、data/raw/thresholds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模型权重与分位阈值栅格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ERA5_DATA_DIR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data/raw/TibetanPlateau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驱动栅格根目录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GLDAS_SNOWMELT_DIR</w:t>
            </w:r>
          </w:p>
        </w:tc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data/raw/GLDAS025_Snowmelt</w:t>
            </w:r>
          </w:p>
        </w:tc>
        <w:tc>
          <w:tcPr>
            <w:tcW w:type="dxa" w:w="39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 融雪日值目录</w:t>
            </w:r>
          </w:p>
        </w:tc>
      </w:tr>
    </w:tbl>
    <w:p>
      <w:pPr>
        <w:pStyle w:val="Heading2"/>
        <w:spacing w:after="160" w:before="300" w:line="360"/>
      </w:pPr>
      <w:bookmarkStart w:name="_Toc100" w:id="100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C 灾害类型与图层白名单</w:t>
      </w:r>
      <w:bookmarkEnd w:id="100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灾害类型采用单一数据源配置（config.DISASTER_TYPES），新增类型只需在此登记，图层接口与知识库检索同步生效。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2200"/>
        <w:gridCol w:w="1370"/>
      </w:tblGrid>
      <w:tr>
        <w:trPr>
          <w:cantSplit/>
          <w:tblHeader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类型编码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GeoJSON 文件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中文名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要素数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rainfall_floods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PFs_HMA.geojson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降雨型洪水（PFs）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94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snowmelt_floods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SFs_HMA.geojson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融雪型洪水（SFs）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glacial_lake_floods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GLOFs_HMA.geojson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冰湖溃决型洪水（GLOFs）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landslide_dam_floods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LLOFs_HMA.geojson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滑坡堰塞湖溃决型洪水（LLOFs）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glacier_surging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surging_glacier_inventory_gamdam_v2.geojson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冰川跃动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待确认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rts_qtp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RTS-QTP.geojson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多年冻土热融滑塌（RTS）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2,669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avalanche_hazard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雪崩危害范围.geojson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雪崩灾害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blizzard_hazard</w:t>
            </w:r>
          </w:p>
        </w:tc>
        <w:tc>
          <w:tcPr>
            <w:tcW w:type="dxa" w:w="3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风吹雪危害范围.geojson</w:t>
            </w:r>
          </w:p>
        </w:tc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风吹雪灾害</w:t>
            </w:r>
          </w:p>
        </w:tc>
        <w:tc>
          <w:tcPr>
            <w:tcW w:type="dxa" w:w="1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62</w:t>
            </w:r>
          </w:p>
        </w:tc>
      </w:tr>
    </w:tbl>
    <w:p>
      <w:pPr>
        <w:pStyle w:val="Heading2"/>
        <w:spacing w:after="160" w:before="300" w:line="360"/>
      </w:pPr>
      <w:bookmarkStart w:name="_Toc101" w:id="101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D 数据库表结构</w:t>
      </w:r>
      <w:bookmarkEnd w:id="101"/>
    </w:p>
    <w:p>
      <w:pPr>
        <w:pStyle w:val="Heading3"/>
        <w:spacing w:after="120" w:before="220" w:line="340"/>
      </w:pPr>
      <w:bookmarkStart w:name="_Toc102" w:id="102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D.1 系统管理库 admin.db</w:t>
      </w:r>
      <w:bookmarkEnd w:id="102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位于 data/processed/db/admin.db，用于认证、RBAC 与审计，首次启动自动建表并写入种子数据。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7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表名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主键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字段说明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username（唯一）、password_hash、display_name、role_id、status、created_at、last_login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name、code（唯一）、description、created_at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name、code（唯一）、description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role_permissions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role_id + permission_id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角色—权限多对多关联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admin_logs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username、action、detail、ip、created_at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key</w:t>
            </w:r>
          </w:p>
        </w:tc>
        <w:tc>
          <w:tcPr>
            <w:tcW w:type="dxa" w:w="5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value、updated_at（键值型系统设置）</w:t>
            </w:r>
          </w:p>
        </w:tc>
      </w:tr>
    </w:tbl>
    <w:p>
      <w:pPr>
        <w:pStyle w:val="Heading3"/>
        <w:spacing w:after="120" w:before="220" w:line="340"/>
      </w:pPr>
      <w:bookmarkStart w:name="_Toc103" w:id="103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D.2 气象栅格索引库 TibetanPlateau_index.db</w:t>
      </w:r>
      <w:bookmarkEnd w:id="103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记录 ERA5 驱动栅格的元数据，支撑按变量与日期快速定位文件；共 130,680 行，建立 (variable, date) 复合索引。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4870"/>
      </w:tblGrid>
      <w:tr>
        <w:trPr>
          <w:cantSplit/>
          <w:tblHeader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字段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类型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INTEGER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自增主键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变量名（temperature_2m 等 4 类）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日期（YYYY-MM-DD）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file_path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栅格绝对/相对路径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bbox_minx / bbox_miny / bbox_maxx / bbox_maxy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REAL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空间范围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bands / crs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INTEGER / TEXT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波段数与坐标参考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TEXT</w:t>
            </w:r>
          </w:p>
        </w:tc>
        <w:tc>
          <w:tcPr>
            <w:tcW w:type="dxa" w:w="4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索引写入时间</w:t>
            </w:r>
          </w:p>
        </w:tc>
      </w:tr>
    </w:tbl>
    <w:p>
      <w:pPr>
        <w:pStyle w:val="Heading3"/>
        <w:spacing w:after="120" w:before="220" w:line="340"/>
      </w:pPr>
      <w:bookmarkStart w:name="_Toc104" w:id="104"/>
      <w:r>
        <w:rPr>
          <w:rFonts w:ascii="Arial" w:eastAsia="黑体" w:hAnsi="Arial"/>
          <w:b/>
          <w:bCs/>
          <w:i w:val="false"/>
          <w:iCs w:val="false"/>
          <w:color w:val="1F1F1F"/>
          <w:sz w:val="26"/>
          <w:szCs w:val="26"/>
        </w:rPr>
        <w:t xml:space="preserve">D.3 专家知识库 expert_kb.db</w:t>
      </w:r>
      <w:bookmarkEnd w:id="104"/>
    </w:p>
    <w:p>
      <w:pPr>
        <w:keepNext w:val="false"/>
        <w:spacing w:after="120" w:before="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位于 data/webgis/content，支撑灾害案例问答与 RAG 检索，共 8 张表。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70"/>
      </w:tblGrid>
      <w:tr>
        <w:trPr>
          <w:cantSplit/>
          <w:tblHeader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表名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内容与关键字段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kb_disaster_cases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灾害案例：type、country、region、lon/lat、began/ended、main_cause、deaths、displaced、affected_area、severity、elevation、reference 等（3,688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kb_stations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气象站点：station_id、name、province、lon、lat、elevation（106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kb_counties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县域本底：name、adcode、lon、lat、pop_latest、gdp_latest_year、gdp_latest、gdp_2015、has_economy（2,089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kb_infra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承灾体设施：kind、kind_name、name、lon、lat、extra_json（660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kb_geo_overview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地理概览统计：kind、count、note、stats_json（7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kb_era5_stats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ERA5 数据概况：db_file、table_name、count、min_date、max_date、variables_json（1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kb_methods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方法说明：title、content、source（5 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kb_sources</w:t>
            </w:r>
          </w:p>
        </w:tc>
        <w:tc>
          <w:tcPr>
            <w:tcW w:type="dxa" w:w="68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数据来源台账：name、path、description、exists_flag、size_bytes、updated_at（16 条）</w:t>
            </w:r>
          </w:p>
        </w:tc>
      </w:tr>
    </w:tbl>
    <w:p>
      <w:pPr>
        <w:pStyle w:val="Heading2"/>
        <w:spacing w:after="160" w:before="300" w:line="360"/>
      </w:pPr>
      <w:bookmarkStart w:name="_Toc105" w:id="105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E 术语表</w:t>
      </w:r>
      <w:bookmarkEnd w:id="105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70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术语/缩写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英文全称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数字孪生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Digital Twin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以数据与模型构建物理世界可计算、可推演的虚拟映射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冰冻圈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Cryosphere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冰川、积雪、冻土、湖冰等地球表层冻结水体与岩土的总称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PFs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Rainfall-induced Floods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降雨型洪水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SFs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Snowmelt Floods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融雪型洪水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GLOFs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Glacial Lake Outburst Floods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冰湖溃决型洪水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LLOFs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Landslide-dam Lake Outburst Floods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滑坡堰塞湖溃决型洪水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RTS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Retrogressive Thaw Slumps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多年冻土热融滑塌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Long Short-Term Memory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长短期记忆神经网络，用于径流序列建模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 / E / V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Hazard / Exposure / Vulnerability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危险性 / 暴露度 / 脆弱性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IDW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Inverse Distance Weighting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反距离加权空间插值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SV_QTP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Social Vulnerability of QTP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青藏高原县域社会经济脆弱性指数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分位阈值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Quantile Threshold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以径流序列的 10/50/90/95/99 分位数判定淹没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Retrieval-Augmented Generation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检索增强生成，用于决策知识问答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RBAC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Role-Based Access Control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基于角色的访问控制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GeoTIFF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Georeferenced TIFF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带地理参考的栅格影像格式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NSE</w:t>
            </w:r>
          </w:p>
        </w:tc>
        <w:tc>
          <w:tcPr>
            <w:tcW w:type="dxa" w:w="3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Nash-Sutcliffe Efficiency</w:t>
            </w:r>
          </w:p>
        </w:tc>
        <w:tc>
          <w:tcPr>
            <w:tcW w:type="dxa" w:w="34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水文模型常用纳什效率系数</w:t>
            </w:r>
          </w:p>
        </w:tc>
      </w:tr>
    </w:tbl>
    <w:p>
      <w:pPr>
        <w:pStyle w:val="Heading2"/>
        <w:spacing w:after="160" w:before="300" w:line="360"/>
      </w:pPr>
      <w:bookmarkStart w:name="_Toc106" w:id="106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F 文档索引</w:t>
      </w:r>
      <w:bookmarkEnd w:id="106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70"/>
      </w:tblGrid>
      <w:tr>
        <w:trPr>
          <w:cantSplit/>
          <w:tblHeader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文档/目录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README.md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系统快速上手、目录结构与已知边界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docs/系统技术文档_结构化总览.md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五层架构、技术路线与研究方法总览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docs/01_技术思路/00_系统模块总览与技术思路索引.md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模块清单、依赖关系与统一约定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docs/02_模块技术说明/01_洪水灾害风险评估技术文档.md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H×E×V 模型公式、数据与分级方法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docs/04_论文与规划/青藏高原冰冻圈灾害数字孪生系统构建.md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论文框架与长期规划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docs/00_系统说明书/（本文件）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系统移交、结题验收与答辩评审主文档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tests/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冒烟、引擎、并发、栅格可读性与路由测试脚本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scripts/</w:t>
            </w:r>
          </w:p>
        </w:tc>
        <w:tc>
          <w:tcPr>
            <w:tcW w:type="dxa" w:w="4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启动、诊断、运行时构建与数据维护脚本</w:t>
            </w:r>
          </w:p>
        </w:tc>
      </w:tr>
    </w:tbl>
    <w:p>
      <w:pPr>
        <w:pStyle w:val="Heading2"/>
        <w:spacing w:after="160" w:before="300" w:line="360"/>
      </w:pPr>
      <w:bookmarkStart w:name="_Toc107" w:id="107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G 交付与验收清单</w:t>
      </w:r>
      <w:bookmarkEnd w:id="107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70"/>
        <w:gridCol w:w="4200"/>
      </w:tblGrid>
      <w:tr>
        <w:trPr>
          <w:cantSplit/>
          <w:tblHeader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类别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交付物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验收要点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代码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webgis_backend、webgis_frontend、Training、flood_workflow、scripts、tests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可在目标机启动；核心页面可打开；冒烟测试通过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运行时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.runtime、requirements.lock.txt、setup_runtime.ps1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离线可复现安装；版本锁定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data/raw、data/processed、data/webgis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索引完整；关键栅格可读；体量与清单一致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模型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权重、分位阈值栅格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加载成功；推理结果与样例一致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数据库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admin.db、TibetanPlateau_index.db、expert_kb.db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表结构完整；种子数据可用；可备份恢复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文档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本说明书、README、模块技术文档、论文规划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版本一致；接口与配置描述与代码相符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安全</w:t>
            </w:r>
          </w:p>
        </w:tc>
        <w:tc>
          <w:tcPr>
            <w:tcW w:type="dxa" w:w="36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整改记录、密钥轮换记录、权限矩阵</w:t>
            </w:r>
          </w:p>
        </w:tc>
        <w:tc>
          <w:tcPr>
            <w:tcW w:type="dxa" w:w="42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P0 项闭环；无默认口令；审计可查</w:t>
            </w:r>
          </w:p>
        </w:tc>
      </w:tr>
    </w:tbl>
    <w:p>
      <w:pPr>
        <w:pStyle w:val="Heading2"/>
        <w:spacing w:after="160" w:before="300" w:line="360"/>
      </w:pPr>
      <w:bookmarkStart w:name="_Toc108" w:id="108"/>
      <w:r>
        <w:rPr>
          <w:rFonts w:ascii="Arial" w:eastAsia="黑体" w:hAnsi="Arial"/>
          <w:b/>
          <w:bCs/>
          <w:i w:val="false"/>
          <w:iCs w:val="false"/>
          <w:color w:val="1F3864"/>
          <w:sz w:val="30"/>
          <w:szCs w:val="30"/>
        </w:rPr>
        <w:t xml:space="preserve">附录 H 待确认事项</w:t>
      </w:r>
      <w:bookmarkEnd w:id="108"/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70"/>
        <w:gridCol w:w="4800"/>
      </w:tblGrid>
      <w:tr>
        <w:trPr>
          <w:cantSplit/>
          <w:tblHeader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编号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事项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Times New Roman" w:eastAsia="宋体" w:hAnsi="Times New Roman"/>
                <w:b/>
                <w:bCs/>
                <w:i w:val="false"/>
                <w:iCs w:val="false"/>
                <w:sz w:val="21"/>
                <w:szCs w:val="21"/>
              </w:rPr>
              <w:t xml:space="preserve">影响与建议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Q-01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DEM_FILE 指向的文件不存在且无代码引用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删除死配置或改用 data/processed/dem/web_dem.tif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Q-02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GLDAS025 目录命名与实际分辨率口径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核对 0.25° 与 0.0898° 的表述差异，统一文档口径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Q-03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冰川跃动图层要素数量未核实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补充统计并写入附录 C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Q-04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README 中 data/ 约 82 GB 与实测约 5.2 TB 不一致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以实测为准更新文档，避免评审误解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Q-05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LSTM 实测 NSE/KGE 未形成书面记录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补做验证并纳入结题材料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Q-06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pytest 最近一次 11 项失败是否为最新结果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重新完整运行并记录基线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Q-07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thresholds2024 99p 文件异常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核查生成脚本与数据完整性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Q-08</w:t>
            </w:r>
          </w:p>
        </w:tc>
        <w:tc>
          <w:tcPr>
            <w:tcW w:type="dxa" w:w="337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索引库存在重复记录/备份库并存</w:t>
            </w:r>
          </w:p>
        </w:tc>
        <w:tc>
          <w:tcPr>
            <w:tcW w:type="dxa" w:w="4800"/>
            <w:tcBorders>
              <w:top w:val="single" w:color="A6A6A6" w:sz="1"/>
              <w:left w:val="single" w:color="A6A6A6" w:sz="1"/>
              <w:bottom w:val="single" w:color="A6A6A6" w:sz="1"/>
              <w:right w:val="single" w:color="A6A6A6" w:sz="1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Times New Roman" w:eastAsia="宋体" w:hAnsi="Times New Roman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明确主库与备份库关系，清理冗余</w:t>
            </w:r>
          </w:p>
        </w:tc>
      </w:tr>
    </w:tbl>
    <w:p>
      <w:pPr>
        <w:keepNext w:val="false"/>
        <w:spacing w:after="120" w:before="240" w:line="360"/>
        <w:jc w:val="both"/>
      </w:pPr>
      <w:r>
        <w:rPr>
          <w:rFonts w:ascii="Times New Roman" w:eastAsia="宋体" w:hAnsi="Times New Roman"/>
          <w:b w:val="false"/>
          <w:bCs w:val="false"/>
          <w:i w:val="false"/>
          <w:iCs w:val="false"/>
          <w:sz w:val="24"/>
          <w:szCs w:val="24"/>
        </w:rPr>
        <w:t xml:space="preserve">本说明书基于 2026 年 10 月 21 日工作区事实编制。系统后续发生接口、配置、数据或模型变更时，应同步修订本文档并更新版本号与修订记录。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418" w:bottom="1418" w:left="1418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color w:val="595959"/>
        <w:sz w:val="18"/>
        <w:szCs w:val="18"/>
      </w:rPr>
      <w:t xml:space="preserve">第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</w:r>
    <w:r>
      <w:rPr>
        <w:rFonts w:ascii="Times New Roman" w:eastAsia="宋体" w:hAnsi="Times New Roman"/>
        <w:color w:val="595959"/>
        <w:sz w:val="18"/>
        <w:szCs w:val="18"/>
      </w:rPr>
      <w:instrText xml:space="preserve">PAGE</w:instrText>
    </w:r>
    <w:r>
      <w:rPr>
        <w:rFonts w:ascii="Times New Roman" w:eastAsia="宋体" w:hAnsi="Times New Roman"/>
        <w:color w:val="595959"/>
        <w:sz w:val="18"/>
        <w:szCs w:val="18"/>
      </w:rPr>
      <w:fldChar w:fldCharType="separate"/>
    </w:r>
    <w:r>
      <w:rPr>
        <w:rFonts w:ascii="Times New Roman" w:eastAsia="宋体" w:hAnsi="Times New Roman"/>
        <w:color w:val="595959"/>
        <w:sz w:val="18"/>
        <w:szCs w:val="18"/>
      </w:rPr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 / 共 </w:t>
    </w:r>
    <w:r>
      <w:rPr>
        <w:rFonts w:ascii="Times New Roman" w:eastAsia="宋体" w:hAnsi="Times New Roman"/>
        <w:color w:val="595959"/>
        <w:sz w:val="18"/>
        <w:szCs w:val="18"/>
      </w:rPr>
      <w:fldChar w:fldCharType="begin"/>
    </w:r>
    <w:r>
      <w:rPr>
        <w:rFonts w:ascii="Times New Roman" w:eastAsia="宋体" w:hAnsi="Times New Roman"/>
        <w:color w:val="595959"/>
        <w:sz w:val="18"/>
        <w:szCs w:val="18"/>
      </w:rPr>
      <w:instrText xml:space="preserve">NUMPAGES</w:instrText>
    </w:r>
    <w:r>
      <w:rPr>
        <w:rFonts w:ascii="Times New Roman" w:eastAsia="宋体" w:hAnsi="Times New Roman"/>
        <w:color w:val="595959"/>
        <w:sz w:val="18"/>
        <w:szCs w:val="18"/>
      </w:rPr>
      <w:fldChar w:fldCharType="separate"/>
    </w:r>
    <w:r>
      <w:rPr>
        <w:rFonts w:ascii="Times New Roman" w:eastAsia="宋体" w:hAnsi="Times New Roman"/>
        <w:color w:val="595959"/>
        <w:sz w:val="18"/>
        <w:szCs w:val="18"/>
      </w:rPr>
      <w:fldChar w:fldCharType="end"/>
    </w:r>
    <w:r>
      <w:rPr>
        <w:rFonts w:ascii="Times New Roman" w:eastAsia="宋体" w:hAnsi="Times New Roman"/>
        <w:color w:val="595959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 w:space="4"/>
      </w:pBdr>
      <w:tabs>
        <w:tab w:val="right" w:pos="9070"/>
      </w:tabs>
    </w:pPr>
    <w:r>
      <w:rPr>
        <w:rFonts w:ascii="Times New Roman" w:eastAsia="宋体" w:hAnsi="Times New Roman"/>
        <w:color w:val="595959"/>
        <w:sz w:val="18"/>
        <w:szCs w:val="18"/>
      </w:rPr>
      <w:t xml:space="preserve">青藏高原冰冻圈灾害数字孪生系统 · 系统说明书</w:t>
    </w:r>
    <w:r>
      <w:rPr>
        <w:rFonts w:ascii="Times New Roman" w:eastAsia="宋体" w:hAnsi="Times New Roman"/>
        <w:color w:val="595959"/>
        <w:sz w:val="18"/>
        <w:szCs w:val="18"/>
      </w:rPr>
      <w:t xml:space="preserve">	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黑体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黑体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20"/>
      <w:outlineLvl w:val="2"/>
    </w:pPr>
    <w:rPr>
      <w:rFonts w:ascii="Arial" w:eastAsia="黑体" w:hAnsi="Arial"/>
      <w:b/>
      <w:bCs/>
      <w:color w:val="1F1F1F"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80" w:before="160"/>
      <w:outlineLvl w:val="3"/>
    </w:pPr>
    <w:rPr>
      <w:rFonts w:ascii="Arial" w:eastAsia="黑体" w:hAnsi="Arial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ab1ba24d219a37aa81cc95456cb30dd1e8f8033d.png"/><Relationship Id="rId12" Type="http://schemas.openxmlformats.org/officeDocument/2006/relationships/image" Target="media/861b373a73148735627e513fa7fb228f4f6f347b.png"/><Relationship Id="rId13" Type="http://schemas.openxmlformats.org/officeDocument/2006/relationships/image" Target="media/aedcdaf1ca8edd695d5415d5b3e7400b47e37b3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2026-10-21T04:36:21.674Z</dcterms:created>
  <dcterms:modified xsi:type="dcterms:W3CDTF">2026-10-21T04:36:21.675Z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