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0D1F33"/>
          <w:sz w:val="48"/>
          <w:szCs w:val="48"/>
        </w:rPr>
        <w:t xml:space="preserve">SecureOps AI</w:t>
      </w:r>
    </w:p>
    <w:p>
      <w:pPr>
        <w:pBdr>
          <w:bottom w:val="single" w:color="C0392B" w:sz="14" w:space="3"/>
        </w:pBdr>
        <w:spacing w:before="0" w:after="0"/>
      </w:pPr>
      <w:r>
        <w:rPr>
          <w:rFonts w:ascii="Arial" w:cs="Arial" w:eastAsia="Arial" w:hAnsi="Arial"/>
          <w:color w:val="1A5C96"/>
          <w:sz w:val="23"/>
          <w:szCs w:val="23"/>
        </w:rPr>
        <w:t xml:space="preserve">Alert Triage Workflow  ·  PM Assignment Response</w:t>
      </w:r>
    </w:p>
    <w:p>
      <w:pPr>
        <w:spacing w:before="140" w:after="0"/>
      </w:pPr>
      <w:r>
        <w:t xml:space="preserve"/>
      </w:r>
    </w:p>
    <w:p>
      <w:pPr>
        <w:pBdr>
          <w:bottom w:val="single" w:color="2E75B6" w:sz="8" w:space="2"/>
        </w:pBdr>
        <w:spacing w:before="300" w:after="60"/>
      </w:pPr>
      <w:r>
        <w:rPr>
          <w:rFonts w:ascii="Arial" w:cs="Arial" w:eastAsia="Arial" w:hAnsi="Arial"/>
          <w:b/>
          <w:bCs/>
          <w:color w:val="0D1F33"/>
          <w:sz w:val="30"/>
          <w:szCs w:val="30"/>
        </w:rPr>
        <w:t xml:space="preserve">1.  Problem Statement &amp; User Persona</w:t>
      </w:r>
    </w:p>
    <w:p>
      <w:pPr>
        <w:spacing w:before="30" w:after="0"/>
      </w:pPr>
      <w:r>
        <w:t xml:space="preserve"/>
      </w:r>
    </w:p>
    <w:p>
      <w:pPr>
        <w:spacing w:before="50" w:after="50"/>
      </w:pPr>
      <w:r>
        <w:rPr>
          <w:rFonts w:ascii="Arial" w:cs="Arial" w:eastAsia="Arial" w:hAnsi="Arial"/>
          <w:color w:val="444444"/>
          <w:sz w:val="21"/>
          <w:szCs w:val="21"/>
        </w:rPr>
        <w:t xml:space="preserve">Cloud security teams are losing the battle against alert volume — not because they lack tools, but because every tool adds a screen to switch to. A SOC analyst today opens an alert, then pivots to CloudTrail, then Slack to find the resource owner, then a wiki for the runbook. By the time they have enough context to decide, 15 minutes have passed and three more alerts have queued up.</w:t>
      </w:r>
    </w:p>
    <w:p>
      <w:pPr>
        <w:spacing w:before="50" w:after="0"/>
      </w:pPr>
      <w:r>
        <w:t xml:space="preserve"/>
      </w:r>
    </w:p>
    <w:p>
      <w:pPr>
        <w:spacing w:before="50" w:after="50"/>
      </w:pPr>
      <w:r>
        <w:rPr>
          <w:rFonts w:ascii="Arial" w:cs="Arial" w:eastAsia="Arial" w:hAnsi="Arial"/>
          <w:color w:val="444444"/>
          <w:sz w:val="21"/>
          <w:szCs w:val="21"/>
        </w:rPr>
        <w:t xml:space="preserve">SecureOps AI is designed to solve one specific problem: give the analyst everything they need to make a confident triage decision without leaving the product. The three-screen flow — Intake, Investigation, Resolution — maps directly to the three questions every analyst must answer on every alert:</w:t>
      </w:r>
    </w:p>
    <w:p>
      <w:pPr>
        <w:spacing w:before="40" w:after="0"/>
      </w:pPr>
      <w:r>
        <w:t xml:space="preserve"/>
      </w:r>
    </w:p>
    <w:p>
      <w:pPr>
        <w:spacing w:before="60" w:after="60"/>
        <w:ind w:left="300"/>
      </w:pPr>
      <w:r>
        <w:rPr>
          <w:rFonts w:ascii="Arial" w:cs="Arial" w:eastAsia="Arial" w:hAnsi="Arial"/>
          <w:b/>
          <w:bCs/>
          <w:color w:val="1A5C96"/>
          <w:sz w:val="22"/>
          <w:szCs w:val="22"/>
        </w:rPr>
        <w:t xml:space="preserve">→  Is it real?     →  How severe?     →  What do I do right now?</w:t>
      </w:r>
    </w:p>
    <w:p>
      <w:pPr>
        <w:spacing w:before="40" w:after="0"/>
      </w:pPr>
      <w:r>
        <w:t xml:space="preserve"/>
      </w:r>
    </w:p>
    <w:p>
      <w:pPr>
        <w:spacing w:before="200" w:after="60"/>
      </w:pPr>
      <w:r>
        <w:rPr>
          <w:rFonts w:ascii="Arial" w:cs="Arial" w:eastAsia="Arial" w:hAnsi="Arial"/>
          <w:b/>
          <w:bCs/>
          <w:color w:val="1A5C96"/>
          <w:sz w:val="24"/>
          <w:szCs w:val="24"/>
        </w:rPr>
        <w:t xml:space="preserve">User Persona — On-Call SOC / SecOps Analyst</w:t>
      </w:r>
    </w:p>
    <w:p>
      <w:pPr>
        <w:pStyle w:val="ListParagraph"/>
        <w:numPr>
          <w:ilvl w:val="0"/>
          <w:numId w:val="2"/>
        </w:numPr>
        <w:spacing w:before="38" w:after="38"/>
      </w:pPr>
      <w:r>
        <w:rPr>
          <w:rFonts w:ascii="Arial" w:cs="Arial" w:eastAsia="Arial" w:hAnsi="Arial"/>
          <w:color w:val="444444"/>
          <w:sz w:val="21"/>
          <w:szCs w:val="21"/>
        </w:rPr>
        <w:t xml:space="preserve">Managing 50–300 alerts per shift across AWS, GCP, or Azure environments</w:t>
      </w:r>
    </w:p>
    <w:p>
      <w:pPr>
        <w:pStyle w:val="ListParagraph"/>
        <w:numPr>
          <w:ilvl w:val="0"/>
          <w:numId w:val="2"/>
        </w:numPr>
        <w:spacing w:before="38" w:after="38"/>
      </w:pPr>
      <w:r>
        <w:rPr>
          <w:rFonts w:ascii="Arial" w:cs="Arial" w:eastAsia="Arial" w:hAnsi="Arial"/>
          <w:color w:val="444444"/>
          <w:sz w:val="21"/>
          <w:szCs w:val="21"/>
        </w:rPr>
        <w:t xml:space="preserve">Responsible for rapid triage: severity judgment, escalation decision, and documented resolution</w:t>
      </w:r>
    </w:p>
    <w:p>
      <w:pPr>
        <w:pStyle w:val="ListParagraph"/>
        <w:numPr>
          <w:ilvl w:val="0"/>
          <w:numId w:val="2"/>
        </w:numPr>
        <w:spacing w:before="38" w:after="38"/>
      </w:pPr>
      <w:r>
        <w:rPr>
          <w:rFonts w:ascii="Arial" w:cs="Arial" w:eastAsia="Arial" w:hAnsi="Arial"/>
          <w:color w:val="444444"/>
          <w:sz w:val="21"/>
          <w:szCs w:val="21"/>
        </w:rPr>
        <w:t xml:space="preserve">Operating under time pressure: on-call SLAs, shift handoffs, escalation chains</w:t>
      </w:r>
    </w:p>
    <w:p>
      <w:pPr>
        <w:pStyle w:val="ListParagraph"/>
        <w:numPr>
          <w:ilvl w:val="0"/>
          <w:numId w:val="2"/>
        </w:numPr>
        <w:spacing w:before="38" w:after="38"/>
      </w:pPr>
      <w:r>
        <w:rPr>
          <w:rFonts w:ascii="Arial" w:cs="Arial" w:eastAsia="Arial" w:hAnsi="Arial"/>
          <w:color w:val="444444"/>
          <w:sz w:val="21"/>
          <w:szCs w:val="21"/>
        </w:rPr>
        <w:t xml:space="preserve">Frequently working with fragmented context: ownership tags missing, logs delayed, asset records stale</w:t>
      </w:r>
    </w:p>
    <w:p>
      <w:pPr>
        <w:pStyle w:val="ListParagraph"/>
        <w:numPr>
          <w:ilvl w:val="0"/>
          <w:numId w:val="2"/>
        </w:numPr>
        <w:spacing w:before="38" w:after="38"/>
      </w:pPr>
      <w:r>
        <w:rPr>
          <w:rFonts w:ascii="Arial" w:cs="Arial" w:eastAsia="Arial" w:hAnsi="Arial"/>
          <w:color w:val="444444"/>
          <w:sz w:val="21"/>
          <w:szCs w:val="21"/>
        </w:rPr>
        <w:t xml:space="preserve">Experiencing alert fatigue — when context takes too long to gather, real threats get buried under noise</w:t>
      </w:r>
    </w:p>
    <w:p>
      <w:pPr>
        <w:spacing w:before="50" w:after="0"/>
      </w:pPr>
      <w:r>
        <w:t xml:space="preserve"/>
      </w:r>
    </w:p>
    <w:p>
      <w:pPr>
        <w:spacing w:before="50" w:after="50"/>
      </w:pPr>
      <w:r>
        <w:rPr>
          <w:rFonts w:ascii="Arial" w:cs="Arial" w:eastAsia="Arial" w:hAnsi="Arial"/>
          <w:color w:val="444444"/>
          <w:sz w:val="21"/>
          <w:szCs w:val="21"/>
        </w:rPr>
        <w:t xml:space="preserve">This persona does not need more dashboards. They need a single, fast surface that assembles the right context and guides them to a decision. That is what SecureOps AI is built to be.</w:t>
      </w:r>
    </w:p>
    <w:p>
      <w:pPr>
        <w:spacing w:before="140" w:after="0"/>
      </w:pPr>
      <w:r>
        <w:t xml:space="preserve"/>
      </w:r>
    </w:p>
    <w:p>
      <w:pPr>
        <w:pBdr>
          <w:bottom w:val="single" w:color="2E75B6" w:sz="8" w:space="2"/>
        </w:pBdr>
        <w:spacing w:before="300" w:after="60"/>
      </w:pPr>
      <w:r>
        <w:rPr>
          <w:rFonts w:ascii="Arial" w:cs="Arial" w:eastAsia="Arial" w:hAnsi="Arial"/>
          <w:b/>
          <w:bCs/>
          <w:color w:val="0D1F33"/>
          <w:sz w:val="30"/>
          <w:szCs w:val="30"/>
        </w:rPr>
        <w:t xml:space="preserve">2.  Proposed Features, Prioritization &amp; Success Metrics</w:t>
      </w:r>
    </w:p>
    <w:p>
      <w:pPr>
        <w:spacing w:before="30" w:after="0"/>
      </w:pPr>
      <w:r>
        <w:t xml:space="preserve"/>
      </w:r>
    </w:p>
    <w:p>
      <w:pPr>
        <w:spacing w:before="200" w:after="60"/>
      </w:pPr>
      <w:r>
        <w:rPr>
          <w:rFonts w:ascii="Arial" w:cs="Arial" w:eastAsia="Arial" w:hAnsi="Arial"/>
          <w:b/>
          <w:bCs/>
          <w:color w:val="1A5C96"/>
          <w:sz w:val="24"/>
          <w:szCs w:val="24"/>
        </w:rPr>
        <w:t xml:space="preserve">The Three-Screen Triage Journey</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80"/>
        <w:gridCol w:w="2900"/>
        <w:gridCol w:w="280"/>
        <w:gridCol w:w="2900"/>
      </w:tblGrid>
      <w:tr>
        <w:tc>
          <w:tcPr>
            <w:tcW w:type="dxa" w:w="2900"/>
            <w:tcBorders>
              <w:top w:val="single" w:color="C0CDD8" w:sz="1"/>
              <w:left w:val="single" w:color="C0CDD8" w:sz="1"/>
              <w:bottom w:val="single" w:color="C0CDD8" w:sz="1"/>
              <w:right w:val="single" w:color="C0CDD8" w:sz="1"/>
            </w:tcBorders>
            <w:shd w:fill="0D1F33" w:val="clear"/>
            <w:tcMar>
              <w:top w:type="dxa" w:w="120"/>
              <w:left w:type="dxa" w:w="130"/>
              <w:bottom w:type="dxa" w:w="120"/>
              <w:right w:type="dxa" w:w="130"/>
            </w:tcMar>
          </w:tcPr>
          <w:p>
            <w:r>
              <w:rPr>
                <w:rFonts w:ascii="Arial" w:cs="Arial" w:eastAsia="Arial" w:hAnsi="Arial"/>
                <w:b/>
                <w:bCs/>
                <w:color w:val="A8C8E8"/>
                <w:sz w:val="16"/>
                <w:szCs w:val="16"/>
              </w:rPr>
              <w:t xml:space="preserve">SCREEN 1</w:t>
            </w:r>
          </w:p>
          <w:p>
            <w:pPr>
              <w:spacing w:before="40"/>
            </w:pPr>
            <w:r>
              <w:rPr>
                <w:rFonts w:ascii="Arial" w:cs="Arial" w:eastAsia="Arial" w:hAnsi="Arial"/>
                <w:b/>
                <w:bCs/>
                <w:color w:val="FFFFFF"/>
                <w:sz w:val="23"/>
                <w:szCs w:val="23"/>
              </w:rPr>
              <w:t xml:space="preserve">Alert Intake</w:t>
            </w:r>
          </w:p>
          <w:p>
            <w:pPr>
              <w:spacing w:before="60"/>
            </w:pPr>
            <w:r>
              <w:rPr>
                <w:rFonts w:ascii="Arial" w:cs="Arial" w:eastAsia="Arial" w:hAnsi="Arial"/>
                <w:color w:val="B8D8F0"/>
                <w:sz w:val="18"/>
                <w:szCs w:val="18"/>
              </w:rPr>
              <w:t xml:space="preserve">Ranked queue · AI confidence · Smart filters · Inline AI summary</w:t>
            </w:r>
          </w:p>
        </w:tc>
        <w:tc>
          <w:tcPr>
            <w:tcW w:type="dxa" w:w="280"/>
            <w:tcBorders>
              <w:top w:val="none" w:color="FFFFFF" w:sz="0"/>
              <w:left w:val="none" w:color="FFFFFF" w:sz="0"/>
              <w:bottom w:val="none" w:color="FFFFFF" w:sz="0"/>
              <w:right w:val="none" w:color="FFFFFF" w:sz="0"/>
            </w:tcBorders>
            <w:shd w:fill="F4F6F9" w:val="clear"/>
            <w:tcMar>
              <w:top w:type="dxa" w:w="180"/>
              <w:left w:type="dxa" w:w="30"/>
              <w:bottom w:type="dxa" w:w="0"/>
              <w:right w:type="dxa" w:w="30"/>
            </w:tcMar>
          </w:tcPr>
          <w:p>
            <w:pPr>
              <w:jc w:val="center"/>
            </w:pPr>
            <w:r>
              <w:rPr>
                <w:rFonts w:ascii="Arial" w:cs="Arial" w:eastAsia="Arial" w:hAnsi="Arial"/>
                <w:b/>
                <w:bCs/>
                <w:color w:val="2E75B6"/>
                <w:sz w:val="30"/>
                <w:szCs w:val="30"/>
              </w:rPr>
              <w:t xml:space="preserve">→</w:t>
            </w:r>
          </w:p>
        </w:tc>
        <w:tc>
          <w:tcPr>
            <w:tcW w:type="dxa" w:w="2900"/>
            <w:tcBorders>
              <w:top w:val="single" w:color="C0CDD8" w:sz="1"/>
              <w:left w:val="single" w:color="C0CDD8" w:sz="1"/>
              <w:bottom w:val="single" w:color="C0CDD8" w:sz="1"/>
              <w:right w:val="single" w:color="C0CDD8" w:sz="1"/>
            </w:tcBorders>
            <w:shd w:fill="1A5C96" w:val="clear"/>
            <w:tcMar>
              <w:top w:type="dxa" w:w="120"/>
              <w:left w:type="dxa" w:w="130"/>
              <w:bottom w:type="dxa" w:w="120"/>
              <w:right w:type="dxa" w:w="130"/>
            </w:tcMar>
          </w:tcPr>
          <w:p>
            <w:r>
              <w:rPr>
                <w:rFonts w:ascii="Arial" w:cs="Arial" w:eastAsia="Arial" w:hAnsi="Arial"/>
                <w:b/>
                <w:bCs/>
                <w:color w:val="A8C8E8"/>
                <w:sz w:val="16"/>
                <w:szCs w:val="16"/>
              </w:rPr>
              <w:t xml:space="preserve">SCREEN 2</w:t>
            </w:r>
          </w:p>
          <w:p>
            <w:pPr>
              <w:spacing w:before="40"/>
            </w:pPr>
            <w:r>
              <w:rPr>
                <w:rFonts w:ascii="Arial" w:cs="Arial" w:eastAsia="Arial" w:hAnsi="Arial"/>
                <w:b/>
                <w:bCs/>
                <w:color w:val="FFFFFF"/>
                <w:sz w:val="23"/>
                <w:szCs w:val="23"/>
              </w:rPr>
              <w:t xml:space="preserve">Investigation</w:t>
            </w:r>
          </w:p>
          <w:p>
            <w:pPr>
              <w:spacing w:before="60"/>
            </w:pPr>
            <w:r>
              <w:rPr>
                <w:rFonts w:ascii="Arial" w:cs="Arial" w:eastAsia="Arial" w:hAnsi="Arial"/>
                <w:color w:val="B8D8F0"/>
                <w:sz w:val="18"/>
                <w:szCs w:val="18"/>
              </w:rPr>
              <w:t xml:space="preserve">Context card · Identity profile · IP reputation · Event timeline · Similar alerts</w:t>
            </w:r>
          </w:p>
        </w:tc>
        <w:tc>
          <w:tcPr>
            <w:tcW w:type="dxa" w:w="280"/>
            <w:tcBorders>
              <w:top w:val="none" w:color="FFFFFF" w:sz="0"/>
              <w:left w:val="none" w:color="FFFFFF" w:sz="0"/>
              <w:bottom w:val="none" w:color="FFFFFF" w:sz="0"/>
              <w:right w:val="none" w:color="FFFFFF" w:sz="0"/>
            </w:tcBorders>
            <w:shd w:fill="F4F6F9" w:val="clear"/>
            <w:tcMar>
              <w:top w:type="dxa" w:w="180"/>
              <w:left w:type="dxa" w:w="30"/>
              <w:bottom w:type="dxa" w:w="0"/>
              <w:right w:type="dxa" w:w="30"/>
            </w:tcMar>
          </w:tcPr>
          <w:p>
            <w:pPr>
              <w:jc w:val="center"/>
            </w:pPr>
            <w:r>
              <w:rPr>
                <w:rFonts w:ascii="Arial" w:cs="Arial" w:eastAsia="Arial" w:hAnsi="Arial"/>
                <w:b/>
                <w:bCs/>
                <w:color w:val="2E75B6"/>
                <w:sz w:val="30"/>
                <w:szCs w:val="30"/>
              </w:rPr>
              <w:t xml:space="preserve">→</w:t>
            </w:r>
          </w:p>
        </w:tc>
        <w:tc>
          <w:tcPr>
            <w:tcW w:type="dxa" w:w="2900"/>
            <w:tcBorders>
              <w:top w:val="single" w:color="C0CDD8" w:sz="1"/>
              <w:left w:val="single" w:color="C0CDD8" w:sz="1"/>
              <w:bottom w:val="single" w:color="C0CDD8" w:sz="1"/>
              <w:right w:val="single" w:color="C0CDD8" w:sz="1"/>
            </w:tcBorders>
            <w:shd w:fill="1E5A8C" w:val="clear"/>
            <w:tcMar>
              <w:top w:type="dxa" w:w="120"/>
              <w:left w:type="dxa" w:w="130"/>
              <w:bottom w:type="dxa" w:w="120"/>
              <w:right w:type="dxa" w:w="130"/>
            </w:tcMar>
          </w:tcPr>
          <w:p>
            <w:r>
              <w:rPr>
                <w:rFonts w:ascii="Arial" w:cs="Arial" w:eastAsia="Arial" w:hAnsi="Arial"/>
                <w:b/>
                <w:bCs/>
                <w:color w:val="A8C8E8"/>
                <w:sz w:val="16"/>
                <w:szCs w:val="16"/>
              </w:rPr>
              <w:t xml:space="preserve">SCREEN 3</w:t>
            </w:r>
          </w:p>
          <w:p>
            <w:pPr>
              <w:spacing w:before="40"/>
            </w:pPr>
            <w:r>
              <w:rPr>
                <w:rFonts w:ascii="Arial" w:cs="Arial" w:eastAsia="Arial" w:hAnsi="Arial"/>
                <w:b/>
                <w:bCs/>
                <w:color w:val="FFFFFF"/>
                <w:sz w:val="23"/>
                <w:szCs w:val="23"/>
              </w:rPr>
              <w:t xml:space="preserve">Resolution</w:t>
            </w:r>
          </w:p>
          <w:p>
            <w:pPr>
              <w:spacing w:before="60"/>
            </w:pPr>
            <w:r>
              <w:rPr>
                <w:rFonts w:ascii="Arial" w:cs="Arial" w:eastAsia="Arial" w:hAnsi="Arial"/>
                <w:color w:val="B8D8F0"/>
                <w:sz w:val="18"/>
                <w:szCs w:val="18"/>
              </w:rPr>
              <w:t xml:space="preserve">AI-drafted summary · Priority confirm · Route · Submit or Monitor</w:t>
            </w:r>
          </w:p>
        </w:tc>
      </w:tr>
    </w:tbl>
    <w:p>
      <w:pPr>
        <w:spacing w:before="80" w:after="0"/>
      </w:pPr>
      <w:r>
        <w:t xml:space="preserve"/>
      </w:r>
    </w:p>
    <w:p>
      <w:pPr>
        <w:spacing w:before="50" w:after="50"/>
      </w:pPr>
      <w:r>
        <w:rPr>
          <w:rFonts w:ascii="Arial" w:cs="Arial" w:eastAsia="Arial" w:hAnsi="Arial"/>
          <w:color w:val="444444"/>
          <w:sz w:val="21"/>
          <w:szCs w:val="21"/>
        </w:rPr>
        <w:t xml:space="preserve">Each screen is scoped to exactly one job. Screen 1 answers 'what deserves my attention right now?' Screen 2 answers 'is this alert real and how serious?' Screen 3 answers 'how do I close this correctly and quickly?' No screen asks the analyst to do two jobs at once.</w:t>
      </w:r>
    </w:p>
    <w:p>
      <w:pPr>
        <w:spacing w:before="100" w:after="0"/>
      </w:pPr>
      <w:r>
        <w:t xml:space="preserve"/>
      </w:r>
    </w:p>
    <w:p>
      <w:pPr>
        <w:spacing w:before="200" w:after="60"/>
      </w:pPr>
      <w:r>
        <w:rPr>
          <w:rFonts w:ascii="Arial" w:cs="Arial" w:eastAsia="Arial" w:hAnsi="Arial"/>
          <w:b/>
          <w:bCs/>
          <w:color w:val="1A5C96"/>
          <w:sz w:val="24"/>
          <w:szCs w:val="24"/>
        </w:rPr>
        <w:t xml:space="preserve">Feature Proposals &amp; Prioritization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600"/>
        <w:gridCol w:w="2560"/>
      </w:tblGrid>
      <w:tr>
        <w:tc>
          <w:tcPr>
            <w:tcW w:type="dxa" w:w="1400"/>
            <w:tcBorders>
              <w:top w:val="single" w:color="C8D8E8" w:sz="1"/>
              <w:left w:val="single" w:color="C8D8E8" w:sz="1"/>
              <w:bottom w:val="single" w:color="C8D8E8" w:sz="1"/>
              <w:right w:val="single" w:color="C8D8E8" w:sz="1"/>
            </w:tcBorders>
            <w:shd w:fill="0D1F33" w:val="clear"/>
            <w:tcMar>
              <w:top w:type="dxa" w:w="90"/>
              <w:left w:type="dxa" w:w="130"/>
              <w:bottom w:type="dxa" w:w="90"/>
              <w:right w:type="dxa" w:w="130"/>
            </w:tcMar>
          </w:tcPr>
          <w:p>
            <w:r>
              <w:rPr>
                <w:rFonts w:ascii="Arial" w:cs="Arial" w:eastAsia="Arial" w:hAnsi="Arial"/>
                <w:b/>
                <w:bCs/>
                <w:color w:val="FFFFFF"/>
                <w:sz w:val="19"/>
                <w:szCs w:val="19"/>
              </w:rPr>
              <w:t xml:space="preserve">Phase</w:t>
            </w:r>
          </w:p>
        </w:tc>
        <w:tc>
          <w:tcPr>
            <w:tcW w:type="dxa" w:w="2800"/>
            <w:tcBorders>
              <w:top w:val="single" w:color="C8D8E8" w:sz="1"/>
              <w:left w:val="single" w:color="C8D8E8" w:sz="1"/>
              <w:bottom w:val="single" w:color="C8D8E8" w:sz="1"/>
              <w:right w:val="single" w:color="C8D8E8" w:sz="1"/>
            </w:tcBorders>
            <w:shd w:fill="0D1F33" w:val="clear"/>
            <w:tcMar>
              <w:top w:type="dxa" w:w="90"/>
              <w:left w:type="dxa" w:w="130"/>
              <w:bottom w:type="dxa" w:w="90"/>
              <w:right w:type="dxa" w:w="130"/>
            </w:tcMar>
          </w:tcPr>
          <w:p>
            <w:r>
              <w:rPr>
                <w:rFonts w:ascii="Arial" w:cs="Arial" w:eastAsia="Arial" w:hAnsi="Arial"/>
                <w:b/>
                <w:bCs/>
                <w:color w:val="FFFFFF"/>
                <w:sz w:val="19"/>
                <w:szCs w:val="19"/>
              </w:rPr>
              <w:t xml:space="preserve">Feature</w:t>
            </w:r>
          </w:p>
        </w:tc>
        <w:tc>
          <w:tcPr>
            <w:tcW w:type="dxa" w:w="2600"/>
            <w:tcBorders>
              <w:top w:val="single" w:color="C8D8E8" w:sz="1"/>
              <w:left w:val="single" w:color="C8D8E8" w:sz="1"/>
              <w:bottom w:val="single" w:color="C8D8E8" w:sz="1"/>
              <w:right w:val="single" w:color="C8D8E8" w:sz="1"/>
            </w:tcBorders>
            <w:shd w:fill="0D1F33" w:val="clear"/>
            <w:tcMar>
              <w:top w:type="dxa" w:w="90"/>
              <w:left w:type="dxa" w:w="130"/>
              <w:bottom w:type="dxa" w:w="90"/>
              <w:right w:type="dxa" w:w="130"/>
            </w:tcMar>
          </w:tcPr>
          <w:p>
            <w:r>
              <w:rPr>
                <w:rFonts w:ascii="Arial" w:cs="Arial" w:eastAsia="Arial" w:hAnsi="Arial"/>
                <w:b/>
                <w:bCs/>
                <w:color w:val="FFFFFF"/>
                <w:sz w:val="19"/>
                <w:szCs w:val="19"/>
              </w:rPr>
              <w:t xml:space="preserve">Why It Exists</w:t>
            </w:r>
          </w:p>
        </w:tc>
        <w:tc>
          <w:tcPr>
            <w:tcW w:type="dxa" w:w="2560"/>
            <w:tcBorders>
              <w:top w:val="single" w:color="C8D8E8" w:sz="1"/>
              <w:left w:val="single" w:color="C8D8E8" w:sz="1"/>
              <w:bottom w:val="single" w:color="C8D8E8" w:sz="1"/>
              <w:right w:val="single" w:color="C8D8E8" w:sz="1"/>
            </w:tcBorders>
            <w:shd w:fill="0D1F33" w:val="clear"/>
            <w:tcMar>
              <w:top w:type="dxa" w:w="90"/>
              <w:left w:type="dxa" w:w="130"/>
              <w:bottom w:type="dxa" w:w="90"/>
              <w:right w:type="dxa" w:w="130"/>
            </w:tcMar>
          </w:tcPr>
          <w:p>
            <w:r>
              <w:rPr>
                <w:rFonts w:ascii="Arial" w:cs="Arial" w:eastAsia="Arial" w:hAnsi="Arial"/>
                <w:b/>
                <w:bCs/>
                <w:color w:val="FFFFFF"/>
                <w:sz w:val="19"/>
                <w:szCs w:val="19"/>
              </w:rPr>
              <w:t xml:space="preserve">Where in UI</w:t>
            </w:r>
          </w:p>
        </w:tc>
      </w:tr>
      <w:tr>
        <w:tc>
          <w:tcPr>
            <w:tcW w:type="dxa" w:w="1400"/>
            <w:tcBorders>
              <w:top w:val="single" w:color="C8D8E8" w:sz="1"/>
              <w:left w:val="single" w:color="C8D8E8" w:sz="1"/>
              <w:bottom w:val="single" w:color="C8D8E8" w:sz="1"/>
              <w:right w:val="single" w:color="C8D8E8" w:sz="1"/>
            </w:tcBorders>
            <w:shd w:fill="E8F4FD" w:val="clear"/>
            <w:tcMar>
              <w:top w:type="dxa" w:w="90"/>
              <w:left w:type="dxa" w:w="130"/>
              <w:bottom w:type="dxa" w:w="90"/>
              <w:right w:type="dxa" w:w="130"/>
            </w:tcMar>
          </w:tcPr>
          <w:p>
            <w:r>
              <w:rPr>
                <w:rFonts w:ascii="Arial" w:cs="Arial" w:eastAsia="Arial" w:hAnsi="Arial"/>
                <w:b/>
                <w:bCs/>
                <w:color w:val="1A5C96"/>
                <w:sz w:val="19"/>
                <w:szCs w:val="19"/>
              </w:rPr>
              <w:t xml:space="preserve">Now</w:t>
            </w:r>
          </w:p>
        </w:tc>
        <w:tc>
          <w:tcPr>
            <w:tcW w:type="dxa" w:w="2800"/>
            <w:tcBorders>
              <w:top w:val="single" w:color="C8D8E8" w:sz="1"/>
              <w:left w:val="single" w:color="C8D8E8" w:sz="1"/>
              <w:bottom w:val="single" w:color="C8D8E8" w:sz="1"/>
              <w:right w:val="single" w:color="C8D8E8" w:sz="1"/>
            </w:tcBorders>
            <w:shd w:fill="E8F4FD" w:val="clear"/>
            <w:tcMar>
              <w:top w:type="dxa" w:w="90"/>
              <w:left w:type="dxa" w:w="130"/>
              <w:bottom w:type="dxa" w:w="90"/>
              <w:right w:type="dxa" w:w="130"/>
            </w:tcMar>
          </w:tcPr>
          <w:p>
            <w:r>
              <w:rPr>
                <w:rFonts w:ascii="Arial" w:cs="Arial" w:eastAsia="Arial" w:hAnsi="Arial"/>
                <w:b w:val="false"/>
                <w:bCs w:val="false"/>
                <w:color w:val="444444"/>
                <w:sz w:val="19"/>
                <w:szCs w:val="19"/>
              </w:rPr>
              <w:t xml:space="preserve">Risk-Ranked Alert Queue with AI Confidence</w:t>
            </w:r>
          </w:p>
        </w:tc>
        <w:tc>
          <w:tcPr>
            <w:tcW w:type="dxa" w:w="2600"/>
            <w:tcBorders>
              <w:top w:val="single" w:color="C8D8E8" w:sz="1"/>
              <w:left w:val="single" w:color="C8D8E8" w:sz="1"/>
              <w:bottom w:val="single" w:color="C8D8E8" w:sz="1"/>
              <w:right w:val="single" w:color="C8D8E8" w:sz="1"/>
            </w:tcBorders>
            <w:shd w:fill="E8F4FD" w:val="clear"/>
            <w:tcMar>
              <w:top w:type="dxa" w:w="90"/>
              <w:left w:type="dxa" w:w="130"/>
              <w:bottom w:type="dxa" w:w="90"/>
              <w:right w:type="dxa" w:w="130"/>
            </w:tcMar>
          </w:tcPr>
          <w:p>
            <w:r>
              <w:rPr>
                <w:rFonts w:ascii="Arial" w:cs="Arial" w:eastAsia="Arial" w:hAnsi="Arial"/>
                <w:b w:val="false"/>
                <w:bCs w:val="false"/>
                <w:color w:val="444444"/>
                <w:sz w:val="19"/>
                <w:szCs w:val="19"/>
              </w:rPr>
              <w:t xml:space="preserve">Analysts waste the first 30s deciding what to look at. Sorting by risk score + AI confidence badge removes that decision entirely.</w:t>
            </w:r>
          </w:p>
        </w:tc>
        <w:tc>
          <w:tcPr>
            <w:tcW w:type="dxa" w:w="2560"/>
            <w:tcBorders>
              <w:top w:val="single" w:color="C8D8E8" w:sz="1"/>
              <w:left w:val="single" w:color="C8D8E8" w:sz="1"/>
              <w:bottom w:val="single" w:color="C8D8E8" w:sz="1"/>
              <w:right w:val="single" w:color="C8D8E8" w:sz="1"/>
            </w:tcBorders>
            <w:shd w:fill="E8F4FD" w:val="clear"/>
            <w:tcMar>
              <w:top w:type="dxa" w:w="90"/>
              <w:left w:type="dxa" w:w="130"/>
              <w:bottom w:type="dxa" w:w="90"/>
              <w:right w:type="dxa" w:w="130"/>
            </w:tcMar>
          </w:tcPr>
          <w:p>
            <w:r>
              <w:rPr>
                <w:rFonts w:ascii="Arial" w:cs="Arial" w:eastAsia="Arial" w:hAnsi="Arial"/>
                <w:b/>
                <w:bCs/>
                <w:color w:val="2E75B6"/>
                <w:sz w:val="19"/>
                <w:szCs w:val="19"/>
              </w:rPr>
              <w:t xml:space="preserve">Screen 1</w:t>
            </w:r>
          </w:p>
        </w:tc>
      </w:tr>
      <w:tr>
        <w:tc>
          <w:tcPr>
            <w:tcW w:type="dxa" w:w="1400"/>
            <w:tcBorders>
              <w:top w:val="single" w:color="C8D8E8" w:sz="1"/>
              <w:left w:val="single" w:color="C8D8E8" w:sz="1"/>
              <w:bottom w:val="single" w:color="C8D8E8" w:sz="1"/>
              <w:right w:val="single" w:color="C8D8E8" w:sz="1"/>
            </w:tcBorders>
            <w:shd w:fill="E8F4FD" w:val="clear"/>
            <w:tcMar>
              <w:top w:type="dxa" w:w="90"/>
              <w:left w:type="dxa" w:w="130"/>
              <w:bottom w:type="dxa" w:w="90"/>
              <w:right w:type="dxa" w:w="130"/>
            </w:tcMar>
          </w:tcPr>
          <w:p>
            <w:r>
              <w:rPr>
                <w:rFonts w:ascii="Arial" w:cs="Arial" w:eastAsia="Arial" w:hAnsi="Arial"/>
                <w:b/>
                <w:bCs/>
                <w:color w:val="1A5C96"/>
                <w:sz w:val="19"/>
                <w:szCs w:val="19"/>
              </w:rPr>
              <w:t xml:space="preserve">Now</w:t>
            </w:r>
          </w:p>
        </w:tc>
        <w:tc>
          <w:tcPr>
            <w:tcW w:type="dxa" w:w="2800"/>
            <w:tcBorders>
              <w:top w:val="single" w:color="C8D8E8" w:sz="1"/>
              <w:left w:val="single" w:color="C8D8E8" w:sz="1"/>
              <w:bottom w:val="single" w:color="C8D8E8" w:sz="1"/>
              <w:right w:val="single" w:color="C8D8E8" w:sz="1"/>
            </w:tcBorders>
            <w:shd w:fill="E8F4FD" w:val="clear"/>
            <w:tcMar>
              <w:top w:type="dxa" w:w="90"/>
              <w:left w:type="dxa" w:w="130"/>
              <w:bottom w:type="dxa" w:w="90"/>
              <w:right w:type="dxa" w:w="130"/>
            </w:tcMar>
          </w:tcPr>
          <w:p>
            <w:r>
              <w:rPr>
                <w:rFonts w:ascii="Arial" w:cs="Arial" w:eastAsia="Arial" w:hAnsi="Arial"/>
                <w:b w:val="false"/>
                <w:bCs w:val="false"/>
                <w:color w:val="444444"/>
                <w:sz w:val="19"/>
                <w:szCs w:val="19"/>
              </w:rPr>
              <w:t xml:space="preserve">Smart Filter Bar (Env · Criticality · Identity · AI Confidence)</w:t>
            </w:r>
          </w:p>
        </w:tc>
        <w:tc>
          <w:tcPr>
            <w:tcW w:type="dxa" w:w="2600"/>
            <w:tcBorders>
              <w:top w:val="single" w:color="C8D8E8" w:sz="1"/>
              <w:left w:val="single" w:color="C8D8E8" w:sz="1"/>
              <w:bottom w:val="single" w:color="C8D8E8" w:sz="1"/>
              <w:right w:val="single" w:color="C8D8E8" w:sz="1"/>
            </w:tcBorders>
            <w:shd w:fill="E8F4FD" w:val="clear"/>
            <w:tcMar>
              <w:top w:type="dxa" w:w="90"/>
              <w:left w:type="dxa" w:w="130"/>
              <w:bottom w:type="dxa" w:w="90"/>
              <w:right w:type="dxa" w:w="130"/>
            </w:tcMar>
          </w:tcPr>
          <w:p>
            <w:r>
              <w:rPr>
                <w:rFonts w:ascii="Arial" w:cs="Arial" w:eastAsia="Arial" w:hAnsi="Arial"/>
                <w:b w:val="false"/>
                <w:bCs w:val="false"/>
                <w:color w:val="444444"/>
                <w:sz w:val="19"/>
                <w:szCs w:val="19"/>
              </w:rPr>
              <w:t xml:space="preserve">On-call engineers operate in specific scopes. Filtering by Prod/Dev and identity type narrows the queue to what is actually actionable right now.</w:t>
            </w:r>
          </w:p>
        </w:tc>
        <w:tc>
          <w:tcPr>
            <w:tcW w:type="dxa" w:w="2560"/>
            <w:tcBorders>
              <w:top w:val="single" w:color="C8D8E8" w:sz="1"/>
              <w:left w:val="single" w:color="C8D8E8" w:sz="1"/>
              <w:bottom w:val="single" w:color="C8D8E8" w:sz="1"/>
              <w:right w:val="single" w:color="C8D8E8" w:sz="1"/>
            </w:tcBorders>
            <w:shd w:fill="E8F4FD" w:val="clear"/>
            <w:tcMar>
              <w:top w:type="dxa" w:w="90"/>
              <w:left w:type="dxa" w:w="130"/>
              <w:bottom w:type="dxa" w:w="90"/>
              <w:right w:type="dxa" w:w="130"/>
            </w:tcMar>
          </w:tcPr>
          <w:p>
            <w:r>
              <w:rPr>
                <w:rFonts w:ascii="Arial" w:cs="Arial" w:eastAsia="Arial" w:hAnsi="Arial"/>
                <w:b/>
                <w:bCs/>
                <w:color w:val="2E75B6"/>
                <w:sz w:val="19"/>
                <w:szCs w:val="19"/>
              </w:rPr>
              <w:t xml:space="preserve">Screen 1</w:t>
            </w:r>
          </w:p>
        </w:tc>
      </w:tr>
      <w:tr>
        <w:tc>
          <w:tcPr>
            <w:tcW w:type="dxa" w:w="1400"/>
            <w:tcBorders>
              <w:top w:val="single" w:color="C8D8E8" w:sz="1"/>
              <w:left w:val="single" w:color="C8D8E8" w:sz="1"/>
              <w:bottom w:val="single" w:color="C8D8E8" w:sz="1"/>
              <w:right w:val="single" w:color="C8D8E8" w:sz="1"/>
            </w:tcBorders>
            <w:shd w:fill="E8F4FD" w:val="clear"/>
            <w:tcMar>
              <w:top w:type="dxa" w:w="90"/>
              <w:left w:type="dxa" w:w="130"/>
              <w:bottom w:type="dxa" w:w="90"/>
              <w:right w:type="dxa" w:w="130"/>
            </w:tcMar>
          </w:tcPr>
          <w:p>
            <w:r>
              <w:rPr>
                <w:rFonts w:ascii="Arial" w:cs="Arial" w:eastAsia="Arial" w:hAnsi="Arial"/>
                <w:b/>
                <w:bCs/>
                <w:color w:val="1A5C96"/>
                <w:sz w:val="19"/>
                <w:szCs w:val="19"/>
              </w:rPr>
              <w:t xml:space="preserve">Now</w:t>
            </w:r>
          </w:p>
        </w:tc>
        <w:tc>
          <w:tcPr>
            <w:tcW w:type="dxa" w:w="2800"/>
            <w:tcBorders>
              <w:top w:val="single" w:color="C8D8E8" w:sz="1"/>
              <w:left w:val="single" w:color="C8D8E8" w:sz="1"/>
              <w:bottom w:val="single" w:color="C8D8E8" w:sz="1"/>
              <w:right w:val="single" w:color="C8D8E8" w:sz="1"/>
            </w:tcBorders>
            <w:shd w:fill="E8F4FD" w:val="clear"/>
            <w:tcMar>
              <w:top w:type="dxa" w:w="90"/>
              <w:left w:type="dxa" w:w="130"/>
              <w:bottom w:type="dxa" w:w="90"/>
              <w:right w:type="dxa" w:w="130"/>
            </w:tcMar>
          </w:tcPr>
          <w:p>
            <w:r>
              <w:rPr>
                <w:rFonts w:ascii="Arial" w:cs="Arial" w:eastAsia="Arial" w:hAnsi="Arial"/>
                <w:b w:val="false"/>
                <w:bCs w:val="false"/>
                <w:color w:val="444444"/>
                <w:sz w:val="19"/>
                <w:szCs w:val="19"/>
              </w:rPr>
              <w:t xml:space="preserve">Inline AI Summary on Queue Card</w:t>
            </w:r>
          </w:p>
        </w:tc>
        <w:tc>
          <w:tcPr>
            <w:tcW w:type="dxa" w:w="2600"/>
            <w:tcBorders>
              <w:top w:val="single" w:color="C8D8E8" w:sz="1"/>
              <w:left w:val="single" w:color="C8D8E8" w:sz="1"/>
              <w:bottom w:val="single" w:color="C8D8E8" w:sz="1"/>
              <w:right w:val="single" w:color="C8D8E8" w:sz="1"/>
            </w:tcBorders>
            <w:shd w:fill="E8F4FD" w:val="clear"/>
            <w:tcMar>
              <w:top w:type="dxa" w:w="90"/>
              <w:left w:type="dxa" w:w="130"/>
              <w:bottom w:type="dxa" w:w="90"/>
              <w:right w:type="dxa" w:w="130"/>
            </w:tcMar>
          </w:tcPr>
          <w:p>
            <w:r>
              <w:rPr>
                <w:rFonts w:ascii="Arial" w:cs="Arial" w:eastAsia="Arial" w:hAnsi="Arial"/>
                <w:b w:val="false"/>
                <w:bCs w:val="false"/>
                <w:color w:val="444444"/>
                <w:sz w:val="19"/>
                <w:szCs w:val="19"/>
              </w:rPr>
              <w:t xml:space="preserve">One sentence — 'Unusual login from new geo. No MFA. Sensitive S3 bucket involved.' — lets the analyst pre-triage without drilling in. Cuts context-switch cost.</w:t>
            </w:r>
          </w:p>
        </w:tc>
        <w:tc>
          <w:tcPr>
            <w:tcW w:type="dxa" w:w="2560"/>
            <w:tcBorders>
              <w:top w:val="single" w:color="C8D8E8" w:sz="1"/>
              <w:left w:val="single" w:color="C8D8E8" w:sz="1"/>
              <w:bottom w:val="single" w:color="C8D8E8" w:sz="1"/>
              <w:right w:val="single" w:color="C8D8E8" w:sz="1"/>
            </w:tcBorders>
            <w:shd w:fill="E8F4FD" w:val="clear"/>
            <w:tcMar>
              <w:top w:type="dxa" w:w="90"/>
              <w:left w:type="dxa" w:w="130"/>
              <w:bottom w:type="dxa" w:w="90"/>
              <w:right w:type="dxa" w:w="130"/>
            </w:tcMar>
          </w:tcPr>
          <w:p>
            <w:r>
              <w:rPr>
                <w:rFonts w:ascii="Arial" w:cs="Arial" w:eastAsia="Arial" w:hAnsi="Arial"/>
                <w:b/>
                <w:bCs/>
                <w:color w:val="2E75B6"/>
                <w:sz w:val="19"/>
                <w:szCs w:val="19"/>
              </w:rPr>
              <w:t xml:space="preserve">Screen 1</w:t>
            </w:r>
          </w:p>
        </w:tc>
      </w:tr>
      <w:tr>
        <w:tc>
          <w:tcPr>
            <w:tcW w:type="dxa" w:w="1400"/>
            <w:tcBorders>
              <w:top w:val="single" w:color="C8D8E8" w:sz="1"/>
              <w:left w:val="single" w:color="C8D8E8" w:sz="1"/>
              <w:bottom w:val="single" w:color="C8D8E8" w:sz="1"/>
              <w:right w:val="single" w:color="C8D8E8" w:sz="1"/>
            </w:tcBorders>
            <w:shd w:fill="E8F4FD" w:val="clear"/>
            <w:tcMar>
              <w:top w:type="dxa" w:w="90"/>
              <w:left w:type="dxa" w:w="130"/>
              <w:bottom w:type="dxa" w:w="90"/>
              <w:right w:type="dxa" w:w="130"/>
            </w:tcMar>
          </w:tcPr>
          <w:p>
            <w:r>
              <w:rPr>
                <w:rFonts w:ascii="Arial" w:cs="Arial" w:eastAsia="Arial" w:hAnsi="Arial"/>
                <w:b/>
                <w:bCs/>
                <w:color w:val="1A5C96"/>
                <w:sz w:val="19"/>
                <w:szCs w:val="19"/>
              </w:rPr>
              <w:t xml:space="preserve">Now</w:t>
            </w:r>
          </w:p>
        </w:tc>
        <w:tc>
          <w:tcPr>
            <w:tcW w:type="dxa" w:w="2800"/>
            <w:tcBorders>
              <w:top w:val="single" w:color="C8D8E8" w:sz="1"/>
              <w:left w:val="single" w:color="C8D8E8" w:sz="1"/>
              <w:bottom w:val="single" w:color="C8D8E8" w:sz="1"/>
              <w:right w:val="single" w:color="C8D8E8" w:sz="1"/>
            </w:tcBorders>
            <w:shd w:fill="E8F4FD" w:val="clear"/>
            <w:tcMar>
              <w:top w:type="dxa" w:w="90"/>
              <w:left w:type="dxa" w:w="130"/>
              <w:bottom w:type="dxa" w:w="90"/>
              <w:right w:type="dxa" w:w="130"/>
            </w:tcMar>
          </w:tcPr>
          <w:p>
            <w:r>
              <w:rPr>
                <w:rFonts w:ascii="Arial" w:cs="Arial" w:eastAsia="Arial" w:hAnsi="Arial"/>
                <w:b w:val="false"/>
                <w:bCs w:val="false"/>
                <w:color w:val="444444"/>
                <w:sz w:val="19"/>
                <w:szCs w:val="19"/>
              </w:rPr>
              <w:t xml:space="preserve">Contextual Investigation View (Resource + Identity + Timeline)</w:t>
            </w:r>
          </w:p>
        </w:tc>
        <w:tc>
          <w:tcPr>
            <w:tcW w:type="dxa" w:w="2600"/>
            <w:tcBorders>
              <w:top w:val="single" w:color="C8D8E8" w:sz="1"/>
              <w:left w:val="single" w:color="C8D8E8" w:sz="1"/>
              <w:bottom w:val="single" w:color="C8D8E8" w:sz="1"/>
              <w:right w:val="single" w:color="C8D8E8" w:sz="1"/>
            </w:tcBorders>
            <w:shd w:fill="E8F4FD" w:val="clear"/>
            <w:tcMar>
              <w:top w:type="dxa" w:w="90"/>
              <w:left w:type="dxa" w:w="130"/>
              <w:bottom w:type="dxa" w:w="90"/>
              <w:right w:type="dxa" w:w="130"/>
            </w:tcMar>
          </w:tcPr>
          <w:p>
            <w:r>
              <w:rPr>
                <w:rFonts w:ascii="Arial" w:cs="Arial" w:eastAsia="Arial" w:hAnsi="Arial"/>
                <w:b w:val="false"/>
                <w:bCs w:val="false"/>
                <w:color w:val="444444"/>
                <w:sz w:val="19"/>
                <w:szCs w:val="19"/>
              </w:rPr>
              <w:t xml:space="preserve">All context an analyst needs is pre-assembled: affected resource, identity profile with anomaly score, privilege escalation path, and event timeline. No tab-switching.</w:t>
            </w:r>
          </w:p>
        </w:tc>
        <w:tc>
          <w:tcPr>
            <w:tcW w:type="dxa" w:w="2560"/>
            <w:tcBorders>
              <w:top w:val="single" w:color="C8D8E8" w:sz="1"/>
              <w:left w:val="single" w:color="C8D8E8" w:sz="1"/>
              <w:bottom w:val="single" w:color="C8D8E8" w:sz="1"/>
              <w:right w:val="single" w:color="C8D8E8" w:sz="1"/>
            </w:tcBorders>
            <w:shd w:fill="E8F4FD" w:val="clear"/>
            <w:tcMar>
              <w:top w:type="dxa" w:w="90"/>
              <w:left w:type="dxa" w:w="130"/>
              <w:bottom w:type="dxa" w:w="90"/>
              <w:right w:type="dxa" w:w="130"/>
            </w:tcMar>
          </w:tcPr>
          <w:p>
            <w:r>
              <w:rPr>
                <w:rFonts w:ascii="Arial" w:cs="Arial" w:eastAsia="Arial" w:hAnsi="Arial"/>
                <w:b/>
                <w:bCs/>
                <w:color w:val="2E75B6"/>
                <w:sz w:val="19"/>
                <w:szCs w:val="19"/>
              </w:rPr>
              <w:t xml:space="preserve">Screen 2</w:t>
            </w:r>
          </w:p>
        </w:tc>
      </w:tr>
      <w:tr>
        <w:tc>
          <w:tcPr>
            <w:tcW w:type="dxa" w:w="1400"/>
            <w:tcBorders>
              <w:top w:val="single" w:color="C8D8E8" w:sz="1"/>
              <w:left w:val="single" w:color="C8D8E8" w:sz="1"/>
              <w:bottom w:val="single" w:color="C8D8E8" w:sz="1"/>
              <w:right w:val="single" w:color="C8D8E8" w:sz="1"/>
            </w:tcBorders>
            <w:shd w:fill="E8F4FD" w:val="clear"/>
            <w:tcMar>
              <w:top w:type="dxa" w:w="90"/>
              <w:left w:type="dxa" w:w="130"/>
              <w:bottom w:type="dxa" w:w="90"/>
              <w:right w:type="dxa" w:w="130"/>
            </w:tcMar>
          </w:tcPr>
          <w:p>
            <w:r>
              <w:rPr>
                <w:rFonts w:ascii="Arial" w:cs="Arial" w:eastAsia="Arial" w:hAnsi="Arial"/>
                <w:b/>
                <w:bCs/>
                <w:color w:val="1A5C96"/>
                <w:sz w:val="19"/>
                <w:szCs w:val="19"/>
              </w:rPr>
              <w:t xml:space="preserve">Now</w:t>
            </w:r>
          </w:p>
        </w:tc>
        <w:tc>
          <w:tcPr>
            <w:tcW w:type="dxa" w:w="2800"/>
            <w:tcBorders>
              <w:top w:val="single" w:color="C8D8E8" w:sz="1"/>
              <w:left w:val="single" w:color="C8D8E8" w:sz="1"/>
              <w:bottom w:val="single" w:color="C8D8E8" w:sz="1"/>
              <w:right w:val="single" w:color="C8D8E8" w:sz="1"/>
            </w:tcBorders>
            <w:shd w:fill="E8F4FD" w:val="clear"/>
            <w:tcMar>
              <w:top w:type="dxa" w:w="90"/>
              <w:left w:type="dxa" w:w="130"/>
              <w:bottom w:type="dxa" w:w="90"/>
              <w:right w:type="dxa" w:w="130"/>
            </w:tcMar>
          </w:tcPr>
          <w:p>
            <w:r>
              <w:rPr>
                <w:rFonts w:ascii="Arial" w:cs="Arial" w:eastAsia="Arial" w:hAnsi="Arial"/>
                <w:b w:val="false"/>
                <w:bCs w:val="false"/>
                <w:color w:val="444444"/>
                <w:sz w:val="19"/>
                <w:szCs w:val="19"/>
              </w:rPr>
              <w:t xml:space="preserve">Context &amp; Intelligence Sidebar (IP Rep · Asset Criticality · Similar Alerts)</w:t>
            </w:r>
          </w:p>
        </w:tc>
        <w:tc>
          <w:tcPr>
            <w:tcW w:type="dxa" w:w="2600"/>
            <w:tcBorders>
              <w:top w:val="single" w:color="C8D8E8" w:sz="1"/>
              <w:left w:val="single" w:color="C8D8E8" w:sz="1"/>
              <w:bottom w:val="single" w:color="C8D8E8" w:sz="1"/>
              <w:right w:val="single" w:color="C8D8E8" w:sz="1"/>
            </w:tcBorders>
            <w:shd w:fill="E8F4FD" w:val="clear"/>
            <w:tcMar>
              <w:top w:type="dxa" w:w="90"/>
              <w:left w:type="dxa" w:w="130"/>
              <w:bottom w:type="dxa" w:w="90"/>
              <w:right w:type="dxa" w:w="130"/>
            </w:tcMar>
          </w:tcPr>
          <w:p>
            <w:r>
              <w:rPr>
                <w:rFonts w:ascii="Arial" w:cs="Arial" w:eastAsia="Arial" w:hAnsi="Arial"/>
                <w:b w:val="false"/>
                <w:bCs w:val="false"/>
                <w:color w:val="444444"/>
                <w:sz w:val="19"/>
                <w:szCs w:val="19"/>
              </w:rPr>
              <w:t xml:space="preserve">Identity history and IP reputation answer 'is this actor unusual?' in seconds. Similar past alerts answer 'have we seen this before?' — the two fastest FP filters.</w:t>
            </w:r>
          </w:p>
        </w:tc>
        <w:tc>
          <w:tcPr>
            <w:tcW w:type="dxa" w:w="2560"/>
            <w:tcBorders>
              <w:top w:val="single" w:color="C8D8E8" w:sz="1"/>
              <w:left w:val="single" w:color="C8D8E8" w:sz="1"/>
              <w:bottom w:val="single" w:color="C8D8E8" w:sz="1"/>
              <w:right w:val="single" w:color="C8D8E8" w:sz="1"/>
            </w:tcBorders>
            <w:shd w:fill="E8F4FD" w:val="clear"/>
            <w:tcMar>
              <w:top w:type="dxa" w:w="90"/>
              <w:left w:type="dxa" w:w="130"/>
              <w:bottom w:type="dxa" w:w="90"/>
              <w:right w:type="dxa" w:w="130"/>
            </w:tcMar>
          </w:tcPr>
          <w:p>
            <w:r>
              <w:rPr>
                <w:rFonts w:ascii="Arial" w:cs="Arial" w:eastAsia="Arial" w:hAnsi="Arial"/>
                <w:b/>
                <w:bCs/>
                <w:color w:val="2E75B6"/>
                <w:sz w:val="19"/>
                <w:szCs w:val="19"/>
              </w:rPr>
              <w:t xml:space="preserve">Screen 2</w:t>
            </w:r>
          </w:p>
        </w:tc>
      </w:tr>
      <w:tr>
        <w:tc>
          <w:tcPr>
            <w:tcW w:type="dxa" w:w="1400"/>
            <w:tcBorders>
              <w:top w:val="single" w:color="C8D8E8" w:sz="1"/>
              <w:left w:val="single" w:color="C8D8E8" w:sz="1"/>
              <w:bottom w:val="single" w:color="C8D8E8" w:sz="1"/>
              <w:right w:val="single" w:color="C8D8E8" w:sz="1"/>
            </w:tcBorders>
            <w:shd w:fill="EDF7ED" w:val="clear"/>
            <w:tcMar>
              <w:top w:type="dxa" w:w="90"/>
              <w:left w:type="dxa" w:w="130"/>
              <w:bottom w:type="dxa" w:w="90"/>
              <w:right w:type="dxa" w:w="130"/>
            </w:tcMar>
          </w:tcPr>
          <w:p>
            <w:r>
              <w:rPr>
                <w:rFonts w:ascii="Arial" w:cs="Arial" w:eastAsia="Arial" w:hAnsi="Arial"/>
                <w:b/>
                <w:bCs/>
                <w:color w:val="1E6B34"/>
                <w:sz w:val="19"/>
                <w:szCs w:val="19"/>
              </w:rPr>
              <w:t xml:space="preserve">Next</w:t>
            </w:r>
          </w:p>
        </w:tc>
        <w:tc>
          <w:tcPr>
            <w:tcW w:type="dxa" w:w="2800"/>
            <w:tcBorders>
              <w:top w:val="single" w:color="C8D8E8" w:sz="1"/>
              <w:left w:val="single" w:color="C8D8E8" w:sz="1"/>
              <w:bottom w:val="single" w:color="C8D8E8" w:sz="1"/>
              <w:right w:val="single" w:color="C8D8E8" w:sz="1"/>
            </w:tcBorders>
            <w:shd w:fill="EDF7ED" w:val="clear"/>
            <w:tcMar>
              <w:top w:type="dxa" w:w="90"/>
              <w:left w:type="dxa" w:w="130"/>
              <w:bottom w:type="dxa" w:w="90"/>
              <w:right w:type="dxa" w:w="130"/>
            </w:tcMar>
          </w:tcPr>
          <w:p>
            <w:r>
              <w:rPr>
                <w:rFonts w:ascii="Arial" w:cs="Arial" w:eastAsia="Arial" w:hAnsi="Arial"/>
                <w:b w:val="false"/>
                <w:bCs w:val="false"/>
                <w:color w:val="444444"/>
                <w:sz w:val="19"/>
                <w:szCs w:val="19"/>
              </w:rPr>
              <w:t xml:space="preserve">AI-Drafted Resolution Summary (Editable)</w:t>
            </w:r>
          </w:p>
        </w:tc>
        <w:tc>
          <w:tcPr>
            <w:tcW w:type="dxa" w:w="2600"/>
            <w:tcBorders>
              <w:top w:val="single" w:color="C8D8E8" w:sz="1"/>
              <w:left w:val="single" w:color="C8D8E8" w:sz="1"/>
              <w:bottom w:val="single" w:color="C8D8E8" w:sz="1"/>
              <w:right w:val="single" w:color="C8D8E8" w:sz="1"/>
            </w:tcBorders>
            <w:shd w:fill="EDF7ED" w:val="clear"/>
            <w:tcMar>
              <w:top w:type="dxa" w:w="90"/>
              <w:left w:type="dxa" w:w="130"/>
              <w:bottom w:type="dxa" w:w="90"/>
              <w:right w:type="dxa" w:w="130"/>
            </w:tcMar>
          </w:tcPr>
          <w:p>
            <w:r>
              <w:rPr>
                <w:rFonts w:ascii="Arial" w:cs="Arial" w:eastAsia="Arial" w:hAnsi="Arial"/>
                <w:b w:val="false"/>
                <w:bCs w:val="false"/>
                <w:color w:val="444444"/>
                <w:sz w:val="19"/>
                <w:szCs w:val="19"/>
              </w:rPr>
              <w:t xml:space="preserve">Drafting the incident summary is the slowest part of resolution. AI pre-fills with alert ID, risk classification, and recommended action — analyst edits, not writes.</w:t>
            </w:r>
          </w:p>
        </w:tc>
        <w:tc>
          <w:tcPr>
            <w:tcW w:type="dxa" w:w="2560"/>
            <w:tcBorders>
              <w:top w:val="single" w:color="C8D8E8" w:sz="1"/>
              <w:left w:val="single" w:color="C8D8E8" w:sz="1"/>
              <w:bottom w:val="single" w:color="C8D8E8" w:sz="1"/>
              <w:right w:val="single" w:color="C8D8E8" w:sz="1"/>
            </w:tcBorders>
            <w:shd w:fill="EDF7ED" w:val="clear"/>
            <w:tcMar>
              <w:top w:type="dxa" w:w="90"/>
              <w:left w:type="dxa" w:w="130"/>
              <w:bottom w:type="dxa" w:w="90"/>
              <w:right w:type="dxa" w:w="130"/>
            </w:tcMar>
          </w:tcPr>
          <w:p>
            <w:r>
              <w:rPr>
                <w:rFonts w:ascii="Arial" w:cs="Arial" w:eastAsia="Arial" w:hAnsi="Arial"/>
                <w:b/>
                <w:bCs/>
                <w:color w:val="2E75B6"/>
                <w:sz w:val="19"/>
                <w:szCs w:val="19"/>
              </w:rPr>
              <w:t xml:space="preserve">Screen 3</w:t>
            </w:r>
          </w:p>
        </w:tc>
      </w:tr>
      <w:tr>
        <w:tc>
          <w:tcPr>
            <w:tcW w:type="dxa" w:w="1400"/>
            <w:tcBorders>
              <w:top w:val="single" w:color="C8D8E8" w:sz="1"/>
              <w:left w:val="single" w:color="C8D8E8" w:sz="1"/>
              <w:bottom w:val="single" w:color="C8D8E8" w:sz="1"/>
              <w:right w:val="single" w:color="C8D8E8" w:sz="1"/>
            </w:tcBorders>
            <w:shd w:fill="EDF7ED" w:val="clear"/>
            <w:tcMar>
              <w:top w:type="dxa" w:w="90"/>
              <w:left w:type="dxa" w:w="130"/>
              <w:bottom w:type="dxa" w:w="90"/>
              <w:right w:type="dxa" w:w="130"/>
            </w:tcMar>
          </w:tcPr>
          <w:p>
            <w:r>
              <w:rPr>
                <w:rFonts w:ascii="Arial" w:cs="Arial" w:eastAsia="Arial" w:hAnsi="Arial"/>
                <w:b/>
                <w:bCs/>
                <w:color w:val="1E6B34"/>
                <w:sz w:val="19"/>
                <w:szCs w:val="19"/>
              </w:rPr>
              <w:t xml:space="preserve">Next</w:t>
            </w:r>
          </w:p>
        </w:tc>
        <w:tc>
          <w:tcPr>
            <w:tcW w:type="dxa" w:w="2800"/>
            <w:tcBorders>
              <w:top w:val="single" w:color="C8D8E8" w:sz="1"/>
              <w:left w:val="single" w:color="C8D8E8" w:sz="1"/>
              <w:bottom w:val="single" w:color="C8D8E8" w:sz="1"/>
              <w:right w:val="single" w:color="C8D8E8" w:sz="1"/>
            </w:tcBorders>
            <w:shd w:fill="EDF7ED" w:val="clear"/>
            <w:tcMar>
              <w:top w:type="dxa" w:w="90"/>
              <w:left w:type="dxa" w:w="130"/>
              <w:bottom w:type="dxa" w:w="90"/>
              <w:right w:type="dxa" w:w="130"/>
            </w:tcMar>
          </w:tcPr>
          <w:p>
            <w:r>
              <w:rPr>
                <w:rFonts w:ascii="Arial" w:cs="Arial" w:eastAsia="Arial" w:hAnsi="Arial"/>
                <w:b w:val="false"/>
                <w:bCs w:val="false"/>
                <w:color w:val="444444"/>
                <w:sz w:val="19"/>
                <w:szCs w:val="19"/>
              </w:rPr>
              <w:t xml:space="preserve">Priority Confirmation with AI Suggestion</w:t>
            </w:r>
          </w:p>
        </w:tc>
        <w:tc>
          <w:tcPr>
            <w:tcW w:type="dxa" w:w="2600"/>
            <w:tcBorders>
              <w:top w:val="single" w:color="C8D8E8" w:sz="1"/>
              <w:left w:val="single" w:color="C8D8E8" w:sz="1"/>
              <w:bottom w:val="single" w:color="C8D8E8" w:sz="1"/>
              <w:right w:val="single" w:color="C8D8E8" w:sz="1"/>
            </w:tcBorders>
            <w:shd w:fill="EDF7ED" w:val="clear"/>
            <w:tcMar>
              <w:top w:type="dxa" w:w="90"/>
              <w:left w:type="dxa" w:w="130"/>
              <w:bottom w:type="dxa" w:w="90"/>
              <w:right w:type="dxa" w:w="130"/>
            </w:tcMar>
          </w:tcPr>
          <w:p>
            <w:r>
              <w:rPr>
                <w:rFonts w:ascii="Arial" w:cs="Arial" w:eastAsia="Arial" w:hAnsi="Arial"/>
                <w:b w:val="false"/>
                <w:bCs w:val="false"/>
                <w:color w:val="444444"/>
                <w:sz w:val="19"/>
                <w:szCs w:val="19"/>
              </w:rPr>
              <w:t xml:space="preserve">Showing 'AI Suggested: Critical' next to the priority selector forces a deliberate override if the analyst disagrees — capturing the signal needed to improve the model.</w:t>
            </w:r>
          </w:p>
        </w:tc>
        <w:tc>
          <w:tcPr>
            <w:tcW w:type="dxa" w:w="2560"/>
            <w:tcBorders>
              <w:top w:val="single" w:color="C8D8E8" w:sz="1"/>
              <w:left w:val="single" w:color="C8D8E8" w:sz="1"/>
              <w:bottom w:val="single" w:color="C8D8E8" w:sz="1"/>
              <w:right w:val="single" w:color="C8D8E8" w:sz="1"/>
            </w:tcBorders>
            <w:shd w:fill="EDF7ED" w:val="clear"/>
            <w:tcMar>
              <w:top w:type="dxa" w:w="90"/>
              <w:left w:type="dxa" w:w="130"/>
              <w:bottom w:type="dxa" w:w="90"/>
              <w:right w:type="dxa" w:w="130"/>
            </w:tcMar>
          </w:tcPr>
          <w:p>
            <w:r>
              <w:rPr>
                <w:rFonts w:ascii="Arial" w:cs="Arial" w:eastAsia="Arial" w:hAnsi="Arial"/>
                <w:b/>
                <w:bCs/>
                <w:color w:val="2E75B6"/>
                <w:sz w:val="19"/>
                <w:szCs w:val="19"/>
              </w:rPr>
              <w:t xml:space="preserve">Screen 3</w:t>
            </w:r>
          </w:p>
        </w:tc>
      </w:tr>
      <w:tr>
        <w:tc>
          <w:tcPr>
            <w:tcW w:type="dxa" w:w="1400"/>
            <w:tcBorders>
              <w:top w:val="single" w:color="C8D8E8" w:sz="1"/>
              <w:left w:val="single" w:color="C8D8E8" w:sz="1"/>
              <w:bottom w:val="single" w:color="C8D8E8" w:sz="1"/>
              <w:right w:val="single" w:color="C8D8E8" w:sz="1"/>
            </w:tcBorders>
            <w:shd w:fill="F4F6F9" w:val="clear"/>
            <w:tcMar>
              <w:top w:type="dxa" w:w="90"/>
              <w:left w:type="dxa" w:w="130"/>
              <w:bottom w:type="dxa" w:w="90"/>
              <w:right w:type="dxa" w:w="130"/>
            </w:tcMar>
          </w:tcPr>
          <w:p>
            <w:r>
              <w:rPr>
                <w:rFonts w:ascii="Arial" w:cs="Arial" w:eastAsia="Arial" w:hAnsi="Arial"/>
                <w:b/>
                <w:bCs/>
                <w:color w:val="666666"/>
                <w:sz w:val="19"/>
                <w:szCs w:val="19"/>
              </w:rPr>
              <w:t xml:space="preserve">Later</w:t>
            </w:r>
          </w:p>
        </w:tc>
        <w:tc>
          <w:tcPr>
            <w:tcW w:type="dxa" w:w="2800"/>
            <w:tcBorders>
              <w:top w:val="single" w:color="C8D8E8" w:sz="1"/>
              <w:left w:val="single" w:color="C8D8E8" w:sz="1"/>
              <w:bottom w:val="single" w:color="C8D8E8" w:sz="1"/>
              <w:right w:val="single" w:color="C8D8E8" w:sz="1"/>
            </w:tcBorders>
            <w:shd w:fill="F4F6F9" w:val="clear"/>
            <w:tcMar>
              <w:top w:type="dxa" w:w="90"/>
              <w:left w:type="dxa" w:w="130"/>
              <w:bottom w:type="dxa" w:w="90"/>
              <w:right w:type="dxa" w:w="130"/>
            </w:tcMar>
          </w:tcPr>
          <w:p>
            <w:r>
              <w:rPr>
                <w:rFonts w:ascii="Arial" w:cs="Arial" w:eastAsia="Arial" w:hAnsi="Arial"/>
                <w:b w:val="false"/>
                <w:bCs w:val="false"/>
                <w:color w:val="444444"/>
                <w:sz w:val="19"/>
                <w:szCs w:val="19"/>
              </w:rPr>
              <w:t xml:space="preserve">Alert Routing Engine (Route Alert To)</w:t>
            </w:r>
          </w:p>
        </w:tc>
        <w:tc>
          <w:tcPr>
            <w:tcW w:type="dxa" w:w="2600"/>
            <w:tcBorders>
              <w:top w:val="single" w:color="C8D8E8" w:sz="1"/>
              <w:left w:val="single" w:color="C8D8E8" w:sz="1"/>
              <w:bottom w:val="single" w:color="C8D8E8" w:sz="1"/>
              <w:right w:val="single" w:color="C8D8E8" w:sz="1"/>
            </w:tcBorders>
            <w:shd w:fill="F4F6F9" w:val="clear"/>
            <w:tcMar>
              <w:top w:type="dxa" w:w="90"/>
              <w:left w:type="dxa" w:w="130"/>
              <w:bottom w:type="dxa" w:w="90"/>
              <w:right w:type="dxa" w:w="130"/>
            </w:tcMar>
          </w:tcPr>
          <w:p>
            <w:r>
              <w:rPr>
                <w:rFonts w:ascii="Arial" w:cs="Arial" w:eastAsia="Arial" w:hAnsi="Arial"/>
                <w:b w:val="false"/>
                <w:bCs w:val="false"/>
                <w:color w:val="444444"/>
                <w:sz w:val="19"/>
                <w:szCs w:val="19"/>
              </w:rPr>
              <w:t xml:space="preserve">Once triage patterns stabilise, routing can be partly automated. Built later because routing rules require clean historical data from the resolution feedback loop first.</w:t>
            </w:r>
          </w:p>
        </w:tc>
        <w:tc>
          <w:tcPr>
            <w:tcW w:type="dxa" w:w="2560"/>
            <w:tcBorders>
              <w:top w:val="single" w:color="C8D8E8" w:sz="1"/>
              <w:left w:val="single" w:color="C8D8E8" w:sz="1"/>
              <w:bottom w:val="single" w:color="C8D8E8" w:sz="1"/>
              <w:right w:val="single" w:color="C8D8E8" w:sz="1"/>
            </w:tcBorders>
            <w:shd w:fill="F4F6F9" w:val="clear"/>
            <w:tcMar>
              <w:top w:type="dxa" w:w="90"/>
              <w:left w:type="dxa" w:w="130"/>
              <w:bottom w:type="dxa" w:w="90"/>
              <w:right w:type="dxa" w:w="130"/>
            </w:tcMar>
          </w:tcPr>
          <w:p>
            <w:r>
              <w:rPr>
                <w:rFonts w:ascii="Arial" w:cs="Arial" w:eastAsia="Arial" w:hAnsi="Arial"/>
                <w:b/>
                <w:bCs/>
                <w:color w:val="2E75B6"/>
                <w:sz w:val="19"/>
                <w:szCs w:val="19"/>
              </w:rPr>
              <w:t xml:space="preserve">Screen 3</w:t>
            </w:r>
          </w:p>
        </w:tc>
      </w:tr>
    </w:tbl>
    <w:p>
      <w:pPr>
        <w:spacing w:before="80" w:after="0"/>
      </w:pPr>
      <w:r>
        <w:t xml:space="preserve"/>
      </w:r>
    </w:p>
    <w:p>
      <w:pPr>
        <w:spacing w:before="200" w:after="60"/>
      </w:pPr>
      <w:r>
        <w:rPr>
          <w:rFonts w:ascii="Arial" w:cs="Arial" w:eastAsia="Arial" w:hAnsi="Arial"/>
          <w:b/>
          <w:bCs/>
          <w:color w:val="1A5C96"/>
          <w:sz w:val="24"/>
          <w:szCs w:val="24"/>
        </w:rPr>
        <w:t xml:space="preserve">Prioritization Rationale</w:t>
      </w:r>
    </w:p>
    <w:p>
      <w:pPr>
        <w:spacing w:before="160" w:after="40"/>
      </w:pPr>
      <w:r>
        <w:rPr>
          <w:rFonts w:ascii="Arial" w:cs="Arial" w:eastAsia="Arial" w:hAnsi="Arial"/>
          <w:b/>
          <w:bCs/>
          <w:color w:val="2E75B6"/>
          <w:sz w:val="21"/>
          <w:szCs w:val="21"/>
        </w:rPr>
        <w:t xml:space="preserve">Build Now — The Context Collapse Problem</w:t>
      </w:r>
    </w:p>
    <w:p>
      <w:pPr>
        <w:spacing w:before="50" w:after="50"/>
      </w:pPr>
      <w:r>
        <w:rPr>
          <w:rFonts w:ascii="Arial" w:cs="Arial" w:eastAsia="Arial" w:hAnsi="Arial"/>
          <w:color w:val="444444"/>
          <w:sz w:val="21"/>
          <w:szCs w:val="21"/>
        </w:rPr>
        <w:t xml:space="preserve">The five 'Now' features all target the same root cause: analysts are forced to leave the product to gather context. Risk-ranked queue sorting, inline AI summaries, and the pre-assembled investigation view eliminate the most expensive context-switching moments. These are built first because without them, every other feature is answering a question the analyst cannot yet reach.</w:t>
      </w:r>
    </w:p>
    <w:p>
      <w:pPr>
        <w:spacing w:before="160" w:after="40"/>
      </w:pPr>
      <w:r>
        <w:rPr>
          <w:rFonts w:ascii="Arial" w:cs="Arial" w:eastAsia="Arial" w:hAnsi="Arial"/>
          <w:b/>
          <w:bCs/>
          <w:color w:val="2E75B6"/>
          <w:sz w:val="21"/>
          <w:szCs w:val="21"/>
        </w:rPr>
        <w:t xml:space="preserve">Build Next — The Confidence &amp; Feedback Problem</w:t>
      </w:r>
    </w:p>
    <w:p>
      <w:pPr>
        <w:spacing w:before="50" w:after="50"/>
      </w:pPr>
      <w:r>
        <w:rPr>
          <w:rFonts w:ascii="Arial" w:cs="Arial" w:eastAsia="Arial" w:hAnsi="Arial"/>
          <w:color w:val="444444"/>
          <w:sz w:val="21"/>
          <w:szCs w:val="21"/>
        </w:rPr>
        <w:t xml:space="preserve">The AI-drafted resolution summary and AI priority suggestion (Screen 3) are built second because they depend on the analyst having already made an informed investigation. They also generate the most valuable product signal: every time an analyst edits the AI draft or overrides the suggested priority, that is training data. This feedback loop is what makes the AI layer improve over time — and it only works if the investigation context was solid first.</w:t>
      </w:r>
    </w:p>
    <w:p>
      <w:pPr>
        <w:spacing w:before="160" w:after="40"/>
      </w:pPr>
      <w:r>
        <w:rPr>
          <w:rFonts w:ascii="Arial" w:cs="Arial" w:eastAsia="Arial" w:hAnsi="Arial"/>
          <w:b/>
          <w:bCs/>
          <w:color w:val="2E75B6"/>
          <w:sz w:val="21"/>
          <w:szCs w:val="21"/>
        </w:rPr>
        <w:t xml:space="preserve">Build Later — The Routing Automation Problem</w:t>
      </w:r>
    </w:p>
    <w:p>
      <w:pPr>
        <w:spacing w:before="50" w:after="50"/>
      </w:pPr>
      <w:r>
        <w:rPr>
          <w:rFonts w:ascii="Arial" w:cs="Arial" w:eastAsia="Arial" w:hAnsi="Arial"/>
          <w:color w:val="444444"/>
          <w:sz w:val="21"/>
          <w:szCs w:val="21"/>
        </w:rPr>
        <w:t xml:space="preserve">Alert routing is built last deliberately. Automated routing rules require clean historical resolution data to be trustworthy. Building routing before the feedback loop is closed risks encoding bad patterns into automation — which is worse than manual routing.</w:t>
      </w:r>
    </w:p>
    <w:p>
      <w:pPr>
        <w:spacing w:before="100" w:after="0"/>
      </w:pPr>
      <w:r>
        <w:t xml:space="preserve"/>
      </w:r>
    </w:p>
    <w:p>
      <w:pPr>
        <w:spacing w:before="200" w:after="60"/>
      </w:pPr>
      <w:r>
        <w:rPr>
          <w:rFonts w:ascii="Arial" w:cs="Arial" w:eastAsia="Arial" w:hAnsi="Arial"/>
          <w:b/>
          <w:bCs/>
          <w:color w:val="1A5C96"/>
          <w:sz w:val="24"/>
          <w:szCs w:val="24"/>
        </w:rPr>
        <w:t xml:space="preserve">Success Metrics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8D8E8" w:sz="1"/>
              <w:left w:val="single" w:color="C8D8E8" w:sz="1"/>
              <w:bottom w:val="single" w:color="C8D8E8" w:sz="1"/>
              <w:right w:val="single" w:color="C8D8E8" w:sz="1"/>
            </w:tcBorders>
            <w:shd w:fill="1A5C96" w:val="clear"/>
            <w:tcMar>
              <w:top w:type="dxa" w:w="90"/>
              <w:left w:type="dxa" w:w="130"/>
              <w:bottom w:type="dxa" w:w="90"/>
              <w:right w:type="dxa" w:w="130"/>
            </w:tcMar>
          </w:tcPr>
          <w:p>
            <w:r>
              <w:rPr>
                <w:rFonts w:ascii="Arial" w:cs="Arial" w:eastAsia="Arial" w:hAnsi="Arial"/>
                <w:b/>
                <w:bCs/>
                <w:color w:val="FFFFFF"/>
                <w:sz w:val="19"/>
                <w:szCs w:val="19"/>
              </w:rPr>
              <w:t xml:space="preserve">Metric</w:t>
            </w:r>
          </w:p>
        </w:tc>
        <w:tc>
          <w:tcPr>
            <w:tcW w:type="dxa" w:w="2200"/>
            <w:tcBorders>
              <w:top w:val="single" w:color="C8D8E8" w:sz="1"/>
              <w:left w:val="single" w:color="C8D8E8" w:sz="1"/>
              <w:bottom w:val="single" w:color="C8D8E8" w:sz="1"/>
              <w:right w:val="single" w:color="C8D8E8" w:sz="1"/>
            </w:tcBorders>
            <w:shd w:fill="1A5C96" w:val="clear"/>
            <w:tcMar>
              <w:top w:type="dxa" w:w="90"/>
              <w:left w:type="dxa" w:w="130"/>
              <w:bottom w:type="dxa" w:w="90"/>
              <w:right w:type="dxa" w:w="130"/>
            </w:tcMar>
          </w:tcPr>
          <w:p>
            <w:r>
              <w:rPr>
                <w:rFonts w:ascii="Arial" w:cs="Arial" w:eastAsia="Arial" w:hAnsi="Arial"/>
                <w:b/>
                <w:bCs/>
                <w:color w:val="FFFFFF"/>
                <w:sz w:val="19"/>
                <w:szCs w:val="19"/>
              </w:rPr>
              <w:t xml:space="preserve">Target</w:t>
            </w:r>
          </w:p>
        </w:tc>
        <w:tc>
          <w:tcPr>
            <w:tcW w:type="dxa" w:w="4360"/>
            <w:tcBorders>
              <w:top w:val="single" w:color="C8D8E8" w:sz="1"/>
              <w:left w:val="single" w:color="C8D8E8" w:sz="1"/>
              <w:bottom w:val="single" w:color="C8D8E8" w:sz="1"/>
              <w:right w:val="single" w:color="C8D8E8" w:sz="1"/>
            </w:tcBorders>
            <w:shd w:fill="1A5C96" w:val="clear"/>
            <w:tcMar>
              <w:top w:type="dxa" w:w="90"/>
              <w:left w:type="dxa" w:w="130"/>
              <w:bottom w:type="dxa" w:w="90"/>
              <w:right w:type="dxa" w:w="130"/>
            </w:tcMar>
          </w:tcPr>
          <w:p>
            <w:r>
              <w:rPr>
                <w:rFonts w:ascii="Arial" w:cs="Arial" w:eastAsia="Arial" w:hAnsi="Arial"/>
                <w:b/>
                <w:bCs/>
                <w:color w:val="FFFFFF"/>
                <w:sz w:val="19"/>
                <w:szCs w:val="19"/>
              </w:rPr>
              <w:t xml:space="preserve">Why It Matters</w:t>
            </w:r>
          </w:p>
        </w:tc>
      </w:tr>
      <w:tr>
        <w:tc>
          <w:tcPr>
            <w:tcW w:type="dxa" w:w="28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tcPr>
          <w:p>
            <w:r>
              <w:rPr>
                <w:rFonts w:ascii="Arial" w:cs="Arial" w:eastAsia="Arial" w:hAnsi="Arial"/>
                <w:color w:val="444444"/>
                <w:sz w:val="19"/>
                <w:szCs w:val="19"/>
              </w:rPr>
              <w:t xml:space="preserve">Avg response time</w:t>
            </w:r>
          </w:p>
        </w:tc>
        <w:tc>
          <w:tcPr>
            <w:tcW w:type="dxa" w:w="22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tcPr>
          <w:p>
            <w:r>
              <w:rPr>
                <w:rFonts w:ascii="Arial" w:cs="Arial" w:eastAsia="Arial" w:hAnsi="Arial"/>
                <w:color w:val="444444"/>
                <w:sz w:val="19"/>
                <w:szCs w:val="19"/>
              </w:rPr>
              <w:t xml:space="preserve">Current: 4.2 min → Target: &lt; 3 min</w:t>
            </w:r>
          </w:p>
        </w:tc>
        <w:tc>
          <w:tcPr>
            <w:tcW w:type="dxa" w:w="43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tcPr>
          <w:p>
            <w:r>
              <w:rPr>
                <w:rFonts w:ascii="Arial" w:cs="Arial" w:eastAsia="Arial" w:hAnsi="Arial"/>
                <w:color w:val="444444"/>
                <w:sz w:val="19"/>
                <w:szCs w:val="19"/>
              </w:rPr>
              <w:t xml:space="preserve">Already tracked on the dashboard. Drop signals the queue + AI summary are working.</w:t>
            </w:r>
          </w:p>
        </w:tc>
      </w:tr>
      <w:tr>
        <w:tc>
          <w:tcPr>
            <w:tcW w:type="dxa" w:w="2800"/>
            <w:tcBorders>
              <w:top w:val="single" w:color="C8D8E8" w:sz="1"/>
              <w:left w:val="single" w:color="C8D8E8" w:sz="1"/>
              <w:bottom w:val="single" w:color="C8D8E8" w:sz="1"/>
              <w:right w:val="single" w:color="C8D8E8" w:sz="1"/>
            </w:tcBorders>
            <w:shd w:fill="D6E8F7" w:val="clear"/>
            <w:tcMar>
              <w:top w:type="dxa" w:w="90"/>
              <w:left w:type="dxa" w:w="130"/>
              <w:bottom w:type="dxa" w:w="90"/>
              <w:right w:type="dxa" w:w="130"/>
            </w:tcMar>
          </w:tcPr>
          <w:p>
            <w:r>
              <w:rPr>
                <w:rFonts w:ascii="Arial" w:cs="Arial" w:eastAsia="Arial" w:hAnsi="Arial"/>
                <w:color w:val="444444"/>
                <w:sz w:val="19"/>
                <w:szCs w:val="19"/>
              </w:rPr>
              <w:t xml:space="preserve">Mean time to triage decision</w:t>
            </w:r>
          </w:p>
        </w:tc>
        <w:tc>
          <w:tcPr>
            <w:tcW w:type="dxa" w:w="2200"/>
            <w:tcBorders>
              <w:top w:val="single" w:color="C8D8E8" w:sz="1"/>
              <w:left w:val="single" w:color="C8D8E8" w:sz="1"/>
              <w:bottom w:val="single" w:color="C8D8E8" w:sz="1"/>
              <w:right w:val="single" w:color="C8D8E8" w:sz="1"/>
            </w:tcBorders>
            <w:shd w:fill="D6E8F7" w:val="clear"/>
            <w:tcMar>
              <w:top w:type="dxa" w:w="90"/>
              <w:left w:type="dxa" w:w="130"/>
              <w:bottom w:type="dxa" w:w="90"/>
              <w:right w:type="dxa" w:w="130"/>
            </w:tcMar>
          </w:tcPr>
          <w:p>
            <w:r>
              <w:rPr>
                <w:rFonts w:ascii="Arial" w:cs="Arial" w:eastAsia="Arial" w:hAnsi="Arial"/>
                <w:color w:val="444444"/>
                <w:sz w:val="19"/>
                <w:szCs w:val="19"/>
              </w:rPr>
              <w:t xml:space="preserve">&lt; 8 min per alert</w:t>
            </w:r>
          </w:p>
        </w:tc>
        <w:tc>
          <w:tcPr>
            <w:tcW w:type="dxa" w:w="4360"/>
            <w:tcBorders>
              <w:top w:val="single" w:color="C8D8E8" w:sz="1"/>
              <w:left w:val="single" w:color="C8D8E8" w:sz="1"/>
              <w:bottom w:val="single" w:color="C8D8E8" w:sz="1"/>
              <w:right w:val="single" w:color="C8D8E8" w:sz="1"/>
            </w:tcBorders>
            <w:shd w:fill="D6E8F7" w:val="clear"/>
            <w:tcMar>
              <w:top w:type="dxa" w:w="90"/>
              <w:left w:type="dxa" w:w="130"/>
              <w:bottom w:type="dxa" w:w="90"/>
              <w:right w:type="dxa" w:w="130"/>
            </w:tcMar>
          </w:tcPr>
          <w:p>
            <w:r>
              <w:rPr>
                <w:rFonts w:ascii="Arial" w:cs="Arial" w:eastAsia="Arial" w:hAnsi="Arial"/>
                <w:color w:val="444444"/>
                <w:sz w:val="19"/>
                <w:szCs w:val="19"/>
              </w:rPr>
              <w:t xml:space="preserve">From alert opened → action taken (Escalate / False Positive / Monitor / Submit).</w:t>
            </w:r>
          </w:p>
        </w:tc>
      </w:tr>
      <w:tr>
        <w:tc>
          <w:tcPr>
            <w:tcW w:type="dxa" w:w="28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tcPr>
          <w:p>
            <w:r>
              <w:rPr>
                <w:rFonts w:ascii="Arial" w:cs="Arial" w:eastAsia="Arial" w:hAnsi="Arial"/>
                <w:color w:val="444444"/>
                <w:sz w:val="19"/>
                <w:szCs w:val="19"/>
              </w:rPr>
              <w:t xml:space="preserve">AI priority override rate</w:t>
            </w:r>
          </w:p>
        </w:tc>
        <w:tc>
          <w:tcPr>
            <w:tcW w:type="dxa" w:w="22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tcPr>
          <w:p>
            <w:r>
              <w:rPr>
                <w:rFonts w:ascii="Arial" w:cs="Arial" w:eastAsia="Arial" w:hAnsi="Arial"/>
                <w:color w:val="444444"/>
                <w:sz w:val="19"/>
                <w:szCs w:val="19"/>
              </w:rPr>
              <w:t xml:space="preserve">&lt; 25% within 90 days</w:t>
            </w:r>
          </w:p>
        </w:tc>
        <w:tc>
          <w:tcPr>
            <w:tcW w:type="dxa" w:w="43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tcPr>
          <w:p>
            <w:r>
              <w:rPr>
                <w:rFonts w:ascii="Arial" w:cs="Arial" w:eastAsia="Arial" w:hAnsi="Arial"/>
                <w:color w:val="444444"/>
                <w:sz w:val="19"/>
                <w:szCs w:val="19"/>
              </w:rPr>
              <w:t xml:space="preserve">High override = model mis-scoring. Track weekly; retrain if it spikes above threshold.</w:t>
            </w:r>
          </w:p>
        </w:tc>
      </w:tr>
      <w:tr>
        <w:tc>
          <w:tcPr>
            <w:tcW w:type="dxa" w:w="2800"/>
            <w:tcBorders>
              <w:top w:val="single" w:color="C8D8E8" w:sz="1"/>
              <w:left w:val="single" w:color="C8D8E8" w:sz="1"/>
              <w:bottom w:val="single" w:color="C8D8E8" w:sz="1"/>
              <w:right w:val="single" w:color="C8D8E8" w:sz="1"/>
            </w:tcBorders>
            <w:shd w:fill="D6E8F7" w:val="clear"/>
            <w:tcMar>
              <w:top w:type="dxa" w:w="90"/>
              <w:left w:type="dxa" w:w="130"/>
              <w:bottom w:type="dxa" w:w="90"/>
              <w:right w:type="dxa" w:w="130"/>
            </w:tcMar>
          </w:tcPr>
          <w:p>
            <w:r>
              <w:rPr>
                <w:rFonts w:ascii="Arial" w:cs="Arial" w:eastAsia="Arial" w:hAnsi="Arial"/>
                <w:color w:val="444444"/>
                <w:sz w:val="19"/>
                <w:szCs w:val="19"/>
              </w:rPr>
              <w:t xml:space="preserve">Resolution summary edit rate</w:t>
            </w:r>
          </w:p>
        </w:tc>
        <w:tc>
          <w:tcPr>
            <w:tcW w:type="dxa" w:w="2200"/>
            <w:tcBorders>
              <w:top w:val="single" w:color="C8D8E8" w:sz="1"/>
              <w:left w:val="single" w:color="C8D8E8" w:sz="1"/>
              <w:bottom w:val="single" w:color="C8D8E8" w:sz="1"/>
              <w:right w:val="single" w:color="C8D8E8" w:sz="1"/>
            </w:tcBorders>
            <w:shd w:fill="D6E8F7" w:val="clear"/>
            <w:tcMar>
              <w:top w:type="dxa" w:w="90"/>
              <w:left w:type="dxa" w:w="130"/>
              <w:bottom w:type="dxa" w:w="90"/>
              <w:right w:type="dxa" w:w="130"/>
            </w:tcMar>
          </w:tcPr>
          <w:p>
            <w:r>
              <w:rPr>
                <w:rFonts w:ascii="Arial" w:cs="Arial" w:eastAsia="Arial" w:hAnsi="Arial"/>
                <w:color w:val="444444"/>
                <w:sz w:val="19"/>
                <w:szCs w:val="19"/>
              </w:rPr>
              <w:t xml:space="preserve">Track — target &lt; 40% heavy edits</w:t>
            </w:r>
          </w:p>
        </w:tc>
        <w:tc>
          <w:tcPr>
            <w:tcW w:type="dxa" w:w="4360"/>
            <w:tcBorders>
              <w:top w:val="single" w:color="C8D8E8" w:sz="1"/>
              <w:left w:val="single" w:color="C8D8E8" w:sz="1"/>
              <w:bottom w:val="single" w:color="C8D8E8" w:sz="1"/>
              <w:right w:val="single" w:color="C8D8E8" w:sz="1"/>
            </w:tcBorders>
            <w:shd w:fill="D6E8F7" w:val="clear"/>
            <w:tcMar>
              <w:top w:type="dxa" w:w="90"/>
              <w:left w:type="dxa" w:w="130"/>
              <w:bottom w:type="dxa" w:w="90"/>
              <w:right w:type="dxa" w:w="130"/>
            </w:tcMar>
          </w:tcPr>
          <w:p>
            <w:r>
              <w:rPr>
                <w:rFonts w:ascii="Arial" w:cs="Arial" w:eastAsia="Arial" w:hAnsi="Arial"/>
                <w:color w:val="444444"/>
                <w:sz w:val="19"/>
                <w:szCs w:val="19"/>
              </w:rPr>
              <w:t xml:space="preserve">Measures AI draft quality. If analysts rewrite most of it, the prompt needs tuning.</w:t>
            </w:r>
          </w:p>
        </w:tc>
      </w:tr>
      <w:tr>
        <w:tc>
          <w:tcPr>
            <w:tcW w:type="dxa" w:w="28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tcPr>
          <w:p>
            <w:r>
              <w:rPr>
                <w:rFonts w:ascii="Arial" w:cs="Arial" w:eastAsia="Arial" w:hAnsi="Arial"/>
                <w:color w:val="444444"/>
                <w:sz w:val="19"/>
                <w:szCs w:val="19"/>
              </w:rPr>
              <w:t xml:space="preserve">Alert reopened post-resolution</w:t>
            </w:r>
          </w:p>
        </w:tc>
        <w:tc>
          <w:tcPr>
            <w:tcW w:type="dxa" w:w="220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tcPr>
          <w:p>
            <w:r>
              <w:rPr>
                <w:rFonts w:ascii="Arial" w:cs="Arial" w:eastAsia="Arial" w:hAnsi="Arial"/>
                <w:color w:val="444444"/>
                <w:sz w:val="19"/>
                <w:szCs w:val="19"/>
              </w:rPr>
              <w:t xml:space="preserve">&lt; 5%</w:t>
            </w:r>
          </w:p>
        </w:tc>
        <w:tc>
          <w:tcPr>
            <w:tcW w:type="dxa" w:w="4360"/>
            <w:tcBorders>
              <w:top w:val="single" w:color="C8D8E8" w:sz="1"/>
              <w:left w:val="single" w:color="C8D8E8" w:sz="1"/>
              <w:bottom w:val="single" w:color="C8D8E8" w:sz="1"/>
              <w:right w:val="single" w:color="C8D8E8" w:sz="1"/>
            </w:tcBorders>
            <w:shd w:fill="FFFFFF" w:val="clear"/>
            <w:tcMar>
              <w:top w:type="dxa" w:w="90"/>
              <w:left w:type="dxa" w:w="130"/>
              <w:bottom w:type="dxa" w:w="90"/>
              <w:right w:type="dxa" w:w="130"/>
            </w:tcMar>
          </w:tcPr>
          <w:p>
            <w:r>
              <w:rPr>
                <w:rFonts w:ascii="Arial" w:cs="Arial" w:eastAsia="Arial" w:hAnsi="Arial"/>
                <w:color w:val="444444"/>
                <w:sz w:val="19"/>
                <w:szCs w:val="19"/>
              </w:rPr>
              <w:t xml:space="preserve">Proxy for decision confidence. High reopen = analyst was not sure when they closed it.</w:t>
            </w:r>
          </w:p>
        </w:tc>
      </w:tr>
      <w:tr>
        <w:tc>
          <w:tcPr>
            <w:tcW w:type="dxa" w:w="2800"/>
            <w:tcBorders>
              <w:top w:val="single" w:color="C8D8E8" w:sz="1"/>
              <w:left w:val="single" w:color="C8D8E8" w:sz="1"/>
              <w:bottom w:val="single" w:color="C8D8E8" w:sz="1"/>
              <w:right w:val="single" w:color="C8D8E8" w:sz="1"/>
            </w:tcBorders>
            <w:shd w:fill="D6E8F7" w:val="clear"/>
            <w:tcMar>
              <w:top w:type="dxa" w:w="90"/>
              <w:left w:type="dxa" w:w="130"/>
              <w:bottom w:type="dxa" w:w="90"/>
              <w:right w:type="dxa" w:w="130"/>
            </w:tcMar>
          </w:tcPr>
          <w:p>
            <w:r>
              <w:rPr>
                <w:rFonts w:ascii="Arial" w:cs="Arial" w:eastAsia="Arial" w:hAnsi="Arial"/>
                <w:color w:val="444444"/>
                <w:sz w:val="19"/>
                <w:szCs w:val="19"/>
              </w:rPr>
              <w:t xml:space="preserve">Analyst-reported cognitive load</w:t>
            </w:r>
          </w:p>
        </w:tc>
        <w:tc>
          <w:tcPr>
            <w:tcW w:type="dxa" w:w="2200"/>
            <w:tcBorders>
              <w:top w:val="single" w:color="C8D8E8" w:sz="1"/>
              <w:left w:val="single" w:color="C8D8E8" w:sz="1"/>
              <w:bottom w:val="single" w:color="C8D8E8" w:sz="1"/>
              <w:right w:val="single" w:color="C8D8E8" w:sz="1"/>
            </w:tcBorders>
            <w:shd w:fill="D6E8F7" w:val="clear"/>
            <w:tcMar>
              <w:top w:type="dxa" w:w="90"/>
              <w:left w:type="dxa" w:w="130"/>
              <w:bottom w:type="dxa" w:w="90"/>
              <w:right w:type="dxa" w:w="130"/>
            </w:tcMar>
          </w:tcPr>
          <w:p>
            <w:r>
              <w:rPr>
                <w:rFonts w:ascii="Arial" w:cs="Arial" w:eastAsia="Arial" w:hAnsi="Arial"/>
                <w:color w:val="444444"/>
                <w:sz w:val="19"/>
                <w:szCs w:val="19"/>
              </w:rPr>
              <w:t xml:space="preserve">Decrease in monthly pulse</w:t>
            </w:r>
          </w:p>
        </w:tc>
        <w:tc>
          <w:tcPr>
            <w:tcW w:type="dxa" w:w="4360"/>
            <w:tcBorders>
              <w:top w:val="single" w:color="C8D8E8" w:sz="1"/>
              <w:left w:val="single" w:color="C8D8E8" w:sz="1"/>
              <w:bottom w:val="single" w:color="C8D8E8" w:sz="1"/>
              <w:right w:val="single" w:color="C8D8E8" w:sz="1"/>
            </w:tcBorders>
            <w:shd w:fill="D6E8F7" w:val="clear"/>
            <w:tcMar>
              <w:top w:type="dxa" w:w="90"/>
              <w:left w:type="dxa" w:w="130"/>
              <w:bottom w:type="dxa" w:w="90"/>
              <w:right w:type="dxa" w:w="130"/>
            </w:tcMar>
          </w:tcPr>
          <w:p>
            <w:r>
              <w:rPr>
                <w:rFonts w:ascii="Arial" w:cs="Arial" w:eastAsia="Arial" w:hAnsi="Arial"/>
                <w:color w:val="444444"/>
                <w:sz w:val="19"/>
                <w:szCs w:val="19"/>
              </w:rPr>
              <w:t xml:space="preserve">Leading indicator before burnout appears in performance data.</w:t>
            </w:r>
          </w:p>
        </w:tc>
      </w:tr>
    </w:tbl>
    <w:p>
      <w:pPr>
        <w:spacing w:before="140" w:after="0"/>
      </w:pPr>
      <w:r>
        <w:t xml:space="preserve"/>
      </w:r>
    </w:p>
    <w:p>
      <w:pPr>
        <w:pBdr>
          <w:bottom w:val="single" w:color="2E75B6" w:sz="8" w:space="2"/>
        </w:pBdr>
        <w:spacing w:before="300" w:after="60"/>
      </w:pPr>
      <w:r>
        <w:rPr>
          <w:rFonts w:ascii="Arial" w:cs="Arial" w:eastAsia="Arial" w:hAnsi="Arial"/>
          <w:b/>
          <w:bCs/>
          <w:color w:val="0D1F33"/>
          <w:sz w:val="30"/>
          <w:szCs w:val="30"/>
        </w:rPr>
        <w:t xml:space="preserve">3.  Bonus — Development Action Items</w:t>
      </w:r>
    </w:p>
    <w:p>
      <w:pPr>
        <w:spacing w:before="30" w:after="0"/>
      </w:pPr>
      <w:r>
        <w:t xml:space="preserve"/>
      </w:r>
    </w:p>
    <w:p>
      <w:pPr>
        <w:spacing w:before="200" w:after="60"/>
      </w:pPr>
      <w:r>
        <w:rPr>
          <w:rFonts w:ascii="Arial" w:cs="Arial" w:eastAsia="Arial" w:hAnsi="Arial"/>
          <w:b/>
          <w:bCs/>
          <w:color w:val="1A5C96"/>
          <w:sz w:val="24"/>
          <w:szCs w:val="24"/>
        </w:rPr>
        <w:t xml:space="preserve">Data &amp; Integration Prerequisites</w:t>
      </w:r>
    </w:p>
    <w:p>
      <w:pPr>
        <w:pStyle w:val="ListParagraph"/>
        <w:numPr>
          <w:ilvl w:val="0"/>
          <w:numId w:val="2"/>
        </w:numPr>
        <w:spacing w:before="38" w:after="38"/>
      </w:pPr>
      <w:r>
        <w:rPr>
          <w:rFonts w:ascii="Arial" w:cs="Arial" w:eastAsia="Arial" w:hAnsi="Arial"/>
          <w:color w:val="444444"/>
          <w:sz w:val="21"/>
          <w:szCs w:val="21"/>
        </w:rPr>
        <w:t xml:space="preserve">Resource owner + asset tagging coverage: audit CMDB completeness before the investigation view goes live. The 'Owner: Security Team' field on the affected resource panel is only trustworthy if tagging is consistent across environments.</w:t>
      </w:r>
    </w:p>
    <w:p>
      <w:pPr>
        <w:pStyle w:val="ListParagraph"/>
        <w:numPr>
          <w:ilvl w:val="0"/>
          <w:numId w:val="2"/>
        </w:numPr>
        <w:spacing w:before="38" w:after="38"/>
      </w:pPr>
      <w:r>
        <w:rPr>
          <w:rFonts w:ascii="Arial" w:cs="Arial" w:eastAsia="Arial" w:hAnsi="Arial"/>
          <w:color w:val="444444"/>
          <w:sz w:val="21"/>
          <w:szCs w:val="21"/>
        </w:rPr>
        <w:t xml:space="preserve">CloudTrail / GCP Audit Logs / Azure Activity Log: confirm near-real-time vs. polling ingestion for the investigation timeline. Stale timelines on active incidents undermine analyst trust in the product.</w:t>
      </w:r>
    </w:p>
    <w:p>
      <w:pPr>
        <w:pStyle w:val="ListParagraph"/>
        <w:numPr>
          <w:ilvl w:val="0"/>
          <w:numId w:val="2"/>
        </w:numPr>
        <w:spacing w:before="38" w:after="38"/>
      </w:pPr>
      <w:r>
        <w:rPr>
          <w:rFonts w:ascii="Arial" w:cs="Arial" w:eastAsia="Arial" w:hAnsi="Arial"/>
          <w:color w:val="444444"/>
          <w:sz w:val="21"/>
          <w:szCs w:val="21"/>
        </w:rPr>
        <w:t xml:space="preserve">IP Reputation feed: the Context &amp; Intelligence sidebar shows IP reputation (Screen 2). Confirm the data source SLA — is this static at alert creation time or does it auto-refresh during investigation?</w:t>
      </w:r>
    </w:p>
    <w:p>
      <w:pPr>
        <w:pStyle w:val="ListParagraph"/>
        <w:numPr>
          <w:ilvl w:val="0"/>
          <w:numId w:val="2"/>
        </w:numPr>
        <w:spacing w:before="38" w:after="38"/>
      </w:pPr>
      <w:r>
        <w:rPr>
          <w:rFonts w:ascii="Arial" w:cs="Arial" w:eastAsia="Arial" w:hAnsi="Arial"/>
          <w:color w:val="444444"/>
          <w:sz w:val="21"/>
          <w:szCs w:val="21"/>
        </w:rPr>
        <w:t xml:space="preserve">Similar Past Alerts: define the similarity query (same alert type? same resource? same identity?) before building — different similarity models produce very different results in terms of usefulness.</w:t>
      </w:r>
    </w:p>
    <w:p>
      <w:pPr>
        <w:spacing w:before="60" w:after="0"/>
      </w:pPr>
      <w:r>
        <w:t xml:space="preserve"/>
      </w:r>
    </w:p>
    <w:p>
      <w:pPr>
        <w:spacing w:before="200" w:after="60"/>
      </w:pPr>
      <w:r>
        <w:rPr>
          <w:rFonts w:ascii="Arial" w:cs="Arial" w:eastAsia="Arial" w:hAnsi="Arial"/>
          <w:b/>
          <w:bCs/>
          <w:color w:val="1A5C96"/>
          <w:sz w:val="24"/>
          <w:szCs w:val="24"/>
        </w:rPr>
        <w:t xml:space="preserve">AI Layer Engineering</w:t>
      </w:r>
    </w:p>
    <w:p>
      <w:pPr>
        <w:pStyle w:val="ListParagraph"/>
        <w:numPr>
          <w:ilvl w:val="0"/>
          <w:numId w:val="2"/>
        </w:numPr>
        <w:spacing w:before="38" w:after="38"/>
      </w:pPr>
      <w:r>
        <w:rPr>
          <w:rFonts w:ascii="Arial" w:cs="Arial" w:eastAsia="Arial" w:hAnsi="Arial"/>
          <w:color w:val="444444"/>
          <w:sz w:val="21"/>
          <w:szCs w:val="21"/>
        </w:rPr>
        <w:t xml:space="preserve">AI Confidence score on the intake card needs a defined, documented feature set agreed between PM and engineering before it goes to analysts. If the score is a black box, analysts will ignore it or distrust it after one bad call.</w:t>
      </w:r>
    </w:p>
    <w:p>
      <w:pPr>
        <w:pStyle w:val="ListParagraph"/>
        <w:numPr>
          <w:ilvl w:val="0"/>
          <w:numId w:val="2"/>
        </w:numPr>
        <w:spacing w:before="38" w:after="38"/>
      </w:pPr>
      <w:r>
        <w:rPr>
          <w:rFonts w:ascii="Arial" w:cs="Arial" w:eastAsia="Arial" w:hAnsi="Arial"/>
          <w:color w:val="444444"/>
          <w:sz w:val="21"/>
          <w:szCs w:val="21"/>
        </w:rPr>
        <w:t xml:space="preserve">AI-suggested priority (Screen 3: 'AI Suggested: Critical') must be instrumented with override tracking from day 1. Every analyst override is a labelled training example — capture it with the original score, the override value, and the final resolution outcome.</w:t>
      </w:r>
    </w:p>
    <w:p>
      <w:pPr>
        <w:pStyle w:val="ListParagraph"/>
        <w:numPr>
          <w:ilvl w:val="0"/>
          <w:numId w:val="2"/>
        </w:numPr>
        <w:spacing w:before="38" w:after="38"/>
      </w:pPr>
      <w:r>
        <w:rPr>
          <w:rFonts w:ascii="Arial" w:cs="Arial" w:eastAsia="Arial" w:hAnsi="Arial"/>
          <w:color w:val="444444"/>
          <w:sz w:val="21"/>
          <w:szCs w:val="21"/>
        </w:rPr>
        <w:t xml:space="preserve">AI resolution summary draft (Screen 3): start with a template-based approach (structured fields populated from alert metadata) rather than a generative approach. Validate analyst satisfaction before introducing a model that generates free-form text.</w:t>
      </w:r>
    </w:p>
    <w:p>
      <w:pPr>
        <w:spacing w:before="60" w:after="0"/>
      </w:pPr>
      <w:r>
        <w:t xml:space="preserve"/>
      </w:r>
    </w:p>
    <w:p>
      <w:pPr>
        <w:spacing w:before="200" w:after="60"/>
      </w:pPr>
      <w:r>
        <w:rPr>
          <w:rFonts w:ascii="Arial" w:cs="Arial" w:eastAsia="Arial" w:hAnsi="Arial"/>
          <w:b/>
          <w:bCs/>
          <w:color w:val="1A5C96"/>
          <w:sz w:val="24"/>
          <w:szCs w:val="24"/>
        </w:rPr>
        <w:t xml:space="preserve">Workflow &amp; State Logic</w:t>
      </w:r>
    </w:p>
    <w:p>
      <w:pPr>
        <w:pStyle w:val="ListParagraph"/>
        <w:numPr>
          <w:ilvl w:val="0"/>
          <w:numId w:val="2"/>
        </w:numPr>
        <w:spacing w:before="38" w:after="38"/>
      </w:pPr>
      <w:r>
        <w:rPr>
          <w:rFonts w:ascii="Arial" w:cs="Arial" w:eastAsia="Arial" w:hAnsi="Arial"/>
          <w:color w:val="444444"/>
          <w:sz w:val="21"/>
          <w:szCs w:val="21"/>
        </w:rPr>
        <w:t xml:space="preserve">Clarify the 'Monitor' action (Screen 2, bottom bar): is this a watchlist / snooze for N hours, or a persistent monitoring state? This distinction changes the data model, the queue behaviour, and the SLA implications significantly.</w:t>
      </w:r>
    </w:p>
    <w:p>
      <w:pPr>
        <w:pStyle w:val="ListParagraph"/>
        <w:numPr>
          <w:ilvl w:val="0"/>
          <w:numId w:val="2"/>
        </w:numPr>
        <w:spacing w:before="38" w:after="38"/>
      </w:pPr>
      <w:r>
        <w:rPr>
          <w:rFonts w:ascii="Arial" w:cs="Arial" w:eastAsia="Arial" w:hAnsi="Arial"/>
          <w:color w:val="444444"/>
          <w:sz w:val="21"/>
          <w:szCs w:val="21"/>
        </w:rPr>
        <w:t xml:space="preserve">Define what 'Submit Resolution' triggers downstream — purely a documentation action today, or can it initiate automated remediation (e.g. revoke IAM role, isolate resource)? This scoping decision sets the product's ceiling.</w:t>
      </w:r>
    </w:p>
    <w:p>
      <w:pPr>
        <w:pStyle w:val="ListParagraph"/>
        <w:numPr>
          <w:ilvl w:val="0"/>
          <w:numId w:val="2"/>
        </w:numPr>
        <w:spacing w:before="38" w:after="38"/>
      </w:pPr>
      <w:r>
        <w:rPr>
          <w:rFonts w:ascii="Arial" w:cs="Arial" w:eastAsia="Arial" w:hAnsi="Arial"/>
          <w:color w:val="444444"/>
          <w:sz w:val="21"/>
          <w:szCs w:val="21"/>
        </w:rPr>
        <w:t xml:space="preserve">Deduplication: can the same cloud event generate multiple independent alerts today? If so, a deduplication layer is a prerequisite before meaningful volume and response-time metrics are possible.</w:t>
      </w:r>
    </w:p>
    <w:p>
      <w:pPr>
        <w:pStyle w:val="ListParagraph"/>
        <w:numPr>
          <w:ilvl w:val="0"/>
          <w:numId w:val="2"/>
        </w:numPr>
        <w:spacing w:before="38" w:after="38"/>
      </w:pPr>
      <w:r>
        <w:rPr>
          <w:rFonts w:ascii="Arial" w:cs="Arial" w:eastAsia="Arial" w:hAnsi="Arial"/>
          <w:color w:val="444444"/>
          <w:sz w:val="21"/>
          <w:szCs w:val="21"/>
        </w:rPr>
        <w:t xml:space="preserve">Schema for resolution close reasons should be defined before sprint 1 even if the UI for collecting them comes in the 'Next' phase. Retrofitting the schema after launch breaks historical alert quality comparisons.</w:t>
      </w:r>
    </w:p>
    <w:p>
      <w:pPr>
        <w:spacing w:before="60" w:after="0"/>
      </w:pPr>
      <w:r>
        <w:t xml:space="preserve"/>
      </w:r>
    </w:p>
    <w:p>
      <w:pPr>
        <w:spacing w:before="200" w:after="60"/>
      </w:pPr>
      <w:r>
        <w:rPr>
          <w:rFonts w:ascii="Arial" w:cs="Arial" w:eastAsia="Arial" w:hAnsi="Arial"/>
          <w:b/>
          <w:bCs/>
          <w:color w:val="1A5C96"/>
          <w:sz w:val="24"/>
          <w:szCs w:val="24"/>
        </w:rPr>
        <w:t xml:space="preserve">Open Questions for Engineering Kickoff</w:t>
      </w:r>
    </w:p>
    <w:p>
      <w:pPr>
        <w:pStyle w:val="ListParagraph"/>
        <w:numPr>
          <w:ilvl w:val="0"/>
          <w:numId w:val="2"/>
        </w:numPr>
        <w:spacing w:before="38" w:after="38"/>
      </w:pPr>
      <w:r>
        <w:rPr>
          <w:rFonts w:ascii="Arial" w:cs="Arial" w:eastAsia="Arial" w:hAnsi="Arial"/>
          <w:color w:val="444444"/>
          <w:sz w:val="21"/>
          <w:szCs w:val="21"/>
        </w:rPr>
        <w:t xml:space="preserve">What is the end-to-end latency from cloud event to alert appearing in the intake queue? This number sets the floor on response SLA commitments.</w:t>
      </w:r>
    </w:p>
    <w:p>
      <w:pPr>
        <w:pStyle w:val="ListParagraph"/>
        <w:numPr>
          <w:ilvl w:val="0"/>
          <w:numId w:val="2"/>
        </w:numPr>
        <w:spacing w:before="38" w:after="38"/>
      </w:pPr>
      <w:r>
        <w:rPr>
          <w:rFonts w:ascii="Arial" w:cs="Arial" w:eastAsia="Arial" w:hAnsi="Arial"/>
          <w:color w:val="444444"/>
          <w:sz w:val="21"/>
          <w:szCs w:val="21"/>
        </w:rPr>
        <w:t xml:space="preserve">What data retention window exists for closed alerts and their metadata? This determines how far back the Similar Past Alerts panel can look.</w:t>
      </w:r>
    </w:p>
    <w:p>
      <w:pPr>
        <w:pStyle w:val="ListParagraph"/>
        <w:numPr>
          <w:ilvl w:val="0"/>
          <w:numId w:val="2"/>
        </w:numPr>
        <w:spacing w:before="38" w:after="38"/>
      </w:pPr>
      <w:r>
        <w:rPr>
          <w:rFonts w:ascii="Arial" w:cs="Arial" w:eastAsia="Arial" w:hAnsi="Arial"/>
          <w:color w:val="444444"/>
          <w:sz w:val="21"/>
          <w:szCs w:val="21"/>
        </w:rPr>
        <w:t xml:space="preserve">Can analyst-level action data (decision time, priority overrides, resolution edits) be stored without conflicting with existing data governance or privacy policies?</w:t>
      </w:r>
    </w:p>
    <w:p>
      <w:pPr>
        <w:spacing w:before="60" w:after="0"/>
      </w:pPr>
      <w:r>
        <w:t xml:space="preserve"/>
      </w:r>
    </w:p>
    <w:sectPr>
      <w:footerReference w:type="default" r:id="rId6"/>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AAAAAA"/>
        <w:sz w:val="16"/>
        <w:szCs w:val="16"/>
      </w:rPr>
      <w:t xml:space="preserve">SecureOps AI  ·  Alert Triage PM Assignment  |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2026-02-28T19:46:43.311Z</dcterms:created>
  <dcterms:modified xsi:type="dcterms:W3CDTF">2026-02-28T19:46:43.312Z</dcterms:modified>
</cp:coreProperties>
</file>

<file path=docProps/custom.xml><?xml version="1.0" encoding="utf-8"?>
<Properties xmlns="http://schemas.openxmlformats.org/officeDocument/2006/custom-properties" xmlns:vt="http://schemas.openxmlformats.org/officeDocument/2006/docPropsVTypes"/>
</file>