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0D1F33"/>
          <w:sz w:val="48"/>
          <w:szCs w:val="48"/>
        </w:rPr>
        <w:t xml:space="preserve">SecureOps AI</w:t>
      </w:r>
    </w:p>
    <w:p>
      <w:pPr>
        <w:pBdr>
          <w:bottom w:val="single" w:color="C0392B" w:sz="14" w:space="3"/>
        </w:pBdr>
        <w:spacing w:before="0" w:after="0"/>
      </w:pPr>
      <w:r>
        <w:rPr>
          <w:rFonts w:ascii="Arial" w:cs="Arial" w:eastAsia="Arial" w:hAnsi="Arial"/>
          <w:color w:val="1A5C96"/>
          <w:sz w:val="23"/>
          <w:szCs w:val="23"/>
        </w:rPr>
        <w:t xml:space="preserve">Intelligent Alert Triage  ·  PM Assignment Response</w:t>
      </w:r>
    </w:p>
    <w:p>
      <w:pPr>
        <w:spacing w:before="140" w:after="0"/>
      </w:pPr>
      <w:r>
        <w:t xml:space="preserve"/>
      </w:r>
    </w:p>
    <w:p>
      <w:pPr>
        <w:pBdr>
          <w:bottom w:val="single" w:color="2E75B6" w:sz="8" w:space="2"/>
        </w:pBdr>
        <w:spacing w:before="300" w:after="60"/>
      </w:pPr>
      <w:r>
        <w:rPr>
          <w:rFonts w:ascii="Arial" w:cs="Arial" w:eastAsia="Arial" w:hAnsi="Arial"/>
          <w:b/>
          <w:bCs/>
          <w:color w:val="0D1F33"/>
          <w:sz w:val="30"/>
          <w:szCs w:val="30"/>
        </w:rPr>
        <w:t xml:space="preserve">1.  Problem Statement &amp; User Persona</w:t>
      </w:r>
    </w:p>
    <w:p>
      <w:pPr>
        <w:spacing w:before="30" w:after="0"/>
      </w:pPr>
      <w:r>
        <w:t xml:space="preserve"/>
      </w:r>
    </w:p>
    <w:p>
      <w:pPr>
        <w:spacing w:before="50" w:after="50"/>
      </w:pPr>
      <w:r>
        <w:rPr>
          <w:rFonts w:ascii="Arial" w:cs="Arial" w:eastAsia="Arial" w:hAnsi="Arial"/>
          <w:color w:val="555555"/>
          <w:sz w:val="21"/>
          <w:szCs w:val="21"/>
        </w:rPr>
        <w:t xml:space="preserve">SecureOps AI is a purpose-built SOC triage platform — and the three-screen flow visible in the prototype (Intake → Investigation → Resolution) is already well-structured. The core loop is the right one: surface alerts ranked by risk, provide context for investigation, and guide the analyst to a documented resolution.</w:t>
      </w:r>
    </w:p>
    <w:p>
      <w:pPr>
        <w:spacing w:before="40" w:after="0"/>
      </w:pPr>
      <w:r>
        <w:t xml:space="preserve"/>
      </w:r>
    </w:p>
    <w:p>
      <w:pPr>
        <w:spacing w:before="50" w:after="50"/>
      </w:pPr>
      <w:r>
        <w:rPr>
          <w:rFonts w:ascii="Arial" w:cs="Arial" w:eastAsia="Arial" w:hAnsi="Arial"/>
          <w:color w:val="555555"/>
          <w:sz w:val="21"/>
          <w:szCs w:val="21"/>
        </w:rPr>
        <w:t xml:space="preserve">The problem is not the flow. The problem is the gaps within each screen that still force the analyst to leave, guess, or slow down at the exact moments that matter most.</w:t>
      </w:r>
    </w:p>
    <w:p>
      <w:pPr>
        <w:spacing w:before="50" w:after="0"/>
      </w:pPr>
      <w:r>
        <w:t xml:space="preserve"/>
      </w:r>
    </w:p>
    <w:p>
      <w:pPr>
        <w:spacing w:before="200" w:after="60"/>
      </w:pPr>
      <w:r>
        <w:rPr>
          <w:rFonts w:ascii="Arial" w:cs="Arial" w:eastAsia="Arial" w:hAnsi="Arial"/>
          <w:b/>
          <w:bCs/>
          <w:color w:val="1A5C96"/>
          <w:sz w:val="24"/>
          <w:szCs w:val="24"/>
        </w:rPr>
        <w:t xml:space="preserve">Current Flow</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
        <w:gridCol w:w="3000"/>
        <w:gridCol w:w="180"/>
        <w:gridCol w:w="3000"/>
      </w:tblGrid>
      <w:tr>
        <w:tc>
          <w:tcPr>
            <w:tcW w:type="dxa" w:w="3000"/>
            <w:tcBorders>
              <w:top w:val="single" w:color="C0CDD8" w:sz="1"/>
              <w:left w:val="single" w:color="C0CDD8" w:sz="1"/>
              <w:bottom w:val="single" w:color="C0CDD8" w:sz="1"/>
              <w:right w:val="single" w:color="C0CDD8" w:sz="1"/>
            </w:tcBorders>
            <w:shd w:fill="0D1F33" w:val="clear"/>
            <w:tcMar>
              <w:top w:type="dxa" w:w="120"/>
              <w:left w:type="dxa" w:w="140"/>
              <w:bottom w:type="dxa" w:w="120"/>
              <w:right w:type="dxa" w:w="140"/>
            </w:tcMar>
          </w:tcPr>
          <w:p>
            <w:r>
              <w:rPr>
                <w:rFonts w:ascii="Arial" w:cs="Arial" w:eastAsia="Arial" w:hAnsi="Arial"/>
                <w:b/>
                <w:bCs/>
                <w:color w:val="FFFFFF"/>
                <w:sz w:val="17"/>
                <w:szCs w:val="17"/>
              </w:rPr>
              <w:t xml:space="preserve">Screen 1</w:t>
            </w:r>
          </w:p>
          <w:p>
            <w:pPr>
              <w:spacing w:before="40"/>
            </w:pPr>
            <w:r>
              <w:rPr>
                <w:rFonts w:ascii="Arial" w:cs="Arial" w:eastAsia="Arial" w:hAnsi="Arial"/>
                <w:b/>
                <w:bCs/>
                <w:color w:val="FFFFFF"/>
                <w:sz w:val="22"/>
                <w:szCs w:val="22"/>
              </w:rPr>
              <w:t xml:space="preserve">Alert Intake</w:t>
            </w:r>
          </w:p>
          <w:p>
            <w:pPr>
              <w:spacing w:before="60"/>
            </w:pPr>
            <w:r>
              <w:rPr>
                <w:rFonts w:ascii="Arial" w:cs="Arial" w:eastAsia="Arial" w:hAnsi="Arial"/>
                <w:color w:val="D0E4F7"/>
                <w:sz w:val="18"/>
                <w:szCs w:val="18"/>
              </w:rPr>
              <w:t xml:space="preserve">Queue view · risk sort · AI confidence filter · AI summary preview</w:t>
            </w:r>
          </w:p>
        </w:tc>
        <w:tc>
          <w:tcPr>
            <w:tcW w:type="dxa" w:w="180"/>
            <w:tcBorders>
              <w:top w:val="none" w:color="FFFFFF" w:sz="0"/>
              <w:left w:val="none" w:color="FFFFFF" w:sz="0"/>
              <w:bottom w:val="none" w:color="FFFFFF" w:sz="0"/>
              <w:right w:val="none" w:color="FFFFFF" w:sz="0"/>
            </w:tcBorders>
            <w:shd w:fill="F4F6F9" w:val="clear"/>
            <w:tcMar>
              <w:top w:type="dxa" w:w="200"/>
              <w:left w:type="dxa" w:w="20"/>
              <w:bottom w:type="dxa" w:w="0"/>
              <w:right w:type="dxa" w:w="20"/>
            </w:tcMar>
          </w:tcPr>
          <w:p>
            <w:pPr>
              <w:jc w:val="center"/>
            </w:pPr>
            <w:r>
              <w:rPr>
                <w:rFonts w:ascii="Arial" w:cs="Arial" w:eastAsia="Arial" w:hAnsi="Arial"/>
                <w:b/>
                <w:bCs/>
                <w:color w:val="2E75B6"/>
                <w:sz w:val="28"/>
                <w:szCs w:val="28"/>
              </w:rPr>
              <w:t xml:space="preserve">→</w:t>
            </w:r>
          </w:p>
        </w:tc>
        <w:tc>
          <w:tcPr>
            <w:tcW w:type="dxa" w:w="3000"/>
            <w:tcBorders>
              <w:top w:val="single" w:color="C0CDD8" w:sz="1"/>
              <w:left w:val="single" w:color="C0CDD8" w:sz="1"/>
              <w:bottom w:val="single" w:color="C0CDD8" w:sz="1"/>
              <w:right w:val="single" w:color="C0CDD8" w:sz="1"/>
            </w:tcBorders>
            <w:shd w:fill="1A5C96" w:val="clear"/>
            <w:tcMar>
              <w:top w:type="dxa" w:w="120"/>
              <w:left w:type="dxa" w:w="140"/>
              <w:bottom w:type="dxa" w:w="120"/>
              <w:right w:type="dxa" w:w="140"/>
            </w:tcMar>
          </w:tcPr>
          <w:p>
            <w:r>
              <w:rPr>
                <w:rFonts w:ascii="Arial" w:cs="Arial" w:eastAsia="Arial" w:hAnsi="Arial"/>
                <w:b/>
                <w:bCs/>
                <w:color w:val="FFFFFF"/>
                <w:sz w:val="17"/>
                <w:szCs w:val="17"/>
              </w:rPr>
              <w:t xml:space="preserve">Screen 2</w:t>
            </w:r>
          </w:p>
          <w:p>
            <w:pPr>
              <w:spacing w:before="40"/>
            </w:pPr>
            <w:r>
              <w:rPr>
                <w:rFonts w:ascii="Arial" w:cs="Arial" w:eastAsia="Arial" w:hAnsi="Arial"/>
                <w:b/>
                <w:bCs/>
                <w:color w:val="FFFFFF"/>
                <w:sz w:val="22"/>
                <w:szCs w:val="22"/>
              </w:rPr>
              <w:t xml:space="preserve">Investigation</w:t>
            </w:r>
          </w:p>
          <w:p>
            <w:pPr>
              <w:spacing w:before="60"/>
            </w:pPr>
            <w:r>
              <w:rPr>
                <w:rFonts w:ascii="Arial" w:cs="Arial" w:eastAsia="Arial" w:hAnsi="Arial"/>
                <w:color w:val="D0E4F7"/>
                <w:sz w:val="18"/>
                <w:szCs w:val="18"/>
              </w:rPr>
              <w:t xml:space="preserve">Context card · Identity profile · IP rep · Timeline · Similar alerts</w:t>
            </w:r>
          </w:p>
        </w:tc>
        <w:tc>
          <w:tcPr>
            <w:tcW w:type="dxa" w:w="180"/>
            <w:tcBorders>
              <w:top w:val="none" w:color="FFFFFF" w:sz="0"/>
              <w:left w:val="none" w:color="FFFFFF" w:sz="0"/>
              <w:bottom w:val="none" w:color="FFFFFF" w:sz="0"/>
              <w:right w:val="none" w:color="FFFFFF" w:sz="0"/>
            </w:tcBorders>
            <w:shd w:fill="F4F6F9" w:val="clear"/>
            <w:tcMar>
              <w:top w:type="dxa" w:w="200"/>
              <w:left w:type="dxa" w:w="20"/>
              <w:bottom w:type="dxa" w:w="0"/>
              <w:right w:type="dxa" w:w="20"/>
            </w:tcMar>
          </w:tcPr>
          <w:p>
            <w:pPr>
              <w:jc w:val="center"/>
            </w:pPr>
            <w:r>
              <w:rPr>
                <w:rFonts w:ascii="Arial" w:cs="Arial" w:eastAsia="Arial" w:hAnsi="Arial"/>
                <w:b/>
                <w:bCs/>
                <w:color w:val="2E75B6"/>
                <w:sz w:val="28"/>
                <w:szCs w:val="28"/>
              </w:rPr>
              <w:t xml:space="preserve">→</w:t>
            </w:r>
          </w:p>
        </w:tc>
        <w:tc>
          <w:tcPr>
            <w:tcW w:type="dxa" w:w="3000"/>
            <w:tcBorders>
              <w:top w:val="single" w:color="C0CDD8" w:sz="1"/>
              <w:left w:val="single" w:color="C0CDD8" w:sz="1"/>
              <w:bottom w:val="single" w:color="C0CDD8" w:sz="1"/>
              <w:right w:val="single" w:color="C0CDD8" w:sz="1"/>
            </w:tcBorders>
            <w:shd w:fill="215D94" w:val="clear"/>
            <w:tcMar>
              <w:top w:type="dxa" w:w="120"/>
              <w:left w:type="dxa" w:w="140"/>
              <w:bottom w:type="dxa" w:w="120"/>
              <w:right w:type="dxa" w:w="140"/>
            </w:tcMar>
          </w:tcPr>
          <w:p>
            <w:r>
              <w:rPr>
                <w:rFonts w:ascii="Arial" w:cs="Arial" w:eastAsia="Arial" w:hAnsi="Arial"/>
                <w:b/>
                <w:bCs/>
                <w:color w:val="FFFFFF"/>
                <w:sz w:val="17"/>
                <w:szCs w:val="17"/>
              </w:rPr>
              <w:t xml:space="preserve">Screen 3</w:t>
            </w:r>
          </w:p>
          <w:p>
            <w:pPr>
              <w:spacing w:before="40"/>
            </w:pPr>
            <w:r>
              <w:rPr>
                <w:rFonts w:ascii="Arial" w:cs="Arial" w:eastAsia="Arial" w:hAnsi="Arial"/>
                <w:b/>
                <w:bCs/>
                <w:color w:val="FFFFFF"/>
                <w:sz w:val="22"/>
                <w:szCs w:val="22"/>
              </w:rPr>
              <w:t xml:space="preserve">Resolution</w:t>
            </w:r>
          </w:p>
          <w:p>
            <w:pPr>
              <w:spacing w:before="60"/>
            </w:pPr>
            <w:r>
              <w:rPr>
                <w:rFonts w:ascii="Arial" w:cs="Arial" w:eastAsia="Arial" w:hAnsi="Arial"/>
                <w:color w:val="D0E4F7"/>
                <w:sz w:val="18"/>
                <w:szCs w:val="18"/>
              </w:rPr>
              <w:t xml:space="preserve">AI draft summary · Priority confirm · Route · Submit / Monitor</w:t>
            </w:r>
          </w:p>
        </w:tc>
      </w:tr>
    </w:tbl>
    <w:p>
      <w:pPr>
        <w:spacing w:before="80" w:after="0"/>
      </w:pPr>
      <w:r>
        <w:t xml:space="preserve"/>
      </w:r>
    </w:p>
    <w:p>
      <w:pPr>
        <w:spacing w:before="200" w:after="60"/>
      </w:pPr>
      <w:r>
        <w:rPr>
          <w:rFonts w:ascii="Arial" w:cs="Arial" w:eastAsia="Arial" w:hAnsi="Arial"/>
          <w:b/>
          <w:bCs/>
          <w:color w:val="1A5C96"/>
          <w:sz w:val="24"/>
          <w:szCs w:val="24"/>
        </w:rPr>
        <w:t xml:space="preserve">User Persona — On-Call SOC / SecOps Analyst</w:t>
      </w:r>
    </w:p>
    <w:p>
      <w:pPr>
        <w:pStyle w:val="ListParagraph"/>
        <w:numPr>
          <w:ilvl w:val="0"/>
          <w:numId w:val="2"/>
        </w:numPr>
        <w:spacing w:before="38" w:after="38"/>
      </w:pPr>
      <w:r>
        <w:rPr>
          <w:rFonts w:ascii="Arial" w:cs="Arial" w:eastAsia="Arial" w:hAnsi="Arial"/>
          <w:color w:val="555555"/>
          <w:sz w:val="21"/>
          <w:szCs w:val="21"/>
        </w:rPr>
        <w:t xml:space="preserve">Handles 50–300 alerts per shift across AWS, GCP, or Azure tenants</w:t>
      </w:r>
    </w:p>
    <w:p>
      <w:pPr>
        <w:pStyle w:val="ListParagraph"/>
        <w:numPr>
          <w:ilvl w:val="0"/>
          <w:numId w:val="2"/>
        </w:numPr>
        <w:spacing w:before="38" w:after="38"/>
      </w:pPr>
      <w:r>
        <w:rPr>
          <w:rFonts w:ascii="Arial" w:cs="Arial" w:eastAsia="Arial" w:hAnsi="Arial"/>
          <w:color w:val="555555"/>
          <w:sz w:val="21"/>
          <w:szCs w:val="21"/>
        </w:rPr>
        <w:t xml:space="preserve">Must make three rapid calls per alert: Is it real? How severe? What action now?</w:t>
      </w:r>
    </w:p>
    <w:p>
      <w:pPr>
        <w:pStyle w:val="ListParagraph"/>
        <w:numPr>
          <w:ilvl w:val="0"/>
          <w:numId w:val="2"/>
        </w:numPr>
        <w:spacing w:before="38" w:after="38"/>
      </w:pPr>
      <w:r>
        <w:rPr>
          <w:rFonts w:ascii="Arial" w:cs="Arial" w:eastAsia="Arial" w:hAnsi="Arial"/>
          <w:color w:val="555555"/>
          <w:sz w:val="21"/>
          <w:szCs w:val="21"/>
        </w:rPr>
        <w:t xml:space="preserve">Operates under time pressure: on-call SLAs, escalation chains, shift handoffs</w:t>
      </w:r>
    </w:p>
    <w:p>
      <w:pPr>
        <w:pStyle w:val="ListParagraph"/>
        <w:numPr>
          <w:ilvl w:val="0"/>
          <w:numId w:val="2"/>
        </w:numPr>
        <w:spacing w:before="38" w:after="38"/>
      </w:pPr>
      <w:r>
        <w:rPr>
          <w:rFonts w:ascii="Arial" w:cs="Arial" w:eastAsia="Arial" w:hAnsi="Arial"/>
          <w:color w:val="555555"/>
          <w:sz w:val="21"/>
          <w:szCs w:val="21"/>
        </w:rPr>
        <w:t xml:space="preserve">Works with incomplete data: ownership tags missing, logs delayed, asset records stale</w:t>
      </w:r>
    </w:p>
    <w:p>
      <w:pPr>
        <w:pStyle w:val="ListParagraph"/>
        <w:numPr>
          <w:ilvl w:val="0"/>
          <w:numId w:val="2"/>
        </w:numPr>
        <w:spacing w:before="38" w:after="38"/>
      </w:pPr>
      <w:r>
        <w:rPr>
          <w:rFonts w:ascii="Arial" w:cs="Arial" w:eastAsia="Arial" w:hAnsi="Arial"/>
          <w:color w:val="555555"/>
          <w:sz w:val="21"/>
          <w:szCs w:val="21"/>
        </w:rPr>
        <w:t xml:space="preserve">Suffers alert fatigue — when context is hard to gather, alerts get silently dismissed</w:t>
      </w:r>
    </w:p>
    <w:p>
      <w:pPr>
        <w:spacing w:before="50" w:after="0"/>
      </w:pPr>
      <w:r>
        <w:t xml:space="preserve"/>
      </w:r>
    </w:p>
    <w:p>
      <w:pPr>
        <w:spacing w:before="50" w:after="50"/>
      </w:pPr>
      <w:r>
        <w:rPr>
          <w:rFonts w:ascii="Arial" w:cs="Arial" w:eastAsia="Arial" w:hAnsi="Arial"/>
          <w:b/>
          <w:bCs/>
          <w:color w:val="555555"/>
          <w:sz w:val="21"/>
          <w:szCs w:val="21"/>
        </w:rPr>
        <w:t xml:space="preserve">The current avg response time is 4.2 minutes</w:t>
      </w:r>
      <w:r>
        <w:rPr>
          <w:rFonts w:ascii="Arial" w:cs="Arial" w:eastAsia="Arial" w:hAnsi="Arial"/>
          <w:color w:val="555555"/>
          <w:sz w:val="21"/>
          <w:szCs w:val="21"/>
        </w:rPr>
        <w:t xml:space="preserve"> (visible on the intake dashboard). That is a meaningful baseline. The goal of every proposed improvement is to drive that number down without sacrificing decision quality.</w:t>
      </w:r>
    </w:p>
    <w:p>
      <w:pPr>
        <w:spacing w:before="140" w:after="0"/>
      </w:pPr>
      <w:r>
        <w:t xml:space="preserve"/>
      </w:r>
    </w:p>
    <w:p>
      <w:pPr>
        <w:pBdr>
          <w:bottom w:val="single" w:color="2E75B6" w:sz="8" w:space="2"/>
        </w:pBdr>
        <w:spacing w:before="300" w:after="60"/>
      </w:pPr>
      <w:r>
        <w:rPr>
          <w:rFonts w:ascii="Arial" w:cs="Arial" w:eastAsia="Arial" w:hAnsi="Arial"/>
          <w:b/>
          <w:bCs/>
          <w:color w:val="0D1F33"/>
          <w:sz w:val="30"/>
          <w:szCs w:val="30"/>
        </w:rPr>
        <w:t xml:space="preserve">2.  Gap Analysis, Proposed Features &amp; Prioritization</w:t>
      </w:r>
    </w:p>
    <w:p>
      <w:pPr>
        <w:spacing w:before="30" w:after="0"/>
      </w:pPr>
      <w:r>
        <w:t xml:space="preserve"/>
      </w:r>
    </w:p>
    <w:p>
      <w:pPr>
        <w:spacing w:before="50" w:after="50"/>
      </w:pPr>
      <w:r>
        <w:rPr>
          <w:rFonts w:ascii="Arial" w:cs="Arial" w:eastAsia="Arial" w:hAnsi="Arial"/>
          <w:color w:val="555555"/>
          <w:sz w:val="21"/>
          <w:szCs w:val="21"/>
        </w:rPr>
        <w:t xml:space="preserve">Each gap below was identified directly from the three UI screens. Features are prioritized by their impact on speed-to-decision and cognitive load — the two levers that determine whether this product wins trust from on-call engineers.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8D8E8" w:sz="1"/>
              <w:left w:val="single" w:color="C8D8E8" w:sz="1"/>
              <w:bottom w:val="single" w:color="C8D8E8" w:sz="1"/>
              <w:right w:val="single" w:color="C8D8E8" w:sz="1"/>
            </w:tcBorders>
            <w:shd w:fill="0D1F33" w:val="clear"/>
            <w:tcMar>
              <w:top w:type="dxa" w:w="90"/>
              <w:left w:type="dxa" w:w="130"/>
              <w:bottom w:type="dxa" w:w="90"/>
              <w:right w:type="dxa" w:w="130"/>
            </w:tcMar>
          </w:tcPr>
          <w:p>
            <w:r>
              <w:rPr>
                <w:rFonts w:ascii="Arial" w:cs="Arial" w:eastAsia="Arial" w:hAnsi="Arial"/>
                <w:b/>
                <w:bCs/>
                <w:color w:val="FFFFFF"/>
                <w:sz w:val="19"/>
                <w:szCs w:val="19"/>
              </w:rPr>
              <w:t xml:space="preserve">Gap Observed in UI</w:t>
            </w:r>
          </w:p>
        </w:tc>
        <w:tc>
          <w:tcPr>
            <w:tcW w:type="dxa" w:w="1400"/>
            <w:tcBorders>
              <w:top w:val="single" w:color="C8D8E8" w:sz="1"/>
              <w:left w:val="single" w:color="C8D8E8" w:sz="1"/>
              <w:bottom w:val="single" w:color="C8D8E8" w:sz="1"/>
              <w:right w:val="single" w:color="C8D8E8" w:sz="1"/>
            </w:tcBorders>
            <w:shd w:fill="0D1F33" w:val="clear"/>
            <w:tcMar>
              <w:top w:type="dxa" w:w="90"/>
              <w:left w:type="dxa" w:w="130"/>
              <w:bottom w:type="dxa" w:w="90"/>
              <w:right w:type="dxa" w:w="130"/>
            </w:tcMar>
          </w:tcPr>
          <w:p>
            <w:r>
              <w:rPr>
                <w:rFonts w:ascii="Arial" w:cs="Arial" w:eastAsia="Arial" w:hAnsi="Arial"/>
                <w:b/>
                <w:bCs/>
                <w:color w:val="FFFFFF"/>
                <w:sz w:val="19"/>
                <w:szCs w:val="19"/>
              </w:rPr>
              <w:t xml:space="preserve">Priority</w:t>
            </w:r>
          </w:p>
        </w:tc>
        <w:tc>
          <w:tcPr>
            <w:tcW w:type="dxa" w:w="5160"/>
            <w:tcBorders>
              <w:top w:val="single" w:color="C8D8E8" w:sz="1"/>
              <w:left w:val="single" w:color="C8D8E8" w:sz="1"/>
              <w:bottom w:val="single" w:color="C8D8E8" w:sz="1"/>
              <w:right w:val="single" w:color="C8D8E8" w:sz="1"/>
            </w:tcBorders>
            <w:shd w:fill="0D1F33" w:val="clear"/>
            <w:tcMar>
              <w:top w:type="dxa" w:w="90"/>
              <w:left w:type="dxa" w:w="130"/>
              <w:bottom w:type="dxa" w:w="90"/>
              <w:right w:type="dxa" w:w="130"/>
            </w:tcMar>
          </w:tcPr>
          <w:p>
            <w:r>
              <w:rPr>
                <w:rFonts w:ascii="Arial" w:cs="Arial" w:eastAsia="Arial" w:hAnsi="Arial"/>
                <w:b/>
                <w:bCs/>
                <w:color w:val="FFFFFF"/>
                <w:sz w:val="19"/>
                <w:szCs w:val="19"/>
              </w:rPr>
              <w:t xml:space="preserve">Proposed Fix</w:t>
            </w:r>
          </w:p>
        </w:tc>
      </w:tr>
      <w:tr>
        <w:tc>
          <w:tcPr>
            <w:tcW w:type="dxa" w:w="2800"/>
            <w:tcBorders>
              <w:top w:val="single" w:color="C8D8E8" w:sz="1"/>
              <w:left w:val="single" w:color="C8D8E8" w:sz="1"/>
              <w:bottom w:val="single" w:color="C8D8E8" w:sz="1"/>
              <w:right w:val="single" w:color="C8D8E8" w:sz="1"/>
            </w:tcBorders>
            <w:shd w:fill="FFF9E6" w:val="clear"/>
            <w:tcMar>
              <w:top w:type="dxa" w:w="90"/>
              <w:left w:type="dxa" w:w="130"/>
              <w:bottom w:type="dxa" w:w="90"/>
              <w:right w:type="dxa" w:w="130"/>
            </w:tcMar>
          </w:tcPr>
          <w:p>
            <w:r>
              <w:rPr>
                <w:rFonts w:ascii="Arial" w:cs="Arial" w:eastAsia="Arial" w:hAnsi="Arial"/>
                <w:b w:val="false"/>
                <w:bCs w:val="false"/>
                <w:color w:val="555555"/>
                <w:sz w:val="19"/>
                <w:szCs w:val="19"/>
              </w:rPr>
              <w:t xml:space="preserve">AI confidence slider (0%+) has no upper bound anchor</w:t>
            </w:r>
          </w:p>
        </w:tc>
        <w:tc>
          <w:tcPr>
            <w:tcW w:type="dxa" w:w="1400"/>
            <w:tcBorders>
              <w:top w:val="single" w:color="C8D8E8" w:sz="1"/>
              <w:left w:val="single" w:color="C8D8E8" w:sz="1"/>
              <w:bottom w:val="single" w:color="C8D8E8" w:sz="1"/>
              <w:right w:val="single" w:color="C8D8E8" w:sz="1"/>
            </w:tcBorders>
            <w:shd w:fill="FFF9E6" w:val="clear"/>
            <w:tcMar>
              <w:top w:type="dxa" w:w="90"/>
              <w:left w:type="dxa" w:w="130"/>
              <w:bottom w:type="dxa" w:w="90"/>
              <w:right w:type="dxa" w:w="130"/>
            </w:tcMar>
          </w:tcPr>
          <w:p>
            <w:r>
              <w:rPr>
                <w:rFonts w:ascii="Arial" w:cs="Arial" w:eastAsia="Arial" w:hAnsi="Arial"/>
                <w:b/>
                <w:bCs/>
                <w:color w:val="D97706"/>
                <w:sz w:val="19"/>
                <w:szCs w:val="19"/>
              </w:rPr>
              <w:t xml:space="preserve">Medium</w:t>
            </w:r>
          </w:p>
        </w:tc>
        <w:tc>
          <w:tcPr>
            <w:tcW w:type="dxa" w:w="5160"/>
            <w:tcBorders>
              <w:top w:val="single" w:color="C8D8E8" w:sz="1"/>
              <w:left w:val="single" w:color="C8D8E8" w:sz="1"/>
              <w:bottom w:val="single" w:color="C8D8E8" w:sz="1"/>
              <w:right w:val="single" w:color="C8D8E8" w:sz="1"/>
            </w:tcBorders>
            <w:shd w:fill="FFF9E6" w:val="clear"/>
            <w:tcMar>
              <w:top w:type="dxa" w:w="90"/>
              <w:left w:type="dxa" w:w="130"/>
              <w:bottom w:type="dxa" w:w="90"/>
              <w:right w:type="dxa" w:w="130"/>
            </w:tcMar>
          </w:tcPr>
          <w:p>
            <w:r>
              <w:rPr>
                <w:rFonts w:ascii="Arial" w:cs="Arial" w:eastAsia="Arial" w:hAnsi="Arial"/>
                <w:b w:val="false"/>
                <w:bCs w:val="false"/>
                <w:color w:val="555555"/>
                <w:sz w:val="19"/>
                <w:szCs w:val="19"/>
              </w:rPr>
              <w:t xml:space="preserve">Replace with preset bands (50%+, 75%+, 90%+) — continuous sliders with no reference points increase decision time, not reduce it</w:t>
            </w:r>
          </w:p>
        </w:tc>
      </w:tr>
      <w:tr>
        <w:tc>
          <w:tcPr>
            <w:tcW w:type="dxa" w:w="2800"/>
            <w:tcBorders>
              <w:top w:val="single" w:color="C8D8E8" w:sz="1"/>
              <w:left w:val="single" w:color="C8D8E8" w:sz="1"/>
              <w:bottom w:val="single" w:color="C8D8E8" w:sz="1"/>
              <w:right w:val="single" w:color="C8D8E8" w:sz="1"/>
            </w:tcBorders>
            <w:shd w:fill="FDECEA" w:val="clear"/>
            <w:tcMar>
              <w:top w:type="dxa" w:w="90"/>
              <w:left w:type="dxa" w:w="130"/>
              <w:bottom w:type="dxa" w:w="90"/>
              <w:right w:type="dxa" w:w="130"/>
            </w:tcMar>
          </w:tcPr>
          <w:p>
            <w:r>
              <w:rPr>
                <w:rFonts w:ascii="Arial" w:cs="Arial" w:eastAsia="Arial" w:hAnsi="Arial"/>
                <w:b w:val="false"/>
                <w:bCs w:val="false"/>
                <w:color w:val="555555"/>
                <w:sz w:val="19"/>
                <w:szCs w:val="19"/>
              </w:rPr>
              <w:t xml:space="preserve">Resolution screen: no feedback loop after Submit</w:t>
            </w:r>
          </w:p>
        </w:tc>
        <w:tc>
          <w:tcPr>
            <w:tcW w:type="dxa" w:w="1400"/>
            <w:tcBorders>
              <w:top w:val="single" w:color="C8D8E8" w:sz="1"/>
              <w:left w:val="single" w:color="C8D8E8" w:sz="1"/>
              <w:bottom w:val="single" w:color="C8D8E8" w:sz="1"/>
              <w:right w:val="single" w:color="C8D8E8" w:sz="1"/>
            </w:tcBorders>
            <w:shd w:fill="FDECEA" w:val="clear"/>
            <w:tcMar>
              <w:top w:type="dxa" w:w="90"/>
              <w:left w:type="dxa" w:w="130"/>
              <w:bottom w:type="dxa" w:w="90"/>
              <w:right w:type="dxa" w:w="130"/>
            </w:tcMar>
          </w:tcPr>
          <w:p>
            <w:r>
              <w:rPr>
                <w:rFonts w:ascii="Arial" w:cs="Arial" w:eastAsia="Arial" w:hAnsi="Arial"/>
                <w:b/>
                <w:bCs/>
                <w:color w:val="C0392B"/>
                <w:sz w:val="19"/>
                <w:szCs w:val="19"/>
              </w:rPr>
              <w:t xml:space="preserve">High</w:t>
            </w:r>
          </w:p>
        </w:tc>
        <w:tc>
          <w:tcPr>
            <w:tcW w:type="dxa" w:w="5160"/>
            <w:tcBorders>
              <w:top w:val="single" w:color="C8D8E8" w:sz="1"/>
              <w:left w:val="single" w:color="C8D8E8" w:sz="1"/>
              <w:bottom w:val="single" w:color="C8D8E8" w:sz="1"/>
              <w:right w:val="single" w:color="C8D8E8" w:sz="1"/>
            </w:tcBorders>
            <w:shd w:fill="FDECEA" w:val="clear"/>
            <w:tcMar>
              <w:top w:type="dxa" w:w="90"/>
              <w:left w:type="dxa" w:w="130"/>
              <w:bottom w:type="dxa" w:w="90"/>
              <w:right w:type="dxa" w:w="130"/>
            </w:tcMar>
          </w:tcPr>
          <w:p>
            <w:r>
              <w:rPr>
                <w:rFonts w:ascii="Arial" w:cs="Arial" w:eastAsia="Arial" w:hAnsi="Arial"/>
                <w:b w:val="false"/>
                <w:bCs w:val="false"/>
                <w:color w:val="555555"/>
                <w:sz w:val="19"/>
                <w:szCs w:val="19"/>
              </w:rPr>
              <w:t xml:space="preserve">Add a mandatory one-click close reason (True Positive · False Positive · Expected Behaviour · Duplicate) before submission to power scoring tuning</w:t>
            </w:r>
          </w:p>
        </w:tc>
      </w:tr>
      <w:tr>
        <w:tc>
          <w:tcPr>
            <w:tcW w:type="dxa" w:w="2800"/>
            <w:tcBorders>
              <w:top w:val="single" w:color="C8D8E8" w:sz="1"/>
              <w:left w:val="single" w:color="C8D8E8" w:sz="1"/>
              <w:bottom w:val="single" w:color="C8D8E8" w:sz="1"/>
              <w:right w:val="single" w:color="C8D8E8" w:sz="1"/>
            </w:tcBorders>
            <w:shd w:fill="FDECEA" w:val="clear"/>
            <w:tcMar>
              <w:top w:type="dxa" w:w="90"/>
              <w:left w:type="dxa" w:w="130"/>
              <w:bottom w:type="dxa" w:w="90"/>
              <w:right w:type="dxa" w:w="130"/>
            </w:tcMar>
          </w:tcPr>
          <w:p>
            <w:r>
              <w:rPr>
                <w:rFonts w:ascii="Arial" w:cs="Arial" w:eastAsia="Arial" w:hAnsi="Arial"/>
                <w:b w:val="false"/>
                <w:bCs w:val="false"/>
                <w:color w:val="555555"/>
                <w:sz w:val="19"/>
                <w:szCs w:val="19"/>
              </w:rPr>
              <w:t xml:space="preserve">Intake card shows AI summary but not owner or blast radius</w:t>
            </w:r>
          </w:p>
        </w:tc>
        <w:tc>
          <w:tcPr>
            <w:tcW w:type="dxa" w:w="1400"/>
            <w:tcBorders>
              <w:top w:val="single" w:color="C8D8E8" w:sz="1"/>
              <w:left w:val="single" w:color="C8D8E8" w:sz="1"/>
              <w:bottom w:val="single" w:color="C8D8E8" w:sz="1"/>
              <w:right w:val="single" w:color="C8D8E8" w:sz="1"/>
            </w:tcBorders>
            <w:shd w:fill="FDECEA" w:val="clear"/>
            <w:tcMar>
              <w:top w:type="dxa" w:w="90"/>
              <w:left w:type="dxa" w:w="130"/>
              <w:bottom w:type="dxa" w:w="90"/>
              <w:right w:type="dxa" w:w="130"/>
            </w:tcMar>
          </w:tcPr>
          <w:p>
            <w:r>
              <w:rPr>
                <w:rFonts w:ascii="Arial" w:cs="Arial" w:eastAsia="Arial" w:hAnsi="Arial"/>
                <w:b/>
                <w:bCs/>
                <w:color w:val="C0392B"/>
                <w:sz w:val="19"/>
                <w:szCs w:val="19"/>
              </w:rPr>
              <w:t xml:space="preserve">High</w:t>
            </w:r>
          </w:p>
        </w:tc>
        <w:tc>
          <w:tcPr>
            <w:tcW w:type="dxa" w:w="5160"/>
            <w:tcBorders>
              <w:top w:val="single" w:color="C8D8E8" w:sz="1"/>
              <w:left w:val="single" w:color="C8D8E8" w:sz="1"/>
              <w:bottom w:val="single" w:color="C8D8E8" w:sz="1"/>
              <w:right w:val="single" w:color="C8D8E8" w:sz="1"/>
            </w:tcBorders>
            <w:shd w:fill="FDECEA" w:val="clear"/>
            <w:tcMar>
              <w:top w:type="dxa" w:w="90"/>
              <w:left w:type="dxa" w:w="130"/>
              <w:bottom w:type="dxa" w:w="90"/>
              <w:right w:type="dxa" w:w="130"/>
            </w:tcMar>
          </w:tcPr>
          <w:p>
            <w:r>
              <w:rPr>
                <w:rFonts w:ascii="Arial" w:cs="Arial" w:eastAsia="Arial" w:hAnsi="Arial"/>
                <w:b w:val="false"/>
                <w:bCs w:val="false"/>
                <w:color w:val="555555"/>
                <w:sz w:val="19"/>
                <w:szCs w:val="19"/>
              </w:rPr>
              <w:t xml:space="preserve">Surface resource owner and estimated blast radius (e.g. '3 S3 buckets at risk') directly on the queue card — eliminates the need to drill in just to triage severity</w:t>
            </w:r>
          </w:p>
        </w:tc>
      </w:tr>
      <w:tr>
        <w:tc>
          <w:tcPr>
            <w:tcW w:type="dxa" w:w="2800"/>
            <w:tcBorders>
              <w:top w:val="single" w:color="C8D8E8" w:sz="1"/>
              <w:left w:val="single" w:color="C8D8E8" w:sz="1"/>
              <w:bottom w:val="single" w:color="C8D8E8" w:sz="1"/>
              <w:right w:val="single" w:color="C8D8E8" w:sz="1"/>
            </w:tcBorders>
            <w:shd w:fill="FFF9E6" w:val="clear"/>
            <w:tcMar>
              <w:top w:type="dxa" w:w="90"/>
              <w:left w:type="dxa" w:w="130"/>
              <w:bottom w:type="dxa" w:w="90"/>
              <w:right w:type="dxa" w:w="130"/>
            </w:tcMar>
          </w:tcPr>
          <w:p>
            <w:r>
              <w:rPr>
                <w:rFonts w:ascii="Arial" w:cs="Arial" w:eastAsia="Arial" w:hAnsi="Arial"/>
                <w:b w:val="false"/>
                <w:bCs w:val="false"/>
                <w:color w:val="555555"/>
                <w:sz w:val="19"/>
                <w:szCs w:val="19"/>
              </w:rPr>
              <w:t xml:space="preserve">Investigation view: Similar Past Alerts panel exists but outcomes hidden</w:t>
            </w:r>
          </w:p>
        </w:tc>
        <w:tc>
          <w:tcPr>
            <w:tcW w:type="dxa" w:w="1400"/>
            <w:tcBorders>
              <w:top w:val="single" w:color="C8D8E8" w:sz="1"/>
              <w:left w:val="single" w:color="C8D8E8" w:sz="1"/>
              <w:bottom w:val="single" w:color="C8D8E8" w:sz="1"/>
              <w:right w:val="single" w:color="C8D8E8" w:sz="1"/>
            </w:tcBorders>
            <w:shd w:fill="FFF9E6" w:val="clear"/>
            <w:tcMar>
              <w:top w:type="dxa" w:w="90"/>
              <w:left w:type="dxa" w:w="130"/>
              <w:bottom w:type="dxa" w:w="90"/>
              <w:right w:type="dxa" w:w="130"/>
            </w:tcMar>
          </w:tcPr>
          <w:p>
            <w:r>
              <w:rPr>
                <w:rFonts w:ascii="Arial" w:cs="Arial" w:eastAsia="Arial" w:hAnsi="Arial"/>
                <w:b/>
                <w:bCs/>
                <w:color w:val="D97706"/>
                <w:sz w:val="19"/>
                <w:szCs w:val="19"/>
              </w:rPr>
              <w:t xml:space="preserve">Medium</w:t>
            </w:r>
          </w:p>
        </w:tc>
        <w:tc>
          <w:tcPr>
            <w:tcW w:type="dxa" w:w="5160"/>
            <w:tcBorders>
              <w:top w:val="single" w:color="C8D8E8" w:sz="1"/>
              <w:left w:val="single" w:color="C8D8E8" w:sz="1"/>
              <w:bottom w:val="single" w:color="C8D8E8" w:sz="1"/>
              <w:right w:val="single" w:color="C8D8E8" w:sz="1"/>
            </w:tcBorders>
            <w:shd w:fill="FFF9E6" w:val="clear"/>
            <w:tcMar>
              <w:top w:type="dxa" w:w="90"/>
              <w:left w:type="dxa" w:w="130"/>
              <w:bottom w:type="dxa" w:w="90"/>
              <w:right w:type="dxa" w:w="130"/>
            </w:tcMar>
          </w:tcPr>
          <w:p>
            <w:r>
              <w:rPr>
                <w:rFonts w:ascii="Arial" w:cs="Arial" w:eastAsia="Arial" w:hAnsi="Arial"/>
                <w:b w:val="false"/>
                <w:bCs w:val="false"/>
                <w:color w:val="555555"/>
                <w:sz w:val="19"/>
                <w:szCs w:val="19"/>
              </w:rPr>
              <w:t xml:space="preserve">Show resolution outcome inline (FP / TP / Escalated) next to each similar alert — without outcome context, the panel adds noise rather than signal</w:t>
            </w:r>
          </w:p>
        </w:tc>
      </w:tr>
      <w:tr>
        <w:tc>
          <w:tcPr>
            <w:tcW w:type="dxa" w:w="2800"/>
            <w:tcBorders>
              <w:top w:val="single" w:color="C8D8E8" w:sz="1"/>
              <w:left w:val="single" w:color="C8D8E8" w:sz="1"/>
              <w:bottom w:val="single" w:color="C8D8E8" w:sz="1"/>
              <w:right w:val="single" w:color="C8D8E8" w:sz="1"/>
            </w:tcBorders>
            <w:shd w:fill="F0F4F8" w:val="clear"/>
            <w:tcMar>
              <w:top w:type="dxa" w:w="90"/>
              <w:left w:type="dxa" w:w="130"/>
              <w:bottom w:type="dxa" w:w="90"/>
              <w:right w:type="dxa" w:w="130"/>
            </w:tcMar>
          </w:tcPr>
          <w:p>
            <w:r>
              <w:rPr>
                <w:rFonts w:ascii="Arial" w:cs="Arial" w:eastAsia="Arial" w:hAnsi="Arial"/>
                <w:b w:val="false"/>
                <w:bCs w:val="false"/>
                <w:color w:val="555555"/>
                <w:sz w:val="19"/>
                <w:szCs w:val="19"/>
              </w:rPr>
              <w:t xml:space="preserve">No deduplication indicator on intake dashboard</w:t>
            </w:r>
          </w:p>
        </w:tc>
        <w:tc>
          <w:tcPr>
            <w:tcW w:type="dxa" w:w="1400"/>
            <w:tcBorders>
              <w:top w:val="single" w:color="C8D8E8" w:sz="1"/>
              <w:left w:val="single" w:color="C8D8E8" w:sz="1"/>
              <w:bottom w:val="single" w:color="C8D8E8" w:sz="1"/>
              <w:right w:val="single" w:color="C8D8E8" w:sz="1"/>
            </w:tcBorders>
            <w:shd w:fill="F0F4F8" w:val="clear"/>
            <w:tcMar>
              <w:top w:type="dxa" w:w="90"/>
              <w:left w:type="dxa" w:w="130"/>
              <w:bottom w:type="dxa" w:w="90"/>
              <w:right w:type="dxa" w:w="130"/>
            </w:tcMar>
          </w:tcPr>
          <w:p>
            <w:r>
              <w:rPr>
                <w:rFonts w:ascii="Arial" w:cs="Arial" w:eastAsia="Arial" w:hAnsi="Arial"/>
                <w:b/>
                <w:bCs/>
                <w:color w:val="1A5C96"/>
                <w:sz w:val="19"/>
                <w:szCs w:val="19"/>
              </w:rPr>
              <w:t xml:space="preserve">Low</w:t>
            </w:r>
          </w:p>
        </w:tc>
        <w:tc>
          <w:tcPr>
            <w:tcW w:type="dxa" w:w="5160"/>
            <w:tcBorders>
              <w:top w:val="single" w:color="C8D8E8" w:sz="1"/>
              <w:left w:val="single" w:color="C8D8E8" w:sz="1"/>
              <w:bottom w:val="single" w:color="C8D8E8" w:sz="1"/>
              <w:right w:val="single" w:color="C8D8E8" w:sz="1"/>
            </w:tcBorders>
            <w:shd w:fill="F0F4F8" w:val="clear"/>
            <w:tcMar>
              <w:top w:type="dxa" w:w="90"/>
              <w:left w:type="dxa" w:w="130"/>
              <w:bottom w:type="dxa" w:w="90"/>
              <w:right w:type="dxa" w:w="130"/>
            </w:tcMar>
          </w:tcPr>
          <w:p>
            <w:r>
              <w:rPr>
                <w:rFonts w:ascii="Arial" w:cs="Arial" w:eastAsia="Arial" w:hAnsi="Arial"/>
                <w:b w:val="false"/>
                <w:bCs w:val="false"/>
                <w:color w:val="555555"/>
                <w:sz w:val="19"/>
                <w:szCs w:val="19"/>
              </w:rPr>
              <w:t xml:space="preserve">Badge duplicate/related alerts with a link count — e.g. '+ 2 related' — so analysts know when multiple alerts describe the same underlying event</w:t>
            </w:r>
          </w:p>
        </w:tc>
      </w:tr>
      <w:tr>
        <w:tc>
          <w:tcPr>
            <w:tcW w:type="dxa" w:w="2800"/>
            <w:tcBorders>
              <w:top w:val="single" w:color="C8D8E8" w:sz="1"/>
              <w:left w:val="single" w:color="C8D8E8" w:sz="1"/>
              <w:bottom w:val="single" w:color="C8D8E8" w:sz="1"/>
              <w:right w:val="single" w:color="C8D8E8" w:sz="1"/>
            </w:tcBorders>
            <w:shd w:fill="FDECEA" w:val="clear"/>
            <w:tcMar>
              <w:top w:type="dxa" w:w="90"/>
              <w:left w:type="dxa" w:w="130"/>
              <w:bottom w:type="dxa" w:w="90"/>
              <w:right w:type="dxa" w:w="130"/>
            </w:tcMar>
          </w:tcPr>
          <w:p>
            <w:r>
              <w:rPr>
                <w:rFonts w:ascii="Arial" w:cs="Arial" w:eastAsia="Arial" w:hAnsi="Arial"/>
                <w:b w:val="false"/>
                <w:bCs w:val="false"/>
                <w:color w:val="555555"/>
                <w:sz w:val="19"/>
                <w:szCs w:val="19"/>
              </w:rPr>
              <w:t xml:space="preserve">Inline runbook / remediation steps absent from investigation view</w:t>
            </w:r>
          </w:p>
        </w:tc>
        <w:tc>
          <w:tcPr>
            <w:tcW w:type="dxa" w:w="1400"/>
            <w:tcBorders>
              <w:top w:val="single" w:color="C8D8E8" w:sz="1"/>
              <w:left w:val="single" w:color="C8D8E8" w:sz="1"/>
              <w:bottom w:val="single" w:color="C8D8E8" w:sz="1"/>
              <w:right w:val="single" w:color="C8D8E8" w:sz="1"/>
            </w:tcBorders>
            <w:shd w:fill="FDECEA" w:val="clear"/>
            <w:tcMar>
              <w:top w:type="dxa" w:w="90"/>
              <w:left w:type="dxa" w:w="130"/>
              <w:bottom w:type="dxa" w:w="90"/>
              <w:right w:type="dxa" w:w="130"/>
            </w:tcMar>
          </w:tcPr>
          <w:p>
            <w:r>
              <w:rPr>
                <w:rFonts w:ascii="Arial" w:cs="Arial" w:eastAsia="Arial" w:hAnsi="Arial"/>
                <w:b/>
                <w:bCs/>
                <w:color w:val="C0392B"/>
                <w:sz w:val="19"/>
                <w:szCs w:val="19"/>
              </w:rPr>
              <w:t xml:space="preserve">High</w:t>
            </w:r>
          </w:p>
        </w:tc>
        <w:tc>
          <w:tcPr>
            <w:tcW w:type="dxa" w:w="5160"/>
            <w:tcBorders>
              <w:top w:val="single" w:color="C8D8E8" w:sz="1"/>
              <w:left w:val="single" w:color="C8D8E8" w:sz="1"/>
              <w:bottom w:val="single" w:color="C8D8E8" w:sz="1"/>
              <w:right w:val="single" w:color="C8D8E8" w:sz="1"/>
            </w:tcBorders>
            <w:shd w:fill="FDECEA" w:val="clear"/>
            <w:tcMar>
              <w:top w:type="dxa" w:w="90"/>
              <w:left w:type="dxa" w:w="130"/>
              <w:bottom w:type="dxa" w:w="90"/>
              <w:right w:type="dxa" w:w="130"/>
            </w:tcMar>
          </w:tcPr>
          <w:p>
            <w:r>
              <w:rPr>
                <w:rFonts w:ascii="Arial" w:cs="Arial" w:eastAsia="Arial" w:hAnsi="Arial"/>
                <w:b w:val="false"/>
                <w:bCs w:val="false"/>
                <w:color w:val="555555"/>
                <w:sz w:val="19"/>
                <w:szCs w:val="19"/>
              </w:rPr>
              <w:t xml:space="preserve">For top 20 alert types, embed a 3-step action checklist in the investigation screen — not a wiki link, but a contextual checklist scoped to this alert type and resource</w:t>
            </w:r>
          </w:p>
        </w:tc>
      </w:tr>
    </w:tbl>
    <w:p>
      <w:pPr>
        <w:spacing w:before="100" w:after="0"/>
      </w:pPr>
      <w:r>
        <w:t xml:space="preserve"/>
      </w:r>
    </w:p>
    <w:p>
      <w:pPr>
        <w:spacing w:before="200" w:after="60"/>
      </w:pPr>
      <w:r>
        <w:rPr>
          <w:rFonts w:ascii="Arial" w:cs="Arial" w:eastAsia="Arial" w:hAnsi="Arial"/>
          <w:b/>
          <w:bCs/>
          <w:color w:val="1A5C96"/>
          <w:sz w:val="24"/>
          <w:szCs w:val="24"/>
        </w:rPr>
        <w:t xml:space="preserve">Prioritization Logic</w:t>
      </w:r>
    </w:p>
    <w:p>
      <w:pPr>
        <w:spacing w:before="50" w:after="50"/>
      </w:pPr>
      <w:r>
        <w:rPr>
          <w:rFonts w:ascii="Arial" w:cs="Arial" w:eastAsia="Arial" w:hAnsi="Arial"/>
          <w:color w:val="555555"/>
          <w:sz w:val="21"/>
          <w:szCs w:val="21"/>
        </w:rPr>
        <w:t xml:space="preserve">The three High-priority gaps share one property: they all create dead-end moments where the analyst has the alert open but cannot make a decision without leaving the screen. Eliminating these is the fastest path to reducing avg response time and restoring confidence in the triage queue.</w:t>
      </w:r>
    </w:p>
    <w:p>
      <w:pPr>
        <w:spacing w:before="50" w:after="0"/>
      </w:pPr>
      <w:r>
        <w:t xml:space="preserve"/>
      </w:r>
    </w:p>
    <w:p>
      <w:pPr>
        <w:spacing w:before="50" w:after="50"/>
      </w:pPr>
      <w:r>
        <w:rPr>
          <w:rFonts w:ascii="Arial" w:cs="Arial" w:eastAsia="Arial" w:hAnsi="Arial"/>
          <w:color w:val="555555"/>
          <w:sz w:val="21"/>
          <w:szCs w:val="21"/>
        </w:rPr>
        <w:t xml:space="preserve">The Medium gaps (AI confidence slider UX, similar alert outcome display) reduce noise and build trust in the AI layer over time — important, but the analyst can still function without them today.</w:t>
      </w:r>
    </w:p>
    <w:p>
      <w:pPr>
        <w:spacing w:before="50" w:after="0"/>
      </w:pPr>
      <w:r>
        <w:t xml:space="preserve"/>
      </w:r>
    </w:p>
    <w:p>
      <w:pPr>
        <w:spacing w:before="50" w:after="50"/>
      </w:pPr>
      <w:r>
        <w:rPr>
          <w:rFonts w:ascii="Arial" w:cs="Arial" w:eastAsia="Arial" w:hAnsi="Arial"/>
          <w:color w:val="555555"/>
          <w:sz w:val="21"/>
          <w:szCs w:val="21"/>
        </w:rPr>
        <w:t xml:space="preserve">The Low gap (deduplication badging) is a quality-of-life improvement that becomes more valuable as alert volume scales. Build it after the feedback loop is closed.</w:t>
      </w:r>
    </w:p>
    <w:p>
      <w:pPr>
        <w:spacing w:before="100" w:after="0"/>
      </w:pPr>
      <w:r>
        <w:t xml:space="preserve"/>
      </w:r>
    </w:p>
    <w:p>
      <w:pPr>
        <w:spacing w:before="200" w:after="60"/>
      </w:pPr>
      <w:r>
        <w:rPr>
          <w:rFonts w:ascii="Arial" w:cs="Arial" w:eastAsia="Arial" w:hAnsi="Arial"/>
          <w:b/>
          <w:bCs/>
          <w:color w:val="1A5C96"/>
          <w:sz w:val="24"/>
          <w:szCs w:val="24"/>
        </w:rPr>
        <w:t xml:space="preserve">Success Metrics</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8D8E8" w:sz="1"/>
              <w:left w:val="single" w:color="C8D8E8" w:sz="1"/>
              <w:bottom w:val="single" w:color="C8D8E8" w:sz="1"/>
              <w:right w:val="single" w:color="C8D8E8" w:sz="1"/>
            </w:tcBorders>
            <w:shd w:fill="1A5C96" w:val="clear"/>
            <w:tcMar>
              <w:top w:type="dxa" w:w="90"/>
              <w:left w:type="dxa" w:w="130"/>
              <w:bottom w:type="dxa" w:w="90"/>
              <w:right w:type="dxa" w:w="130"/>
            </w:tcMar>
          </w:tcPr>
          <w:p>
            <w:r>
              <w:rPr>
                <w:rFonts w:ascii="Arial" w:cs="Arial" w:eastAsia="Arial" w:hAnsi="Arial"/>
                <w:b/>
                <w:bCs/>
                <w:color w:val="FFFFFF"/>
                <w:sz w:val="19"/>
                <w:szCs w:val="19"/>
              </w:rPr>
              <w:t xml:space="preserve">Metric</w:t>
            </w:r>
          </w:p>
        </w:tc>
        <w:tc>
          <w:tcPr>
            <w:tcW w:type="dxa" w:w="2200"/>
            <w:tcBorders>
              <w:top w:val="single" w:color="C8D8E8" w:sz="1"/>
              <w:left w:val="single" w:color="C8D8E8" w:sz="1"/>
              <w:bottom w:val="single" w:color="C8D8E8" w:sz="1"/>
              <w:right w:val="single" w:color="C8D8E8" w:sz="1"/>
            </w:tcBorders>
            <w:shd w:fill="1A5C96" w:val="clear"/>
            <w:tcMar>
              <w:top w:type="dxa" w:w="90"/>
              <w:left w:type="dxa" w:w="130"/>
              <w:bottom w:type="dxa" w:w="90"/>
              <w:right w:type="dxa" w:w="130"/>
            </w:tcMar>
          </w:tcPr>
          <w:p>
            <w:r>
              <w:rPr>
                <w:rFonts w:ascii="Arial" w:cs="Arial" w:eastAsia="Arial" w:hAnsi="Arial"/>
                <w:b/>
                <w:bCs/>
                <w:color w:val="FFFFFF"/>
                <w:sz w:val="19"/>
                <w:szCs w:val="19"/>
              </w:rPr>
              <w:t xml:space="preserve">Target</w:t>
            </w:r>
          </w:p>
        </w:tc>
        <w:tc>
          <w:tcPr>
            <w:tcW w:type="dxa" w:w="4160"/>
            <w:tcBorders>
              <w:top w:val="single" w:color="C8D8E8" w:sz="1"/>
              <w:left w:val="single" w:color="C8D8E8" w:sz="1"/>
              <w:bottom w:val="single" w:color="C8D8E8" w:sz="1"/>
              <w:right w:val="single" w:color="C8D8E8" w:sz="1"/>
            </w:tcBorders>
            <w:shd w:fill="1A5C96" w:val="clear"/>
            <w:tcMar>
              <w:top w:type="dxa" w:w="90"/>
              <w:left w:type="dxa" w:w="130"/>
              <w:bottom w:type="dxa" w:w="90"/>
              <w:right w:type="dxa" w:w="130"/>
            </w:tcMar>
          </w:tcPr>
          <w:p>
            <w:r>
              <w:rPr>
                <w:rFonts w:ascii="Arial" w:cs="Arial" w:eastAsia="Arial" w:hAnsi="Arial"/>
                <w:b/>
                <w:bCs/>
                <w:color w:val="FFFFFF"/>
                <w:sz w:val="19"/>
                <w:szCs w:val="19"/>
              </w:rPr>
              <w:t xml:space="preserve">Why It Matters</w:t>
            </w:r>
          </w:p>
        </w:tc>
      </w:tr>
      <w:tr>
        <w:tc>
          <w:tcPr>
            <w:tcW w:type="dxa" w:w="30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tcPr>
          <w:p>
            <w:r>
              <w:rPr>
                <w:rFonts w:ascii="Arial" w:cs="Arial" w:eastAsia="Arial" w:hAnsi="Arial"/>
                <w:color w:val="555555"/>
                <w:sz w:val="19"/>
                <w:szCs w:val="19"/>
              </w:rPr>
              <w:t xml:space="preserve">Avg Response time (shown on dashboard)</w:t>
            </w:r>
          </w:p>
        </w:tc>
        <w:tc>
          <w:tcPr>
            <w:tcW w:type="dxa" w:w="22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tcPr>
          <w:p>
            <w:r>
              <w:rPr>
                <w:rFonts w:ascii="Arial" w:cs="Arial" w:eastAsia="Arial" w:hAnsi="Arial"/>
                <w:color w:val="555555"/>
                <w:sz w:val="19"/>
                <w:szCs w:val="19"/>
              </w:rPr>
              <w:t xml:space="preserve">&lt; 5 min → target &lt; 3 min</w:t>
            </w:r>
          </w:p>
        </w:tc>
        <w:tc>
          <w:tcPr>
            <w:tcW w:type="dxa" w:w="41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tcPr>
          <w:p>
            <w:r>
              <w:rPr>
                <w:rFonts w:ascii="Arial" w:cs="Arial" w:eastAsia="Arial" w:hAnsi="Arial"/>
                <w:color w:val="555555"/>
                <w:sz w:val="19"/>
                <w:szCs w:val="19"/>
              </w:rPr>
              <w:t xml:space="preserve">Already tracked — use as baseline; show trend not just snapshot</w:t>
            </w:r>
          </w:p>
        </w:tc>
      </w:tr>
      <w:tr>
        <w:tc>
          <w:tcPr>
            <w:tcW w:type="dxa" w:w="3000"/>
            <w:tcBorders>
              <w:top w:val="single" w:color="C8D8E8" w:sz="1"/>
              <w:left w:val="single" w:color="C8D8E8" w:sz="1"/>
              <w:bottom w:val="single" w:color="C8D8E8" w:sz="1"/>
              <w:right w:val="single" w:color="C8D8E8" w:sz="1"/>
            </w:tcBorders>
            <w:shd w:fill="D6E8F7" w:val="clear"/>
            <w:tcMar>
              <w:top w:type="dxa" w:w="90"/>
              <w:left w:type="dxa" w:w="130"/>
              <w:bottom w:type="dxa" w:w="90"/>
              <w:right w:type="dxa" w:w="130"/>
            </w:tcMar>
          </w:tcPr>
          <w:p>
            <w:r>
              <w:rPr>
                <w:rFonts w:ascii="Arial" w:cs="Arial" w:eastAsia="Arial" w:hAnsi="Arial"/>
                <w:color w:val="555555"/>
                <w:sz w:val="19"/>
                <w:szCs w:val="19"/>
              </w:rPr>
              <w:t xml:space="preserve">Alert reopened after Submit Resolution</w:t>
            </w:r>
          </w:p>
        </w:tc>
        <w:tc>
          <w:tcPr>
            <w:tcW w:type="dxa" w:w="2200"/>
            <w:tcBorders>
              <w:top w:val="single" w:color="C8D8E8" w:sz="1"/>
              <w:left w:val="single" w:color="C8D8E8" w:sz="1"/>
              <w:bottom w:val="single" w:color="C8D8E8" w:sz="1"/>
              <w:right w:val="single" w:color="C8D8E8" w:sz="1"/>
            </w:tcBorders>
            <w:shd w:fill="D6E8F7" w:val="clear"/>
            <w:tcMar>
              <w:top w:type="dxa" w:w="90"/>
              <w:left w:type="dxa" w:w="130"/>
              <w:bottom w:type="dxa" w:w="90"/>
              <w:right w:type="dxa" w:w="130"/>
            </w:tcMar>
          </w:tcPr>
          <w:p>
            <w:r>
              <w:rPr>
                <w:rFonts w:ascii="Arial" w:cs="Arial" w:eastAsia="Arial" w:hAnsi="Arial"/>
                <w:color w:val="555555"/>
                <w:sz w:val="19"/>
                <w:szCs w:val="19"/>
              </w:rPr>
              <w:t xml:space="preserve">&lt; 5%</w:t>
            </w:r>
          </w:p>
        </w:tc>
        <w:tc>
          <w:tcPr>
            <w:tcW w:type="dxa" w:w="4160"/>
            <w:tcBorders>
              <w:top w:val="single" w:color="C8D8E8" w:sz="1"/>
              <w:left w:val="single" w:color="C8D8E8" w:sz="1"/>
              <w:bottom w:val="single" w:color="C8D8E8" w:sz="1"/>
              <w:right w:val="single" w:color="C8D8E8" w:sz="1"/>
            </w:tcBorders>
            <w:shd w:fill="D6E8F7" w:val="clear"/>
            <w:tcMar>
              <w:top w:type="dxa" w:w="90"/>
              <w:left w:type="dxa" w:w="130"/>
              <w:bottom w:type="dxa" w:w="90"/>
              <w:right w:type="dxa" w:w="130"/>
            </w:tcMar>
          </w:tcPr>
          <w:p>
            <w:r>
              <w:rPr>
                <w:rFonts w:ascii="Arial" w:cs="Arial" w:eastAsia="Arial" w:hAnsi="Arial"/>
                <w:color w:val="555555"/>
                <w:sz w:val="19"/>
                <w:szCs w:val="19"/>
              </w:rPr>
              <w:t xml:space="preserve">Proxy for how confident the decision was at close time</w:t>
            </w:r>
          </w:p>
        </w:tc>
      </w:tr>
      <w:tr>
        <w:tc>
          <w:tcPr>
            <w:tcW w:type="dxa" w:w="30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tcPr>
          <w:p>
            <w:r>
              <w:rPr>
                <w:rFonts w:ascii="Arial" w:cs="Arial" w:eastAsia="Arial" w:hAnsi="Arial"/>
                <w:color w:val="555555"/>
                <w:sz w:val="19"/>
                <w:szCs w:val="19"/>
              </w:rPr>
              <w:t xml:space="preserve">Close reason tag completion rate</w:t>
            </w:r>
          </w:p>
        </w:tc>
        <w:tc>
          <w:tcPr>
            <w:tcW w:type="dxa" w:w="22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tcPr>
          <w:p>
            <w:r>
              <w:rPr>
                <w:rFonts w:ascii="Arial" w:cs="Arial" w:eastAsia="Arial" w:hAnsi="Arial"/>
                <w:color w:val="555555"/>
                <w:sz w:val="19"/>
                <w:szCs w:val="19"/>
              </w:rPr>
              <w:t xml:space="preserve">&gt; 95% of closed alerts</w:t>
            </w:r>
          </w:p>
        </w:tc>
        <w:tc>
          <w:tcPr>
            <w:tcW w:type="dxa" w:w="41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tcPr>
          <w:p>
            <w:r>
              <w:rPr>
                <w:rFonts w:ascii="Arial" w:cs="Arial" w:eastAsia="Arial" w:hAnsi="Arial"/>
                <w:color w:val="555555"/>
                <w:sz w:val="19"/>
                <w:szCs w:val="19"/>
              </w:rPr>
              <w:t xml:space="preserve">Prerequisite for scoring tuning — silent closes destroy feedback loop</w:t>
            </w:r>
          </w:p>
        </w:tc>
      </w:tr>
      <w:tr>
        <w:tc>
          <w:tcPr>
            <w:tcW w:type="dxa" w:w="3000"/>
            <w:tcBorders>
              <w:top w:val="single" w:color="C8D8E8" w:sz="1"/>
              <w:left w:val="single" w:color="C8D8E8" w:sz="1"/>
              <w:bottom w:val="single" w:color="C8D8E8" w:sz="1"/>
              <w:right w:val="single" w:color="C8D8E8" w:sz="1"/>
            </w:tcBorders>
            <w:shd w:fill="D6E8F7" w:val="clear"/>
            <w:tcMar>
              <w:top w:type="dxa" w:w="90"/>
              <w:left w:type="dxa" w:w="130"/>
              <w:bottom w:type="dxa" w:w="90"/>
              <w:right w:type="dxa" w:w="130"/>
            </w:tcMar>
          </w:tcPr>
          <w:p>
            <w:r>
              <w:rPr>
                <w:rFonts w:ascii="Arial" w:cs="Arial" w:eastAsia="Arial" w:hAnsi="Arial"/>
                <w:color w:val="555555"/>
                <w:sz w:val="19"/>
                <w:szCs w:val="19"/>
              </w:rPr>
              <w:t xml:space="preserve">Runbook checklist usage on P1/P2</w:t>
            </w:r>
          </w:p>
        </w:tc>
        <w:tc>
          <w:tcPr>
            <w:tcW w:type="dxa" w:w="2200"/>
            <w:tcBorders>
              <w:top w:val="single" w:color="C8D8E8" w:sz="1"/>
              <w:left w:val="single" w:color="C8D8E8" w:sz="1"/>
              <w:bottom w:val="single" w:color="C8D8E8" w:sz="1"/>
              <w:right w:val="single" w:color="C8D8E8" w:sz="1"/>
            </w:tcBorders>
            <w:shd w:fill="D6E8F7" w:val="clear"/>
            <w:tcMar>
              <w:top w:type="dxa" w:w="90"/>
              <w:left w:type="dxa" w:w="130"/>
              <w:bottom w:type="dxa" w:w="90"/>
              <w:right w:type="dxa" w:w="130"/>
            </w:tcMar>
          </w:tcPr>
          <w:p>
            <w:r>
              <w:rPr>
                <w:rFonts w:ascii="Arial" w:cs="Arial" w:eastAsia="Arial" w:hAnsi="Arial"/>
                <w:color w:val="555555"/>
                <w:sz w:val="19"/>
                <w:szCs w:val="19"/>
              </w:rPr>
              <w:t xml:space="preserve">&gt; 70% within 60 days</w:t>
            </w:r>
          </w:p>
        </w:tc>
        <w:tc>
          <w:tcPr>
            <w:tcW w:type="dxa" w:w="4160"/>
            <w:tcBorders>
              <w:top w:val="single" w:color="C8D8E8" w:sz="1"/>
              <w:left w:val="single" w:color="C8D8E8" w:sz="1"/>
              <w:bottom w:val="single" w:color="C8D8E8" w:sz="1"/>
              <w:right w:val="single" w:color="C8D8E8" w:sz="1"/>
            </w:tcBorders>
            <w:shd w:fill="D6E8F7" w:val="clear"/>
            <w:tcMar>
              <w:top w:type="dxa" w:w="90"/>
              <w:left w:type="dxa" w:w="130"/>
              <w:bottom w:type="dxa" w:w="90"/>
              <w:right w:type="dxa" w:w="130"/>
            </w:tcMar>
          </w:tcPr>
          <w:p>
            <w:r>
              <w:rPr>
                <w:rFonts w:ascii="Arial" w:cs="Arial" w:eastAsia="Arial" w:hAnsi="Arial"/>
                <w:color w:val="555555"/>
                <w:sz w:val="19"/>
                <w:szCs w:val="19"/>
              </w:rPr>
              <w:t xml:space="preserve">Measures whether the feature lands or gets ignored</w:t>
            </w:r>
          </w:p>
        </w:tc>
      </w:tr>
      <w:tr>
        <w:tc>
          <w:tcPr>
            <w:tcW w:type="dxa" w:w="30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tcPr>
          <w:p>
            <w:r>
              <w:rPr>
                <w:rFonts w:ascii="Arial" w:cs="Arial" w:eastAsia="Arial" w:hAnsi="Arial"/>
                <w:color w:val="555555"/>
                <w:sz w:val="19"/>
                <w:szCs w:val="19"/>
              </w:rPr>
              <w:t xml:space="preserve">AI priority override rate</w:t>
            </w:r>
          </w:p>
        </w:tc>
        <w:tc>
          <w:tcPr>
            <w:tcW w:type="dxa" w:w="22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tcPr>
          <w:p>
            <w:r>
              <w:rPr>
                <w:rFonts w:ascii="Arial" w:cs="Arial" w:eastAsia="Arial" w:hAnsi="Arial"/>
                <w:color w:val="555555"/>
                <w:sz w:val="19"/>
                <w:szCs w:val="19"/>
              </w:rPr>
              <w:t xml:space="preserve">Track weekly, alert if &gt; 30%</w:t>
            </w:r>
          </w:p>
        </w:tc>
        <w:tc>
          <w:tcPr>
            <w:tcW w:type="dxa" w:w="41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tcPr>
          <w:p>
            <w:r>
              <w:rPr>
                <w:rFonts w:ascii="Arial" w:cs="Arial" w:eastAsia="Arial" w:hAnsi="Arial"/>
                <w:color w:val="555555"/>
                <w:sz w:val="19"/>
                <w:szCs w:val="19"/>
              </w:rPr>
              <w:t xml:space="preserve">High override = model mis-scoring; low override = analyst trust growing</w:t>
            </w:r>
          </w:p>
        </w:tc>
      </w:tr>
      <w:tr>
        <w:tc>
          <w:tcPr>
            <w:tcW w:type="dxa" w:w="3000"/>
            <w:tcBorders>
              <w:top w:val="single" w:color="C8D8E8" w:sz="1"/>
              <w:left w:val="single" w:color="C8D8E8" w:sz="1"/>
              <w:bottom w:val="single" w:color="C8D8E8" w:sz="1"/>
              <w:right w:val="single" w:color="C8D8E8" w:sz="1"/>
            </w:tcBorders>
            <w:shd w:fill="D6E8F7" w:val="clear"/>
            <w:tcMar>
              <w:top w:type="dxa" w:w="90"/>
              <w:left w:type="dxa" w:w="130"/>
              <w:bottom w:type="dxa" w:w="90"/>
              <w:right w:type="dxa" w:w="130"/>
            </w:tcMar>
          </w:tcPr>
          <w:p>
            <w:r>
              <w:rPr>
                <w:rFonts w:ascii="Arial" w:cs="Arial" w:eastAsia="Arial" w:hAnsi="Arial"/>
                <w:color w:val="555555"/>
                <w:sz w:val="19"/>
                <w:szCs w:val="19"/>
              </w:rPr>
              <w:t xml:space="preserve">Engineer-reported cognitive load</w:t>
            </w:r>
          </w:p>
        </w:tc>
        <w:tc>
          <w:tcPr>
            <w:tcW w:type="dxa" w:w="2200"/>
            <w:tcBorders>
              <w:top w:val="single" w:color="C8D8E8" w:sz="1"/>
              <w:left w:val="single" w:color="C8D8E8" w:sz="1"/>
              <w:bottom w:val="single" w:color="C8D8E8" w:sz="1"/>
              <w:right w:val="single" w:color="C8D8E8" w:sz="1"/>
            </w:tcBorders>
            <w:shd w:fill="D6E8F7" w:val="clear"/>
            <w:tcMar>
              <w:top w:type="dxa" w:w="90"/>
              <w:left w:type="dxa" w:w="130"/>
              <w:bottom w:type="dxa" w:w="90"/>
              <w:right w:type="dxa" w:w="130"/>
            </w:tcMar>
          </w:tcPr>
          <w:p>
            <w:r>
              <w:rPr>
                <w:rFonts w:ascii="Arial" w:cs="Arial" w:eastAsia="Arial" w:hAnsi="Arial"/>
                <w:color w:val="555555"/>
                <w:sz w:val="19"/>
                <w:szCs w:val="19"/>
              </w:rPr>
              <w:t xml:space="preserve">↓ in monthly pulse survey</w:t>
            </w:r>
          </w:p>
        </w:tc>
        <w:tc>
          <w:tcPr>
            <w:tcW w:type="dxa" w:w="4160"/>
            <w:tcBorders>
              <w:top w:val="single" w:color="C8D8E8" w:sz="1"/>
              <w:left w:val="single" w:color="C8D8E8" w:sz="1"/>
              <w:bottom w:val="single" w:color="C8D8E8" w:sz="1"/>
              <w:right w:val="single" w:color="C8D8E8" w:sz="1"/>
            </w:tcBorders>
            <w:shd w:fill="D6E8F7" w:val="clear"/>
            <w:tcMar>
              <w:top w:type="dxa" w:w="90"/>
              <w:left w:type="dxa" w:w="130"/>
              <w:bottom w:type="dxa" w:w="90"/>
              <w:right w:type="dxa" w:w="130"/>
            </w:tcMar>
          </w:tcPr>
          <w:p>
            <w:r>
              <w:rPr>
                <w:rFonts w:ascii="Arial" w:cs="Arial" w:eastAsia="Arial" w:hAnsi="Arial"/>
                <w:color w:val="555555"/>
                <w:sz w:val="19"/>
                <w:szCs w:val="19"/>
              </w:rPr>
              <w:t xml:space="preserve">Leading indicator before burnout shows in data</w:t>
            </w:r>
          </w:p>
        </w:tc>
      </w:tr>
    </w:tbl>
    <w:p>
      <w:pPr>
        <w:spacing w:before="140" w:after="0"/>
      </w:pPr>
      <w:r>
        <w:t xml:space="preserve"/>
      </w:r>
    </w:p>
    <w:p>
      <w:pPr>
        <w:pBdr>
          <w:bottom w:val="single" w:color="2E75B6" w:sz="8" w:space="2"/>
        </w:pBdr>
        <w:spacing w:before="300" w:after="60"/>
      </w:pPr>
      <w:r>
        <w:rPr>
          <w:rFonts w:ascii="Arial" w:cs="Arial" w:eastAsia="Arial" w:hAnsi="Arial"/>
          <w:b/>
          <w:bCs/>
          <w:color w:val="0D1F33"/>
          <w:sz w:val="30"/>
          <w:szCs w:val="30"/>
        </w:rPr>
        <w:t xml:space="preserve">3.  Bonus — Development Action Items</w:t>
      </w:r>
    </w:p>
    <w:p>
      <w:pPr>
        <w:spacing w:before="30" w:after="0"/>
      </w:pPr>
      <w:r>
        <w:t xml:space="preserve"/>
      </w:r>
    </w:p>
    <w:p>
      <w:pPr>
        <w:spacing w:before="200" w:after="60"/>
      </w:pPr>
      <w:r>
        <w:rPr>
          <w:rFonts w:ascii="Arial" w:cs="Arial" w:eastAsia="Arial" w:hAnsi="Arial"/>
          <w:b/>
          <w:bCs/>
          <w:color w:val="1A5C96"/>
          <w:sz w:val="24"/>
          <w:szCs w:val="24"/>
        </w:rPr>
        <w:t xml:space="preserve">Immediate Prerequisites</w:t>
      </w:r>
    </w:p>
    <w:p>
      <w:pPr>
        <w:pStyle w:val="ListParagraph"/>
        <w:numPr>
          <w:ilvl w:val="0"/>
          <w:numId w:val="2"/>
        </w:numPr>
        <w:spacing w:before="38" w:after="38"/>
      </w:pPr>
      <w:r>
        <w:rPr>
          <w:rFonts w:ascii="Arial" w:cs="Arial" w:eastAsia="Arial" w:hAnsi="Arial"/>
          <w:color w:val="555555"/>
          <w:sz w:val="21"/>
          <w:szCs w:val="21"/>
        </w:rPr>
        <w:t xml:space="preserve">Run a CMDB / resource tagging coverage audit before building the blast radius or owner display on intake cards. UI is only as accurate as the tag data underneath it.</w:t>
      </w:r>
    </w:p>
    <w:p>
      <w:pPr>
        <w:pStyle w:val="ListParagraph"/>
        <w:numPr>
          <w:ilvl w:val="0"/>
          <w:numId w:val="2"/>
        </w:numPr>
        <w:spacing w:before="38" w:after="38"/>
      </w:pPr>
      <w:r>
        <w:rPr>
          <w:rFonts w:ascii="Arial" w:cs="Arial" w:eastAsia="Arial" w:hAnsi="Arial"/>
          <w:color w:val="555555"/>
          <w:sz w:val="21"/>
          <w:szCs w:val="21"/>
        </w:rPr>
        <w:t xml:space="preserve">Define the close reason taxonomy with the security team before sprint 1 — retrofitting schema after launch breaks historical comparisons and alert tuning pipelines.</w:t>
      </w:r>
    </w:p>
    <w:p>
      <w:pPr>
        <w:pStyle w:val="ListParagraph"/>
        <w:numPr>
          <w:ilvl w:val="0"/>
          <w:numId w:val="2"/>
        </w:numPr>
        <w:spacing w:before="38" w:after="38"/>
      </w:pPr>
      <w:r>
        <w:rPr>
          <w:rFonts w:ascii="Arial" w:cs="Arial" w:eastAsia="Arial" w:hAnsi="Arial"/>
          <w:color w:val="555555"/>
          <w:sz w:val="21"/>
          <w:szCs w:val="21"/>
        </w:rPr>
        <w:t xml:space="preserve">Confirm end-to-end log ingestion latency (cloud event → alert in dashboard). This sets the floor on response SLA commitments and affects how urgency is communicated in the UI.</w:t>
      </w:r>
    </w:p>
    <w:p>
      <w:pPr>
        <w:spacing w:before="60" w:after="0"/>
      </w:pPr>
      <w:r>
        <w:t xml:space="preserve"/>
      </w:r>
    </w:p>
    <w:p>
      <w:pPr>
        <w:spacing w:before="200" w:after="60"/>
      </w:pPr>
      <w:r>
        <w:rPr>
          <w:rFonts w:ascii="Arial" w:cs="Arial" w:eastAsia="Arial" w:hAnsi="Arial"/>
          <w:b/>
          <w:bCs/>
          <w:color w:val="1A5C96"/>
          <w:sz w:val="24"/>
          <w:szCs w:val="24"/>
        </w:rPr>
        <w:t xml:space="preserve">Data &amp; Integration Touchpoints</w:t>
      </w:r>
    </w:p>
    <w:p>
      <w:pPr>
        <w:pStyle w:val="ListParagraph"/>
        <w:numPr>
          <w:ilvl w:val="0"/>
          <w:numId w:val="2"/>
        </w:numPr>
        <w:spacing w:before="38" w:after="38"/>
      </w:pPr>
      <w:r>
        <w:rPr>
          <w:rFonts w:ascii="Arial" w:cs="Arial" w:eastAsia="Arial" w:hAnsi="Arial"/>
          <w:color w:val="555555"/>
          <w:sz w:val="21"/>
          <w:szCs w:val="21"/>
        </w:rPr>
        <w:t xml:space="preserve">CloudTrail / GCP Audit Logs / Azure Activity Log → 'recent changes' feed in investigation view (owner changes, policy updates, IaC diffs in last 24h)</w:t>
      </w:r>
    </w:p>
    <w:p>
      <w:pPr>
        <w:pStyle w:val="ListParagraph"/>
        <w:numPr>
          <w:ilvl w:val="0"/>
          <w:numId w:val="2"/>
        </w:numPr>
        <w:spacing w:before="38" w:after="38"/>
      </w:pPr>
      <w:r>
        <w:rPr>
          <w:rFonts w:ascii="Arial" w:cs="Arial" w:eastAsia="Arial" w:hAnsi="Arial"/>
          <w:color w:val="555555"/>
          <w:sz w:val="21"/>
          <w:szCs w:val="21"/>
        </w:rPr>
        <w:t xml:space="preserve">CMDB or resource tagging API → resource owner + blast radius estimate on intake card and investigation detail</w:t>
      </w:r>
    </w:p>
    <w:p>
      <w:pPr>
        <w:pStyle w:val="ListParagraph"/>
        <w:numPr>
          <w:ilvl w:val="0"/>
          <w:numId w:val="2"/>
        </w:numPr>
        <w:spacing w:before="38" w:after="38"/>
      </w:pPr>
      <w:r>
        <w:rPr>
          <w:rFonts w:ascii="Arial" w:cs="Arial" w:eastAsia="Arial" w:hAnsi="Arial"/>
          <w:color w:val="555555"/>
          <w:sz w:val="21"/>
          <w:szCs w:val="21"/>
        </w:rPr>
        <w:t xml:space="preserve">Threat intel feed → IP Reputation panel already exists in Screen 2; confirm the data source SLA and whether the panel auto-refreshes or is static at alert creation time</w:t>
      </w:r>
    </w:p>
    <w:p>
      <w:pPr>
        <w:pStyle w:val="ListParagraph"/>
        <w:numPr>
          <w:ilvl w:val="0"/>
          <w:numId w:val="2"/>
        </w:numPr>
        <w:spacing w:before="38" w:after="38"/>
      </w:pPr>
      <w:r>
        <w:rPr>
          <w:rFonts w:ascii="Arial" w:cs="Arial" w:eastAsia="Arial" w:hAnsi="Arial"/>
          <w:color w:val="555555"/>
          <w:sz w:val="21"/>
          <w:szCs w:val="21"/>
        </w:rPr>
        <w:t xml:space="preserve">Historical alert store → Similar Past Alerts panel; confirm what fields are queryable and whether outcome tags (TP/FP/Escalated) are stored today or need a new schema</w:t>
      </w:r>
    </w:p>
    <w:p>
      <w:pPr>
        <w:spacing w:before="60" w:after="0"/>
      </w:pPr>
      <w:r>
        <w:t xml:space="preserve"/>
      </w:r>
    </w:p>
    <w:p>
      <w:pPr>
        <w:spacing w:before="200" w:after="60"/>
      </w:pPr>
      <w:r>
        <w:rPr>
          <w:rFonts w:ascii="Arial" w:cs="Arial" w:eastAsia="Arial" w:hAnsi="Arial"/>
          <w:b/>
          <w:bCs/>
          <w:color w:val="1A5C96"/>
          <w:sz w:val="24"/>
          <w:szCs w:val="24"/>
        </w:rPr>
        <w:t xml:space="preserve">AI Scoring &amp; Feedback Loop</w:t>
      </w:r>
    </w:p>
    <w:p>
      <w:pPr>
        <w:pStyle w:val="ListParagraph"/>
        <w:numPr>
          <w:ilvl w:val="0"/>
          <w:numId w:val="2"/>
        </w:numPr>
        <w:spacing w:before="38" w:after="38"/>
      </w:pPr>
      <w:r>
        <w:rPr>
          <w:rFonts w:ascii="Arial" w:cs="Arial" w:eastAsia="Arial" w:hAnsi="Arial"/>
          <w:color w:val="555555"/>
          <w:sz w:val="21"/>
          <w:szCs w:val="21"/>
        </w:rPr>
        <w:t xml:space="preserve">The AI Confidence % shown on intake cards needs a defined input feature set agreed between PM and engineering before the model is trusted in production. Document the three scoring axes: exposure, anomaly delta, asset criticality.</w:t>
      </w:r>
    </w:p>
    <w:p>
      <w:pPr>
        <w:pStyle w:val="ListParagraph"/>
        <w:numPr>
          <w:ilvl w:val="0"/>
          <w:numId w:val="2"/>
        </w:numPr>
        <w:spacing w:before="38" w:after="38"/>
      </w:pPr>
      <w:r>
        <w:rPr>
          <w:rFonts w:ascii="Arial" w:cs="Arial" w:eastAsia="Arial" w:hAnsi="Arial"/>
          <w:color w:val="555555"/>
          <w:sz w:val="21"/>
          <w:szCs w:val="21"/>
        </w:rPr>
        <w:t xml:space="preserve">AI priority override rate should be instrumented from day 1 — every time an analyst changes the AI-suggested priority on the Resolution screen, that signal should feed back into model retraining.</w:t>
      </w:r>
    </w:p>
    <w:p>
      <w:pPr>
        <w:pStyle w:val="ListParagraph"/>
        <w:numPr>
          <w:ilvl w:val="0"/>
          <w:numId w:val="2"/>
        </w:numPr>
        <w:spacing w:before="38" w:after="38"/>
      </w:pPr>
      <w:r>
        <w:rPr>
          <w:rFonts w:ascii="Arial" w:cs="Arial" w:eastAsia="Arial" w:hAnsi="Arial"/>
          <w:color w:val="555555"/>
          <w:sz w:val="21"/>
          <w:szCs w:val="21"/>
        </w:rPr>
        <w:t xml:space="preserve">Start scoring with rule-based thresholds (not probabilistic ML) for the first two sprints. Validate signal quality and analyst trust before adding weighting. The UI already shows 'AI Suggested: Critical' — analysts will lose trust quickly if the suggestion is wrong too often.</w:t>
      </w:r>
    </w:p>
    <w:p>
      <w:pPr>
        <w:spacing w:before="60" w:after="0"/>
      </w:pPr>
      <w:r>
        <w:t xml:space="preserve"/>
      </w:r>
    </w:p>
    <w:p>
      <w:pPr>
        <w:spacing w:before="200" w:after="60"/>
      </w:pPr>
      <w:r>
        <w:rPr>
          <w:rFonts w:ascii="Arial" w:cs="Arial" w:eastAsia="Arial" w:hAnsi="Arial"/>
          <w:b/>
          <w:bCs/>
          <w:color w:val="1A5C96"/>
          <w:sz w:val="24"/>
          <w:szCs w:val="24"/>
        </w:rPr>
        <w:t xml:space="preserve">Open Engineering Questions for Kickoff</w:t>
      </w:r>
    </w:p>
    <w:p>
      <w:pPr>
        <w:pStyle w:val="ListParagraph"/>
        <w:numPr>
          <w:ilvl w:val="0"/>
          <w:numId w:val="2"/>
        </w:numPr>
        <w:spacing w:before="38" w:after="38"/>
      </w:pPr>
      <w:r>
        <w:rPr>
          <w:rFonts w:ascii="Arial" w:cs="Arial" w:eastAsia="Arial" w:hAnsi="Arial"/>
          <w:color w:val="555555"/>
          <w:sz w:val="21"/>
          <w:szCs w:val="21"/>
        </w:rPr>
        <w:t xml:space="preserve">Is there an existing deduplication layer, or can one cloud event generate multiple independent alerts today? If not, this is a prerequisite before meaningful volume metrics are possible.</w:t>
      </w:r>
    </w:p>
    <w:p>
      <w:pPr>
        <w:pStyle w:val="ListParagraph"/>
        <w:numPr>
          <w:ilvl w:val="0"/>
          <w:numId w:val="2"/>
        </w:numPr>
        <w:spacing w:before="38" w:after="38"/>
      </w:pPr>
      <w:r>
        <w:rPr>
          <w:rFonts w:ascii="Arial" w:cs="Arial" w:eastAsia="Arial" w:hAnsi="Arial"/>
          <w:color w:val="555555"/>
          <w:sz w:val="21"/>
          <w:szCs w:val="21"/>
        </w:rPr>
        <w:t xml:space="preserve">Can the Resolution screen's 'Submit Resolution' action trigger an automated response (e.g. revoke IAM role, isolate resource) or is it purely a documentation action today? This scoping question determines the product's ceiling.</w:t>
      </w:r>
    </w:p>
    <w:p>
      <w:pPr>
        <w:pStyle w:val="ListParagraph"/>
        <w:numPr>
          <w:ilvl w:val="0"/>
          <w:numId w:val="2"/>
        </w:numPr>
        <w:spacing w:before="38" w:after="38"/>
      </w:pPr>
      <w:r>
        <w:rPr>
          <w:rFonts w:ascii="Arial" w:cs="Arial" w:eastAsia="Arial" w:hAnsi="Arial"/>
          <w:color w:val="555555"/>
          <w:sz w:val="21"/>
          <w:szCs w:val="21"/>
        </w:rPr>
        <w:t xml:space="preserve">What is the data retention window for closed alerts and their resolution tags? This determines how far back the Similar Past Alerts panel can look and how robust the tuning feedback loop can be.</w:t>
      </w:r>
    </w:p>
    <w:p>
      <w:pPr>
        <w:pStyle w:val="ListParagraph"/>
        <w:numPr>
          <w:ilvl w:val="0"/>
          <w:numId w:val="2"/>
        </w:numPr>
        <w:spacing w:before="38" w:after="38"/>
      </w:pPr>
      <w:r>
        <w:rPr>
          <w:rFonts w:ascii="Arial" w:cs="Arial" w:eastAsia="Arial" w:hAnsi="Arial"/>
          <w:color w:val="555555"/>
          <w:sz w:val="21"/>
          <w:szCs w:val="21"/>
        </w:rPr>
        <w:t xml:space="preserve">Is the 'Monitor' action on the investigation screen (Screen 2, bottom bar) a watchlist / silence for N hours, or a permanent state? Clarify before building the interaction model.</w:t>
      </w:r>
    </w:p>
    <w:p>
      <w:pPr>
        <w:spacing w:before="60" w:after="0"/>
      </w:pPr>
      <w:r>
        <w:t xml:space="preserve"/>
      </w:r>
    </w:p>
    <w:sectPr>
      <w:foot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AAAAAA"/>
        <w:sz w:val="16"/>
        <w:szCs w:val="16"/>
      </w:rPr>
      <w:t xml:space="preserve">SecureOps AI — PM Assignment  |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2026-02-28T18:53:43.859Z</dcterms:created>
  <dcterms:modified xsi:type="dcterms:W3CDTF">2026-02-28T18:53:43.860Z</dcterms:modified>
</cp:coreProperties>
</file>

<file path=docProps/custom.xml><?xml version="1.0" encoding="utf-8"?>
<Properties xmlns="http://schemas.openxmlformats.org/officeDocument/2006/custom-properties" xmlns:vt="http://schemas.openxmlformats.org/officeDocument/2006/docPropsVTypes"/>
</file>