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建设类指标（描述当前系统建设情况的指标）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融合终端相关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融合终端覆盖率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融合终端安装进度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主站图模完整率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配电主站图模一致率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配电线路图形完整率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图模导入成功率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导入配电主站图模正确率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开关等设备相关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配电房覆盖率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开关站覆盖率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环网箱覆盖率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柱上开关覆盖率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自动化开关有效覆盖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自动化开关覆盖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开关站投运率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三遥自动化开关占比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联络开关三遥占比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线路相关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城网配电自动化线路覆盖率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各地市公司城网配电自动化线路覆盖率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馈线自动化线路覆盖率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自动化覆盖率（2种算法）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FA覆盖率（3种算法）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FA投运率（3种算法）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配电自动化覆盖率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中压线路可转供电率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配网自愈覆盖率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终端安防覆盖率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终端健康率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配电自动化终端投运率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终端投运率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远程运维终端覆盖率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配变相关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配变信息匹配率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配变监测计量数据接入率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配电自动化实用化率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配电网通信通道可用率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APP运行率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拓扑覆盖率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低压用户率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配电自愈覆盖率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主站系统可用率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配电主站应选功能配置率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配网纵向加密密通率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准实时运行类指标（描述当前或当天运行情况的指标）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融合终端实时在线率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融合终端采集率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低压全景检测覆盖率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历史运行类指标（描述历史运行情况的指标）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低压融合终端相关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边设备在线率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端设备在线率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104规约的TTU在线率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时长在线率相关指标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终端在线率 （5种算法）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通道在线率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配变相关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电压合格率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配变终端停复电告警平均接收时间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主站在线率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终端动作正确率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故障遥控处理率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故障遥控成功率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终端故障定位准确率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FA成功率（4种算法）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馈线自动化应用率</w:t>
      </w:r>
      <w:r>
        <w:rPr>
          <w:rFonts w:hint="eastAsia"/>
          <w:lang w:val="en-US" w:eastAsia="zh-CN"/>
        </w:rPr>
        <w:t>（2种）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故障自动判断处理率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故障遥控处置率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故障研判准确率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小电流接地自动选线准确率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配电自动化快速复电成效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自愈复电成效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降低单位故障停电用户数投资成效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故障隔离准确率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联络开关自愈动作成功率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合环转供电比例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开关变位相关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遥控成功率（4种算法）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遥信正确率（2种算法）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遥控使用率（3种算法）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转电遥控成功率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自动化开关应控必控率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配电自动化开关应控必控率</w:t>
      </w:r>
      <w:r>
        <w:rPr>
          <w:rFonts w:hint="eastAsia"/>
          <w:lang w:val="en-US" w:eastAsia="zh-CN"/>
        </w:rPr>
        <w:t>（与上方算法有差异）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配电自动化开关百台遥控、动作次数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2NTFjOGFhZjRkNzhhMTBkYzVhNjRkNmUwZmQwNmIifQ=="/>
  </w:docVars>
  <w:rsids>
    <w:rsidRoot w:val="00172A27"/>
    <w:rsid w:val="01542D3D"/>
    <w:rsid w:val="07281A30"/>
    <w:rsid w:val="08400E5F"/>
    <w:rsid w:val="15816976"/>
    <w:rsid w:val="15DC7353"/>
    <w:rsid w:val="17444875"/>
    <w:rsid w:val="28397CDF"/>
    <w:rsid w:val="32CD7318"/>
    <w:rsid w:val="344614A2"/>
    <w:rsid w:val="3A173499"/>
    <w:rsid w:val="3D6A26E6"/>
    <w:rsid w:val="41783590"/>
    <w:rsid w:val="43E13DB7"/>
    <w:rsid w:val="4AED7DAD"/>
    <w:rsid w:val="5C8E7193"/>
    <w:rsid w:val="6DFD43E2"/>
    <w:rsid w:val="6E535B46"/>
    <w:rsid w:val="72CA2A6D"/>
    <w:rsid w:val="76250C89"/>
    <w:rsid w:val="77716ACC"/>
    <w:rsid w:val="7A38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793</Words>
  <Characters>802</Characters>
  <Lines>0</Lines>
  <Paragraphs>0</Paragraphs>
  <TotalTime>18</TotalTime>
  <ScaleCrop>false</ScaleCrop>
  <LinksUpToDate>false</LinksUpToDate>
  <CharactersWithSpaces>804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2021-09-11T08:10:00Z</dcterms:created>
  <dc:creator>Administrator</dc:creator>
  <cp:lastModifiedBy>郁楠</cp:lastModifiedBy>
  <dcterms:modified xsi:type="dcterms:W3CDTF">2022-07-08T09:09:32Z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2769787ACFDD49C88210A17DD39DC698</vt:lpwstr>
  </property>
</Properties>
</file>