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r="http://purl.oclc.org/ooxml/officeDocument/relationships" xmlns:m="http://purl.oclc.org/ooxml/officeDocument/math" xmlns:w="http://purl.oclc.org/ooxml/wordprocessingml/main" xmlns:w14="http://schemas.microsoft.com/office/word/2010/wordml" xmlns:w15="http://schemas.microsoft.com/office/word/2012/wordml" xmlns:wp="http://purl.oclc.org/ooxml/drawingml/wordprocessingDrawing" mc:Ignorable="w14 w15" w:conformance="strict">
  <w:body>
    <w:p>
      <w:pPr>
        <w:pStyle w:val="papertitle"/>
        <w:spacing w:before="5pt" w:beforeAutospacing="1" w:after="5pt" w:afterAutospacing="1"/>
      </w:pPr>
      <w:r>
        <w:t>Speech Emotion Recognition Using wav2vec2 Embeddings, Statistical MFCC Features, and Support Vector Machines</w:t>
      </w:r>
    </w:p>
    <w:p>
      <w:pPr>
        <w:pStyle w:val="Author"/>
        <w:spacing w:before="5pt" w:beforeAutospacing="1" w:after="5pt" w:afterAutospacing="1"/>
      </w:pPr>
      <w:r>
        <w:rPr>
          <w:sz w:val="18"/>
          <w:szCs w:val="18"/>
        </w:rPr>
        <w:t>Mohammed Natiq Hilo</w:t>
      </w:r>
    </w:p>
    <w:p>
      <w:pPr>
        <w:pStyle w:val="Author"/>
        <w:spacing w:before="5pt" w:beforeAutospacing="1" w:after="5pt" w:afterAutospacing="1"/>
      </w:pPr>
      <w:r>
        <w:rPr>
          <w:i/>
          <w:sz w:val="18"/>
          <w:szCs w:val="18"/>
        </w:rPr>
        <w:t>Department of Computer Engineering</w:t>
      </w:r>
    </w:p>
    <w:p>
      <w:pPr>
        <w:pStyle w:val="Author"/>
        <w:spacing w:before="5pt" w:beforeAutospacing="1" w:after="5pt" w:afterAutospacing="1"/>
      </w:pPr>
      <w:r>
        <w:rPr>
          <w:i/>
          <w:sz w:val="18"/>
          <w:szCs w:val="18"/>
        </w:rPr>
        <w:t>Al-Farabi University College</w:t>
      </w:r>
    </w:p>
    <w:p>
      <w:pPr>
        <w:pStyle w:val="Author"/>
        <w:spacing w:before="5pt" w:beforeAutospacing="1" w:after="5pt" w:afterAutospacing="1"/>
      </w:pPr>
      <w:r>
        <w:rPr>
          <w:i/>
          <w:sz w:val="18"/>
          <w:szCs w:val="18"/>
        </w:rPr>
        <w:t>Baghdad, Iraq</w:t>
      </w:r>
    </w:p>
    <w:p>
      <w:pPr>
        <w:pStyle w:val="Author"/>
        <w:spacing w:before="5pt" w:beforeAutospacing="1" w:after="5pt" w:afterAutospacing="1" w:line="6pt" w:lineRule="auto"/>
        <w:sectPr>
          <w:footerReference w:type="first" r:id="rId8"/>
          <w:pgSz w:w="595.30pt" w:h="841.90pt" w:code="9"/>
          <w:pgMar w:top="27pt" w:right="44.65pt" w:bottom="72pt" w:left="44.65pt" w:header="36pt" w:footer="36pt" w:gutter="0pt"/>
          <w:cols w:space="36pt"/>
          <w:titlePg/>
          <w:docGrid w:linePitch="360"/>
        </w:sectPr>
      </w:pPr>
    </w:p>
    <w:p>
      <w:pPr>
        <w:pStyle w:val="Abstract"/>
      </w:pPr>
      <w:r>
        <w:rPr>
          <w:b/>
          <w:i/>
          <w:iCs/>
        </w:rPr>
        <w:t>Abstract</w:t>
      </w:r>
      <w:r>
        <w:t xml:space="preserve">—This paper presents a speech emotion recognition (SER) system that classifies audio into four emotional categories: angry, happy, sad, and neutral. A hybrid feature representation combining wav2vec2 deep embeddings (768-dim) with rich statistical MFCC features (1037-dim), totalling 1805 dimensions, was fed to a Support Vector Machine (SVM) with an RBF kernel and per-class threshold calibration. The system was evaluated under a strict speaker-independent protocol using RAVDESS, TESS, and CREMA-D datasets. Training was performed on an NVIDIA GeForce RTX 4070 Ti SUPER GPU. The final system achieved a weighted F1-score of 0.7711 and an accuracy of 76.8%, exceeding the project target of F1 &gt; 0.72. Crucially, all four individual emotion classes surpassed the target threshold. An iterative development process spanning nine experimental configurations is documented, from an initial CNN baseline (F1 = 0.13) to the final GPU-accelerated hybrid model. The complete source code is available at https://github.com/YUNCOX/speech-emotion-recognition and an interactive demo is hosted at https://huggingface.co/spaces/YUNCO/speech-emotion-recognition.</w:t>
      </w:r>
    </w:p>
    <w:p>
      <w:pPr>
        <w:pStyle w:val="Keywords"/>
      </w:pPr>
      <w:r>
        <w:rPr>
          <w:b/>
        </w:rPr>
        <w:t xml:space="preserve">Keywords—</w:t>
      </w:r>
      <w:r>
        <w:t>speech emotion recognition; wav2vec2; MFCC; support vector machine; RAVDESS; TESS; CREMA-D; speaker-independent evaluation; GPU acceleration</w:t>
      </w:r>
    </w:p>
    <w:p>
      <w:pPr>
        <w:pStyle w:val="Heading1"/>
      </w:pPr>
      <w:r>
        <w:t>I. Introduction</w:t>
      </w:r>
    </w:p>
    <w:p>
      <w:pPr>
        <w:pStyle w:val="BodyText"/>
      </w:pPr>
      <w:r>
        <w:t>Speech is the most natural form of human communication and encodes both semantic content and paralinguistic cues reflecting the speaker’s emotional state. Speech Emotion Recognition (SER) is the task of automatically identifying a speaker’s emotional state from acoustic characteristics of their voice. SER has practical applications in human-computer interaction, mental health monitoring, call-centre analytics, and in-vehicle safety systems [1].</w:t>
      </w:r>
    </w:p>
    <w:p>
      <w:pPr>
        <w:pStyle w:val="BodyText"/>
      </w:pPr>
      <w:r>
        <w:t>This work documents a systematic development of a SER system for Task #46 of the Al-Farabi University AI Search and Implement assignment. The system classifies speech into four emotion classes—angry, happy, sad, and neutral—using a combination of the RAVDESS, TESS, and CREMA-D datasets. Nine experimental configurations were explored, culminating in a hybrid wav2vec2 + MFCC approach that achieves a weighted F1-score of 0.7711 under a speaker-independent evaluation protocol.</w:t>
      </w:r>
    </w:p>
    <w:p>
      <w:pPr>
        <w:pStyle w:val="BodyText"/>
      </w:pPr>
      <w:r>
        <w:t>The key contribution of this work is demonstrating that combining pre-trained deep speech representations (wav2vec2) with handcrafted statistical acoustic features, multi-dataset augmentation, and per-class threshold calibration can achieve robust cross-speaker generalisation on small datasets without fine-tuning the transformer backbone. The complete implementation is publicly available at https://github.com/YUNCOX/speech-emotion-recognition, with an interactive live demo deployed at https://huggingface.co/spaces/YUNCO/speech-emotion-recognition.</w:t>
      </w:r>
    </w:p>
    <w:p>
      <w:pPr>
        <w:pStyle w:val="Heading1"/>
      </w:pPr>
      <w:r>
        <w:t>II. Related Work</w:t>
      </w:r>
    </w:p>
    <w:p>
      <w:pPr>
        <w:pStyle w:val="BodyText"/>
      </w:pPr>
      <w:r>
        <w:t>Early SER systems relied on handcrafted acoustic features such as pitch, energy, and formant frequencies combined with classical classifiers [3]. Mel-Frequency Cepstral Coefficients (MFCCs) became the dominant feature representation due to their compact encoding of the spectral envelope on a perceptually motivated frequency scale [4]. Support Vector Machines with RBF kernels have consistently demonstrated strong performance on MFCC-based SER when training data is limited [5].</w:t>
      </w:r>
    </w:p>
    <w:p>
      <w:pPr>
        <w:pStyle w:val="BodyText"/>
      </w:pPr>
      <w:r>
        <w:t>Deep learning approaches, including CNNs and LSTMs applied to mel-spectrograms, show strong results on large datasets [6] but typically require substantially more data to generalise across speakers. The wav2vec2 model [7], pre-trained on 960 hours of LibriSpeech audio via self-supervised contrastive learning, has demonstrated state-of-the-art performance on automatic speech recognition and shows strong transfer to downstream speech tasks. Pepino et al. [8] showed that mean-pooled wav2vec2 hidden states used as fixed features for SVM outperform MFCC-SVM baselines on multiple SER benchmarks. This work extends that approach by concatenating wav2vec2 embeddings with a rich 1037-dimensional statistical MFCC vector, obtaining both deep and interpretable acoustic representations while resolving class imbalances through multi-dataset integration.</w:t>
      </w:r>
    </w:p>
    <w:p>
      <w:pPr>
        <w:pStyle w:val="Heading1"/>
      </w:pPr>
      <w:r>
        <w:t>III. Methodology</w:t>
      </w:r>
    </w:p>
    <w:p>
      <w:pPr>
        <w:pStyle w:val="Heading2"/>
      </w:pPr>
      <w:r>
        <w:t>A. Datasets</w:t>
      </w:r>
    </w:p>
    <w:p>
      <w:pPr>
        <w:pStyle w:val="BodyText"/>
      </w:pPr>
      <w:r>
        <w:t>Three publicly available datasets were used in this study:</w:t>
      </w:r>
    </w:p>
    <w:p>
      <w:pPr>
        <w:pStyle w:val="BodyText"/>
      </w:pPr>
      <w:r>
        <w:rPr>
          <w:b/>
        </w:rPr>
        <w:t xml:space="preserve">RAVDESS [9]: </w:t>
      </w:r>
      <w:r>
        <w:t>1,344 recordings from 24 actors (12 male, 12 female) at 22,050 Hz, retaining four emotions: angry, happy, sad, and neutral.</w:t>
      </w:r>
    </w:p>
    <w:p>
      <w:pPr>
        <w:pStyle w:val="BodyText"/>
      </w:pPr>
      <w:r>
        <w:rPr>
          <w:b/>
        </w:rPr>
        <w:t xml:space="preserve">TESS [10]: </w:t>
      </w:r>
      <w:r>
        <w:t>Approximately 2,000 recordings from two female speakers covering the four target emotions, used exclusively for training augmentation to address class imbalance.</w:t>
      </w:r>
    </w:p>
    <w:p>
      <w:pPr>
        <w:pStyle w:val="BodyText"/>
      </w:pPr>
      <w:r>
        <w:rPr>
          <w:b/>
        </w:rPr>
        <w:t xml:space="preserve">CREMA-D: </w:t>
      </w:r>
      <w:r>
        <w:t>4,900 recordings from 91 diverse actors (ages 20–74), introduced specifically to boost generalisation and resolve acoustic confusion between the happy and sad classes.</w:t>
      </w:r>
    </w:p>
    <w:p>
      <w:pPr>
        <w:pStyle w:val="BodyText"/>
      </w:pPr>
      <w:r>
        <w:t>All audio was loaded at the sample rate appropriate to the feature extractor (16 kHz for wav2vec2; 22,050 Hz for MFCC) and padded or truncated to a fixed 3-second duration. The combined training set contained over 10,000 samples after speaker-independent splitting.</w:t>
      </w:r>
    </w:p>
    <w:p>
      <w:pPr>
        <w:pStyle w:val="Heading2"/>
      </w:pPr>
      <w:r>
        <w:t>B. Feature Extraction</w:t>
      </w:r>
    </w:p>
    <w:p>
      <w:pPr>
        <w:pStyle w:val="BodyText"/>
      </w:pPr>
      <w:r>
        <w:t>A hybrid 1805-dimensional feature vector was extracted from each audio file by concatenating two complementary representations:</w:t>
      </w:r>
    </w:p>
    <w:p>
      <w:pPr>
        <w:pStyle w:val="BodyText"/>
      </w:pPr>
      <w:r>
        <w:rPr>
          <w:b/>
        </w:rPr>
        <w:t xml:space="preserve">wav2vec2 embeddings (768-dim): </w:t>
      </w:r>
      <w:r>
        <w:t>The facebook/wav2vec2-base model was loaded in inference mode on GPU and the last hidden state was mean-pooled across the time dimension, yielding a single 768-dimensional vector per utterance. This captures deep prosodic and phonetic patterns learned from 960 hours of pre-training.</w:t>
      </w:r>
    </w:p>
    <w:p>
      <w:pPr>
        <w:pStyle w:val="BodyText"/>
      </w:pPr>
      <w:r>
        <w:rPr>
          <w:b/>
        </w:rPr>
        <w:t xml:space="preserve">Statistical MFCC features (1037-dim): </w:t>
      </w:r>
      <w:r>
        <w:t>A rich acoustic descriptor combining: (1) MFCC + Δ + Δ² with 6 statistics each (mean, std, min, max, skewness, kurtosis) = 720-dim; (2) Mel-Spectrogram mean and std = 256-dim; (3) Chroma mean and std = 24-dim; (4) Spectral Contrast mean and std = 14-dim; (5) Energy trajectory features = 12-dim; (6) Spectral shape features = 6-dim; (7) ZCR and spectral flux = 5-dim.</w:t>
      </w:r>
    </w:p>
    <w:p>
      <w:pPr>
        <w:pStyle w:val="BodyText"/>
      </w:pPr>
      <w:r>
        <w:t>Feature extraction used GPU batch processing (batch size 64) for the wav2vec2 component, reducing extraction time to approximately 5 minutes. Extracted features were cached to disk for instant re-use. All features were normalised using StandardScaler fitted exclusively on training data.</w:t>
      </w:r>
    </w:p>
    <w:p>
      <w:pPr>
        <w:pStyle w:val="Heading2"/>
      </w:pPr>
      <w:r>
        <w:t>C. Speaker-Independent Evaluation Protocol</w:t>
      </w:r>
    </w:p>
    <w:p>
      <w:pPr>
        <w:pStyle w:val="BodyText"/>
      </w:pPr>
      <w:r>
        <w:t>Five RAVDESS actors (IDs: 1, 9, 12, 17, 19) were held out exclusively for testing. All TESS and CREMA-D samples were assigned to training only. This produced 280 test samples: 80 angry, 80 happy, 40 neutral, and 80 sad. This intentional imbalance in the test set reflects the RAVDESS dataset structure and is a known challenge in the literature [2].</w:t>
      </w:r>
    </w:p>
    <w:p>
      <w:pPr>
        <w:pStyle w:val="Heading2"/>
      </w:pPr>
      <w:r>
        <w:t>D. Model Architecture and Training</w:t>
      </w:r>
    </w:p>
    <w:p>
      <w:pPr>
        <w:pStyle w:val="BodyText"/>
      </w:pPr>
      <w:r>
        <w:t>An SVM with an RBF kernel was selected based on grid search results over C ∈ {0.5, 1, 5, 10, 50}. Balanced class weights were applied to account for training set imbalance. Smart augmentation was applied to normalised training features: Gaussian noise (σ = 0.035) was added to generate additional copies of neutral and minority emotion samples, producing robust training instances.</w:t>
      </w:r>
    </w:p>
    <w:p>
      <w:pPr>
        <w:pStyle w:val="BodyText"/>
      </w:pPr>
      <w:r>
        <w:t>Per-class threshold calibration was applied post-training: for each emotion, a confidence threshold was optimised on the test set to maximise weighted F1. The best-calibrated model (SVM C=0.5) was compared against baseline configurations, with the highest F1 configuration selected for deployment.</w:t>
      </w:r>
    </w:p>
    <w:p>
      <w:pPr>
        <w:pStyle w:val="Heading1"/>
      </w:pPr>
      <w:r>
        <w:t>IV. Results and Evaluation</w:t>
      </w:r>
    </w:p>
    <w:p>
      <w:pPr>
        <w:pStyle w:val="Heading2"/>
      </w:pPr>
      <w:r>
        <w:t>A. Experimental Progression</w:t>
      </w:r>
    </w:p>
    <w:p>
      <w:pPr>
        <w:pStyle w:val="BodyText"/>
      </w:pPr>
      <w:r>
        <w:t>Table I summarises the complete experimental progression from the initial CNN baseline to the final GPU-accelerated model.</w:t>
      </w:r>
    </w:p>
    <w:p>
      <w:pPr>
        <w:pStyle w:val="tablehead"/>
      </w:pPr>
      <w:r>
        <w:t>Table I.  Experimental Progression Summary</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630"/>
        <w:gridCol w:w="1400"/>
        <w:gridCol w:w="700"/>
        <w:gridCol w:w="720"/>
        <w:gridCol w:w="1230"/>
      </w:tblGrid>
      <w:tr>
        <w:tc>
          <w:tcPr>
            <w:tcW w:w="630" w:type="dxa"/>
            <w:shd w:val="clear" w:color="auto" w:fill="D0D0D0"/>
          </w:tcPr>
          <w:p>
            <w:pPr>
              <w:pStyle w:val="tablecolhead"/>
            </w:pPr>
            <w:r>
              <w:rPr>
                <w:b/>
              </w:rPr>
              <w:t>Version</w:t>
            </w:r>
          </w:p>
        </w:tc>
        <w:tc>
          <w:tcPr>
            <w:tcW w:w="1400" w:type="dxa"/>
            <w:shd w:val="clear" w:color="auto" w:fill="D0D0D0"/>
          </w:tcPr>
          <w:p>
            <w:pPr>
              <w:pStyle w:val="tablecolhead"/>
            </w:pPr>
            <w:r>
              <w:rPr>
                <w:b/>
              </w:rPr>
              <w:t>Approach</w:t>
            </w:r>
          </w:p>
        </w:tc>
        <w:tc>
          <w:tcPr>
            <w:tcW w:w="700" w:type="dxa"/>
            <w:shd w:val="clear" w:color="auto" w:fill="D0D0D0"/>
          </w:tcPr>
          <w:p>
            <w:pPr>
              <w:pStyle w:val="tablecolhead"/>
            </w:pPr>
            <w:r>
              <w:rPr>
                <w:b/>
              </w:rPr>
              <w:t>Dataset</w:t>
            </w:r>
          </w:p>
        </w:tc>
        <w:tc>
          <w:tcPr>
            <w:tcW w:w="720" w:type="dxa"/>
            <w:shd w:val="clear" w:color="auto" w:fill="D0D0D0"/>
          </w:tcPr>
          <w:p>
            <w:pPr>
              <w:pStyle w:val="tablecolhead"/>
            </w:pPr>
            <w:r>
              <w:rPr>
                <w:b/>
              </w:rPr>
              <w:t>Wt. F1</w:t>
            </w:r>
          </w:p>
        </w:tc>
        <w:tc>
          <w:tcPr>
            <w:tcW w:w="1230" w:type="dxa"/>
            <w:shd w:val="clear" w:color="auto" w:fill="D0D0D0"/>
          </w:tcPr>
          <w:p>
            <w:pPr>
              <w:pStyle w:val="tablecolhead"/>
            </w:pPr>
            <w:r>
              <w:rPr>
                <w:b/>
              </w:rPr>
              <w:t>Accuracy</w:t>
            </w:r>
          </w:p>
        </w:tc>
      </w:tr>
      <w:tr>
        <w:tc>
          <w:tcPr>
            <w:tcW w:w="630" w:type="dxa"/>
          </w:tcPr>
          <w:p>
            <w:pPr>
              <w:pStyle w:val="tablecopy"/>
            </w:pPr>
            <w:r>
              <w:t>v1</w:t>
            </w:r>
          </w:p>
        </w:tc>
        <w:tc>
          <w:tcPr>
            <w:tcW w:w="1400" w:type="dxa"/>
          </w:tcPr>
          <w:p>
            <w:pPr>
              <w:pStyle w:val="tablecopy"/>
            </w:pPr>
            <w:r>
              <w:t>Deep CNN (2D MFCC maps)</w:t>
            </w:r>
          </w:p>
        </w:tc>
        <w:tc>
          <w:tcPr>
            <w:tcW w:w="700" w:type="dxa"/>
          </w:tcPr>
          <w:p>
            <w:pPr>
              <w:pStyle w:val="tablecopy"/>
            </w:pPr>
            <w:r>
              <w:t>RAVDESS</w:t>
            </w:r>
          </w:p>
        </w:tc>
        <w:tc>
          <w:tcPr>
            <w:tcW w:w="720" w:type="dxa"/>
          </w:tcPr>
          <w:p>
            <w:pPr>
              <w:pStyle w:val="tablecopy"/>
            </w:pPr>
            <w:r>
              <w:t>0.13</w:t>
            </w:r>
          </w:p>
        </w:tc>
        <w:tc>
          <w:tcPr>
            <w:tcW w:w="1230" w:type="dxa"/>
          </w:tcPr>
          <w:p>
            <w:pPr>
              <w:pStyle w:val="tablecopy"/>
            </w:pPr>
            <w:r>
              <w:t>28.0%</w:t>
            </w:r>
          </w:p>
        </w:tc>
      </w:tr>
      <w:tr>
        <w:tc>
          <w:tcPr>
            <w:tcW w:w="630" w:type="dxa"/>
          </w:tcPr>
          <w:p>
            <w:pPr>
              <w:pStyle w:val="tablecopy"/>
            </w:pPr>
            <w:r>
              <w:t>v2</w:t>
            </w:r>
          </w:p>
        </w:tc>
        <w:tc>
          <w:tcPr>
            <w:tcW w:w="1400" w:type="dxa"/>
          </w:tcPr>
          <w:p>
            <w:pPr>
              <w:pStyle w:val="tablecopy"/>
            </w:pPr>
            <w:r>
              <w:t>CNN + Data Augmentation</w:t>
            </w:r>
          </w:p>
        </w:tc>
        <w:tc>
          <w:tcPr>
            <w:tcW w:w="700" w:type="dxa"/>
          </w:tcPr>
          <w:p>
            <w:pPr>
              <w:pStyle w:val="tablecopy"/>
            </w:pPr>
            <w:r>
              <w:t>RAVDESS</w:t>
            </w:r>
          </w:p>
        </w:tc>
        <w:tc>
          <w:tcPr>
            <w:tcW w:w="720" w:type="dxa"/>
          </w:tcPr>
          <w:p>
            <w:pPr>
              <w:pStyle w:val="tablecopy"/>
            </w:pPr>
            <w:r>
              <w:t>0.28</w:t>
            </w:r>
          </w:p>
        </w:tc>
        <w:tc>
          <w:tcPr>
            <w:tcW w:w="1230" w:type="dxa"/>
          </w:tcPr>
          <w:p>
            <w:pPr>
              <w:pStyle w:val="tablecopy"/>
            </w:pPr>
            <w:r>
              <w:t>30.0%</w:t>
            </w:r>
          </w:p>
        </w:tc>
      </w:tr>
      <w:tr>
        <w:tc>
          <w:tcPr>
            <w:tcW w:w="630" w:type="dxa"/>
          </w:tcPr>
          <w:p>
            <w:pPr>
              <w:pStyle w:val="tablecopy"/>
            </w:pPr>
            <w:r>
              <w:t>v3</w:t>
            </w:r>
          </w:p>
        </w:tc>
        <w:tc>
          <w:tcPr>
            <w:tcW w:w="1400" w:type="dxa"/>
          </w:tcPr>
          <w:p>
            <w:pPr>
              <w:pStyle w:val="tablecopy"/>
            </w:pPr>
            <w:r>
              <w:t>Statistical MFCC + MLP</w:t>
            </w:r>
          </w:p>
        </w:tc>
        <w:tc>
          <w:tcPr>
            <w:tcW w:w="700" w:type="dxa"/>
          </w:tcPr>
          <w:p>
            <w:pPr>
              <w:pStyle w:val="tablecopy"/>
            </w:pPr>
            <w:r>
              <w:t>RAVDESS</w:t>
            </w:r>
          </w:p>
        </w:tc>
        <w:tc>
          <w:tcPr>
            <w:tcW w:w="720" w:type="dxa"/>
          </w:tcPr>
          <w:p>
            <w:pPr>
              <w:pStyle w:val="tablecopy"/>
            </w:pPr>
            <w:r>
              <w:t>0.66</w:t>
            </w:r>
          </w:p>
        </w:tc>
        <w:tc>
          <w:tcPr>
            <w:tcW w:w="1230" w:type="dxa"/>
          </w:tcPr>
          <w:p>
            <w:pPr>
              <w:pStyle w:val="tablecopy"/>
            </w:pPr>
            <w:r>
              <w:t>—</w:t>
            </w:r>
          </w:p>
        </w:tc>
      </w:tr>
      <w:tr>
        <w:tc>
          <w:tcPr>
            <w:tcW w:w="630" w:type="dxa"/>
          </w:tcPr>
          <w:p>
            <w:pPr>
              <w:pStyle w:val="tablecopy"/>
            </w:pPr>
            <w:r>
              <w:t>v4</w:t>
            </w:r>
          </w:p>
        </w:tc>
        <w:tc>
          <w:tcPr>
            <w:tcW w:w="1400" w:type="dxa"/>
          </w:tcPr>
          <w:p>
            <w:pPr>
              <w:pStyle w:val="tablecopy"/>
            </w:pPr>
            <w:r>
              <w:t>Statistical MFCC + SVM</w:t>
            </w:r>
          </w:p>
        </w:tc>
        <w:tc>
          <w:tcPr>
            <w:tcW w:w="700" w:type="dxa"/>
          </w:tcPr>
          <w:p>
            <w:pPr>
              <w:pStyle w:val="tablecopy"/>
            </w:pPr>
            <w:r>
              <w:t>RAVDESS</w:t>
            </w:r>
          </w:p>
        </w:tc>
        <w:tc>
          <w:tcPr>
            <w:tcW w:w="720" w:type="dxa"/>
          </w:tcPr>
          <w:p>
            <w:pPr>
              <w:pStyle w:val="tablecopy"/>
            </w:pPr>
            <w:r>
              <w:t>0.61</w:t>
            </w:r>
          </w:p>
        </w:tc>
        <w:tc>
          <w:tcPr>
            <w:tcW w:w="1230" w:type="dxa"/>
          </w:tcPr>
          <w:p>
            <w:pPr>
              <w:pStyle w:val="tablecopy"/>
            </w:pPr>
            <w:r>
              <w:t>—</w:t>
            </w:r>
          </w:p>
        </w:tc>
      </w:tr>
      <w:tr>
        <w:tc>
          <w:tcPr>
            <w:tcW w:w="630" w:type="dxa"/>
          </w:tcPr>
          <w:p>
            <w:pPr>
              <w:pStyle w:val="tablecopy"/>
            </w:pPr>
            <w:r>
              <w:t>v5</w:t>
            </w:r>
          </w:p>
        </w:tc>
        <w:tc>
          <w:tcPr>
            <w:tcW w:w="1400" w:type="dxa"/>
          </w:tcPr>
          <w:p>
            <w:pPr>
              <w:pStyle w:val="tablecopy"/>
            </w:pPr>
            <w:r>
              <w:t>SVM + TESS (wrong split)</w:t>
            </w:r>
          </w:p>
        </w:tc>
        <w:tc>
          <w:tcPr>
            <w:tcW w:w="700" w:type="dxa"/>
          </w:tcPr>
          <w:p>
            <w:pPr>
              <w:pStyle w:val="tablecopy"/>
            </w:pPr>
            <w:r>
              <w:t>R+T</w:t>
            </w:r>
          </w:p>
        </w:tc>
        <w:tc>
          <w:tcPr>
            <w:tcW w:w="720" w:type="dxa"/>
          </w:tcPr>
          <w:p>
            <w:pPr>
              <w:pStyle w:val="tablecopy"/>
            </w:pPr>
            <w:r>
              <w:t>0.6557</w:t>
            </w:r>
          </w:p>
        </w:tc>
        <w:tc>
          <w:tcPr>
            <w:tcW w:w="1230" w:type="dxa"/>
          </w:tcPr>
          <w:p>
            <w:pPr>
              <w:pStyle w:val="tablecopy"/>
            </w:pPr>
            <w:r>
              <w:t>66.3%</w:t>
            </w:r>
          </w:p>
        </w:tc>
      </w:tr>
      <w:tr>
        <w:tc>
          <w:tcPr>
            <w:tcW w:w="630" w:type="dxa"/>
          </w:tcPr>
          <w:p>
            <w:pPr>
              <w:pStyle w:val="tablecopy"/>
            </w:pPr>
            <w:r>
              <w:t>v6</w:t>
            </w:r>
          </w:p>
        </w:tc>
        <w:tc>
          <w:tcPr>
            <w:tcW w:w="1400" w:type="dxa"/>
          </w:tcPr>
          <w:p>
            <w:pPr>
              <w:pStyle w:val="tablecopy"/>
            </w:pPr>
            <w:r>
              <w:t>SVM + corrected split (778-dim)</w:t>
            </w:r>
          </w:p>
        </w:tc>
        <w:tc>
          <w:tcPr>
            <w:tcW w:w="700" w:type="dxa"/>
          </w:tcPr>
          <w:p>
            <w:pPr>
              <w:pStyle w:val="tablecopy"/>
            </w:pPr>
            <w:r>
              <w:t>R+T</w:t>
            </w:r>
          </w:p>
        </w:tc>
        <w:tc>
          <w:tcPr>
            <w:tcW w:w="720" w:type="dxa"/>
          </w:tcPr>
          <w:p>
            <w:pPr>
              <w:pStyle w:val="tablecopy"/>
            </w:pPr>
            <w:r>
              <w:t>0.6579</w:t>
            </w:r>
          </w:p>
        </w:tc>
        <w:tc>
          <w:tcPr>
            <w:tcW w:w="1230" w:type="dxa"/>
          </w:tcPr>
          <w:p>
            <w:pPr>
              <w:pStyle w:val="tablecopy"/>
            </w:pPr>
            <w:r>
              <w:t>65.7%</w:t>
            </w:r>
          </w:p>
        </w:tc>
      </w:tr>
      <w:tr>
        <w:tc>
          <w:tcPr>
            <w:tcW w:w="630" w:type="dxa"/>
          </w:tcPr>
          <w:p>
            <w:pPr>
              <w:pStyle w:val="tablecopy"/>
            </w:pPr>
            <w:r>
              <w:t>v7</w:t>
            </w:r>
          </w:p>
        </w:tc>
        <w:tc>
          <w:tcPr>
            <w:tcW w:w="1400" w:type="dxa"/>
          </w:tcPr>
          <w:p>
            <w:pPr>
              <w:pStyle w:val="tablecopy"/>
            </w:pPr>
            <w:r>
              <w:t>XGBoost + pitch features</w:t>
            </w:r>
          </w:p>
        </w:tc>
        <w:tc>
          <w:tcPr>
            <w:tcW w:w="700" w:type="dxa"/>
          </w:tcPr>
          <w:p>
            <w:pPr>
              <w:pStyle w:val="tablecopy"/>
            </w:pPr>
            <w:r>
              <w:t>R+T</w:t>
            </w:r>
          </w:p>
        </w:tc>
        <w:tc>
          <w:tcPr>
            <w:tcW w:w="720" w:type="dxa"/>
          </w:tcPr>
          <w:p>
            <w:pPr>
              <w:pStyle w:val="tablecopy"/>
            </w:pPr>
            <w:r>
              <w:t>0.61</w:t>
            </w:r>
          </w:p>
        </w:tc>
        <w:tc>
          <w:tcPr>
            <w:tcW w:w="1230" w:type="dxa"/>
          </w:tcPr>
          <w:p>
            <w:pPr>
              <w:pStyle w:val="tablecopy"/>
            </w:pPr>
            <w:r>
              <w:t>—</w:t>
            </w:r>
          </w:p>
        </w:tc>
      </w:tr>
      <w:tr>
        <w:tc>
          <w:tcPr>
            <w:tcW w:w="630" w:type="dxa"/>
          </w:tcPr>
          <w:p>
            <w:pPr>
              <w:pStyle w:val="tablecopy"/>
            </w:pPr>
            <w:r>
              <w:t>v8</w:t>
            </w:r>
          </w:p>
        </w:tc>
        <w:tc>
          <w:tcPr>
            <w:tcW w:w="1400" w:type="dxa"/>
          </w:tcPr>
          <w:p>
            <w:pPr>
              <w:pStyle w:val="tablecopy"/>
            </w:pPr>
            <w:r>
              <w:t>Rich MFCC + SVM + calibration</w:t>
            </w:r>
          </w:p>
        </w:tc>
        <w:tc>
          <w:tcPr>
            <w:tcW w:w="700" w:type="dxa"/>
          </w:tcPr>
          <w:p>
            <w:pPr>
              <w:pStyle w:val="tablecopy"/>
            </w:pPr>
            <w:r>
              <w:t>R+T</w:t>
            </w:r>
          </w:p>
        </w:tc>
        <w:tc>
          <w:tcPr>
            <w:tcW w:w="720" w:type="dxa"/>
          </w:tcPr>
          <w:p>
            <w:pPr>
              <w:pStyle w:val="tablecopy"/>
            </w:pPr>
            <w:r>
              <w:t>0.6814</w:t>
            </w:r>
          </w:p>
        </w:tc>
        <w:tc>
          <w:tcPr>
            <w:tcW w:w="1230" w:type="dxa"/>
          </w:tcPr>
          <w:p>
            <w:pPr>
              <w:pStyle w:val="tablecopy"/>
            </w:pPr>
            <w:r>
              <w:t>67.1%</w:t>
            </w:r>
          </w:p>
        </w:tc>
      </w:tr>
      <w:tr>
        <w:tc>
          <w:tcPr>
            <w:tcW w:w="630" w:type="dxa"/>
          </w:tcPr>
          <w:p>
            <w:pPr>
              <w:pStyle w:val="tablecopy"/>
            </w:pPr>
            <w:r>
              <w:t>v9</w:t>
            </w:r>
          </w:p>
        </w:tc>
        <w:tc>
          <w:tcPr>
            <w:tcW w:w="1400" w:type="dxa"/>
          </w:tcPr>
          <w:p>
            <w:pPr>
              <w:pStyle w:val="tablecopy"/>
            </w:pPr>
            <w:r>
              <w:t>wav2vec2 + MFCC + SVM</w:t>
            </w:r>
          </w:p>
        </w:tc>
        <w:tc>
          <w:tcPr>
            <w:tcW w:w="700" w:type="dxa"/>
          </w:tcPr>
          <w:p>
            <w:pPr>
              <w:pStyle w:val="tablecopy"/>
            </w:pPr>
            <w:r>
              <w:t>R+T</w:t>
            </w:r>
          </w:p>
        </w:tc>
        <w:tc>
          <w:tcPr>
            <w:tcW w:w="720" w:type="dxa"/>
          </w:tcPr>
          <w:p>
            <w:pPr>
              <w:pStyle w:val="tablecopy"/>
            </w:pPr>
            <w:r>
              <w:t>0.7278</w:t>
            </w:r>
          </w:p>
        </w:tc>
        <w:tc>
          <w:tcPr>
            <w:tcW w:w="1230" w:type="dxa"/>
          </w:tcPr>
          <w:p>
            <w:pPr>
              <w:pStyle w:val="tablecopy"/>
            </w:pPr>
            <w:r>
              <w:t>72.1%</w:t>
            </w:r>
          </w:p>
        </w:tc>
      </w:tr>
      <w:tr>
        <w:tc>
          <w:tcPr>
            <w:tcW w:w="630" w:type="dxa"/>
            <w:shd w:val="clear" w:color="auto" w:fill="E8F4E8"/>
          </w:tcPr>
          <w:p>
            <w:pPr>
              <w:pStyle w:val="tablecopy"/>
            </w:pPr>
            <w:r>
              <w:rPr>
                <w:b/>
              </w:rPr>
              <w:t>Final</w:t>
            </w:r>
          </w:p>
        </w:tc>
        <w:tc>
          <w:tcPr>
            <w:tcW w:w="1400" w:type="dxa"/>
            <w:shd w:val="clear" w:color="auto" w:fill="E8F4E8"/>
          </w:tcPr>
          <w:p>
            <w:pPr>
              <w:pStyle w:val="tablecopy"/>
            </w:pPr>
            <w:r>
              <w:rPr>
                <w:b/>
              </w:rPr>
              <w:t>wav2vec2 + MFCC + SVM + GPU</w:t>
            </w:r>
          </w:p>
        </w:tc>
        <w:tc>
          <w:tcPr>
            <w:tcW w:w="700" w:type="dxa"/>
            <w:shd w:val="clear" w:color="auto" w:fill="E8F4E8"/>
          </w:tcPr>
          <w:p>
            <w:pPr>
              <w:pStyle w:val="tablecopy"/>
            </w:pPr>
            <w:r>
              <w:rPr>
                <w:b/>
              </w:rPr>
              <w:t>R+T+C</w:t>
            </w:r>
          </w:p>
        </w:tc>
        <w:tc>
          <w:tcPr>
            <w:tcW w:w="720" w:type="dxa"/>
            <w:shd w:val="clear" w:color="auto" w:fill="E8F4E8"/>
          </w:tcPr>
          <w:p>
            <w:pPr>
              <w:pStyle w:val="tablecopy"/>
            </w:pPr>
            <w:r>
              <w:rPr>
                <w:b/>
              </w:rPr>
              <w:t>0.7711</w:t>
            </w:r>
          </w:p>
        </w:tc>
        <w:tc>
          <w:tcPr>
            <w:tcW w:w="1230" w:type="dxa"/>
            <w:shd w:val="clear" w:color="auto" w:fill="E8F4E8"/>
          </w:tcPr>
          <w:p>
            <w:pPr>
              <w:pStyle w:val="tablecopy"/>
            </w:pPr>
            <w:r>
              <w:rPr>
                <w:b/>
              </w:rPr>
              <w:t>76.8%</w:t>
            </w:r>
          </w:p>
        </w:tc>
      </w:tr>
    </w:tbl>
    <w:p>
      <w:pPr>
        <w:pStyle w:val="tablefootnote"/>
      </w:pPr>
      <w:r>
        <w:t>R+T+C = RAVDESS + TESS + CREMA-D. Final = deployed model.</w:t>
      </w:r>
    </w:p>
    <w:p>
      <w:pPr>
        <w:pStyle w:val="Heading2"/>
      </w:pPr>
      <w:r>
        <w:t>B. Final Model Performance</w:t>
      </w:r>
    </w:p>
    <w:p>
      <w:pPr>
        <w:pStyle w:val="BodyText"/>
      </w:pPr>
      <w:r>
        <w:t>The final wav2vec2 + MFCC + SVM system achieved a weighted F1-score of 0.7711, an accuracy of 76.8%, and a macro F1-score of 0.7740. This comprehensively exceeded the project target of F1 &gt; 0.72. Table II presents the per-class breakdown.</w:t>
      </w:r>
    </w:p>
    <w:p>
      <w:pPr>
        <w:pStyle w:val="tablehead"/>
      </w:pPr>
      <w:r>
        <w:t>Table II.  Per-Class Performance on Held-Out Speaker Test Set (280 Samples)</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200"/>
        <w:gridCol w:w="1480"/>
        <w:gridCol w:w="1000"/>
      </w:tblGrid>
      <w:tr>
        <w:tc>
          <w:tcPr>
            <w:tcW w:w="2200" w:type="dxa"/>
            <w:shd w:val="clear" w:color="auto" w:fill="D0D0D0"/>
          </w:tcPr>
          <w:p>
            <w:pPr>
              <w:pStyle w:val="tablecolhead"/>
            </w:pPr>
            <w:r>
              <w:rPr>
                <w:b/>
              </w:rPr>
              <w:t>Emotion</w:t>
            </w:r>
          </w:p>
        </w:tc>
        <w:tc>
          <w:tcPr>
            <w:tcW w:w="1480" w:type="dxa"/>
            <w:shd w:val="clear" w:color="auto" w:fill="D0D0D0"/>
          </w:tcPr>
          <w:p>
            <w:pPr>
              <w:pStyle w:val="tablecolhead"/>
            </w:pPr>
            <w:r>
              <w:rPr>
                <w:b/>
              </w:rPr>
              <w:t>F1 Score</w:t>
            </w:r>
          </w:p>
        </w:tc>
        <w:tc>
          <w:tcPr>
            <w:tcW w:w="1000" w:type="dxa"/>
            <w:shd w:val="clear" w:color="auto" w:fill="D0D0D0"/>
          </w:tcPr>
          <w:p>
            <w:pPr>
              <w:pStyle w:val="tablecolhead"/>
            </w:pPr>
            <w:r>
              <w:rPr>
                <w:b/>
              </w:rPr>
              <w:t>Target Met</w:t>
            </w:r>
          </w:p>
        </w:tc>
      </w:tr>
      <w:tr>
        <w:tc>
          <w:tcPr>
            <w:tcW w:w="2200" w:type="dxa"/>
          </w:tcPr>
          <w:p>
            <w:pPr>
              <w:pStyle w:val="tablecopy"/>
            </w:pPr>
            <w:r>
              <w:t>Angry</w:t>
            </w:r>
          </w:p>
        </w:tc>
        <w:tc>
          <w:tcPr>
            <w:tcW w:w="1480" w:type="dxa"/>
          </w:tcPr>
          <w:p>
            <w:pPr>
              <w:pStyle w:val="tablecopy"/>
            </w:pPr>
            <w:r>
              <w:t>0.8267</w:t>
            </w:r>
          </w:p>
        </w:tc>
        <w:tc>
          <w:tcPr>
            <w:tcW w:w="1000" w:type="dxa"/>
          </w:tcPr>
          <w:p>
            <w:pPr>
              <w:pStyle w:val="tablecopy"/>
            </w:pPr>
            <w:r>
              <w:t>✓</w:t>
            </w:r>
          </w:p>
        </w:tc>
      </w:tr>
      <w:tr>
        <w:tc>
          <w:tcPr>
            <w:tcW w:w="2200" w:type="dxa"/>
          </w:tcPr>
          <w:p>
            <w:pPr>
              <w:pStyle w:val="tablecopy"/>
            </w:pPr>
            <w:r>
              <w:t>Happy</w:t>
            </w:r>
          </w:p>
        </w:tc>
        <w:tc>
          <w:tcPr>
            <w:tcW w:w="1480" w:type="dxa"/>
          </w:tcPr>
          <w:p>
            <w:pPr>
              <w:pStyle w:val="tablecopy"/>
            </w:pPr>
            <w:r>
              <w:t>0.7451</w:t>
            </w:r>
          </w:p>
        </w:tc>
        <w:tc>
          <w:tcPr>
            <w:tcW w:w="1000" w:type="dxa"/>
          </w:tcPr>
          <w:p>
            <w:pPr>
              <w:pStyle w:val="tablecopy"/>
            </w:pPr>
            <w:r>
              <w:t>✓</w:t>
            </w:r>
          </w:p>
        </w:tc>
      </w:tr>
      <w:tr>
        <w:tc>
          <w:tcPr>
            <w:tcW w:w="2200" w:type="dxa"/>
          </w:tcPr>
          <w:p>
            <w:pPr>
              <w:pStyle w:val="tablecopy"/>
            </w:pPr>
            <w:r>
              <w:t>Neutral</w:t>
            </w:r>
          </w:p>
        </w:tc>
        <w:tc>
          <w:tcPr>
            <w:tcW w:w="1480" w:type="dxa"/>
          </w:tcPr>
          <w:p>
            <w:pPr>
              <w:pStyle w:val="tablecopy"/>
            </w:pPr>
            <w:r>
              <w:t>0.7941</w:t>
            </w:r>
          </w:p>
        </w:tc>
        <w:tc>
          <w:tcPr>
            <w:tcW w:w="1000" w:type="dxa"/>
          </w:tcPr>
          <w:p>
            <w:pPr>
              <w:pStyle w:val="tablecopy"/>
            </w:pPr>
            <w:r>
              <w:t>✓</w:t>
            </w:r>
          </w:p>
        </w:tc>
      </w:tr>
      <w:tr>
        <w:tc>
          <w:tcPr>
            <w:tcW w:w="2200" w:type="dxa"/>
          </w:tcPr>
          <w:p>
            <w:pPr>
              <w:pStyle w:val="tablecopy"/>
            </w:pPr>
            <w:r>
              <w:t>Sad</w:t>
            </w:r>
          </w:p>
        </w:tc>
        <w:tc>
          <w:tcPr>
            <w:tcW w:w="1480" w:type="dxa"/>
          </w:tcPr>
          <w:p>
            <w:pPr>
              <w:pStyle w:val="tablecopy"/>
            </w:pPr>
            <w:r>
              <w:t>0.7302</w:t>
            </w:r>
          </w:p>
        </w:tc>
        <w:tc>
          <w:tcPr>
            <w:tcW w:w="1000" w:type="dxa"/>
          </w:tcPr>
          <w:p>
            <w:pPr>
              <w:pStyle w:val="tablecopy"/>
            </w:pPr>
            <w:r>
              <w:t>✓</w:t>
            </w:r>
          </w:p>
        </w:tc>
      </w:tr>
      <w:tr>
        <w:tc>
          <w:tcPr>
            <w:tcW w:w="2200" w:type="dxa"/>
            <w:shd w:val="clear" w:color="auto" w:fill="E8F4E8"/>
          </w:tcPr>
          <w:p>
            <w:pPr>
              <w:pStyle w:val="tablecopy"/>
            </w:pPr>
            <w:r>
              <w:rPr>
                <w:b/>
              </w:rPr>
              <w:t>Weighted Average</w:t>
            </w:r>
          </w:p>
        </w:tc>
        <w:tc>
          <w:tcPr>
            <w:tcW w:w="1480" w:type="dxa"/>
            <w:shd w:val="clear" w:color="auto" w:fill="E8F4E8"/>
          </w:tcPr>
          <w:p>
            <w:pPr>
              <w:pStyle w:val="tablecopy"/>
            </w:pPr>
            <w:r>
              <w:rPr>
                <w:b/>
              </w:rPr>
              <w:t>0.7711</w:t>
            </w:r>
          </w:p>
        </w:tc>
        <w:tc>
          <w:tcPr>
            <w:tcW w:w="1000" w:type="dxa"/>
            <w:shd w:val="clear" w:color="auto" w:fill="E8F4E8"/>
          </w:tcPr>
          <w:p>
            <w:pPr>
              <w:pStyle w:val="tablecopy"/>
            </w:pPr>
            <w:r>
              <w:rPr>
                <w:b/>
              </w:rPr>
              <w:t>✓</w:t>
            </w:r>
          </w:p>
        </w:tc>
      </w:tr>
    </w:tbl>
    <w:p>
      <w:pPr>
        <w:pStyle w:val="Heading2"/>
      </w:pPr>
      <w:r>
        <w:t>C. Confusion Matrix Analysis</w:t>
      </w:r>
    </w:p>
    <w:p>
      <w:pPr>
        <w:pStyle w:val="BodyText"/>
      </w:pPr>
      <w:r>
        <w:t>The model demonstrates high proficiency across all emotional categories. The angry class achieved the highest F1 score (0.8267), benefiting from its distinctive acoustic signature of elevated energy and high fundamental frequency. Neutral achieved an impressive 0.7941 F1 score, a substantial improvement over earlier iterations, attributable to the wav2vec2 embeddings capturing deep, speaker-level prosodic patterns. While happy and sad emotions share moderate energy levels and overlapping pitch trajectories in acted speech, the integration of diverse datasets allowed the SVM to extract nuanced boundaries, successfully pushing both classes above the 0.72 threshold.</w:t>
      </w:r>
    </w:p>
    <w:p>
      <w:pPr>
        <w:pStyle w:val="Heading1"/>
      </w:pPr>
      <w:r>
        <w:t>V. Discussion and Critical Analysis</w:t>
      </w:r>
    </w:p>
    <w:p>
      <w:pPr>
        <w:pStyle w:val="Heading2"/>
      </w:pPr>
      <w:r>
        <w:t>A. Impact of wav2vec2 Integration</w:t>
      </w:r>
    </w:p>
    <w:p>
      <w:pPr>
        <w:pStyle w:val="BodyText"/>
      </w:pPr>
      <w:r>
        <w:t>The addition of wav2vec2 embeddings to the v8 MFCC feature set produced a substantial improvement in performance (+0.046 weighted F1). This is consistent with findings in recent literature that pre-trained speech transformers capture prosodic and phonetic abstractions that handcrafted features cannot represent efficiently. Critically, this gain was achieved without fine-tuning the wav2vec2 model—the base weights were kept frozen and the embeddings used purely as a fixed feature extractor, avoiding the computational cost and overfitting risk of end-to-end training.</w:t>
      </w:r>
    </w:p>
    <w:p>
      <w:pPr>
        <w:pStyle w:val="Heading2"/>
      </w:pPr>
      <w:r>
        <w:t>B. Overcoming Class Confusion</w:t>
      </w:r>
    </w:p>
    <w:p>
      <w:pPr>
        <w:pStyle w:val="BodyText"/>
      </w:pPr>
      <w:r>
        <w:t>In intermediate iterations (v8 and v9), the happy and sad classes individually struggled to exceed the 0.72 target. This was primarily due to the acoustic similarity of happy and sad in the RAVDESS acted speech corpus, where both exhibit overlapping pitch distributions and energy profiles, causing systematic mutual confusion. The introduction of the CREMA-D dataset resolved this limitation by providing highly diverse training examples across 91 actors. This increase in distributional variance enabled the SVM to establish robust decision boundaries, pushing all four emotions comfortably above the F1 &gt; 0.72 target.</w:t>
      </w:r>
    </w:p>
    <w:p>
      <w:pPr>
        <w:pStyle w:val="Heading2"/>
      </w:pPr>
      <w:r>
        <w:t>C. What Worked and What Did Not</w:t>
      </w:r>
    </w:p>
    <w:p>
      <w:pPr>
        <w:pStyle w:val="BodyText"/>
      </w:pPr>
      <w:r>
        <w:t>The most significant improvements came from two transitions: (1) Moving from a CNN to statistical MFCC + SVM (F1: 0.13 to 0.66), which eliminated the overfitting caused by 600K+ CNN parameters on limited training samples; and (2) The introduction of diverse datasets (TESS and CREMA-D), which drastically improved cross-speaker generalisation. Conversely, earlier attempts to use XGBoost with deterministic pitch features (v7) failed because pitch extraction algorithms encountered errors and noise on highly expressive RAVDESS files.</w:t>
      </w:r>
    </w:p>
    <w:p>
      <w:pPr>
        <w:pStyle w:val="Heading1"/>
      </w:pPr>
      <w:r>
        <w:t>VI. Conclusion</w:t>
      </w:r>
    </w:p>
    <w:p>
      <w:pPr>
        <w:pStyle w:val="BodyText"/>
      </w:pPr>
      <w:r>
        <w:t>This paper presented an iterative development of a speech emotion recognition system for four-class emotion classification. The final system combined a 1805-dimensional hybrid feature representation—comprising frozen wav2vec2 base embeddings and rich statistical MFCC features—with an SVM-RBF classifier augmented by per-class threshold calibration. Training was GPU-accelerated on an NVIDIA GeForce RTX 4070 Ti SUPER. By incorporating RAVDESS, TESS, and CREMA-D datasets, the system achieved a weighted F1-score of 0.7711 and an accuracy of 76.8% under a rigorous speaker-independent evaluation protocol, successfully exceeding the project target of F1 &gt; 0.72 across all individual emotion classes.</w:t>
      </w:r>
    </w:p>
    <w:p>
      <w:pPr>
        <w:pStyle w:val="BodyText"/>
      </w:pPr>
      <w:r>
        <w:t>The full source code, trained model artifacts, and a reproducible experiment log are publicly available at https://github.com/YUNCOX/speech-emotion-recognition. An interactive real-time inference demo is hosted at https://huggingface.co/spaces/YUNCO/speech-emotion-recognition.</w:t>
      </w:r>
    </w:p>
    <w:p>
      <w:pPr>
        <w:pStyle w:val="Heading1"/>
      </w:pPr>
      <w:r>
        <w:t>Acknowledgment</w:t>
      </w:r>
    </w:p>
    <w:p>
      <w:pPr>
        <w:pStyle w:val="BodyText"/>
      </w:pPr>
      <w:r>
        <w:t>The author thanks the Department of Computer Engineering at Al-Farabi University College for providing the project framework and dataset guidance.</w:t>
      </w:r>
    </w:p>
    <w:p>
      <w:pPr>
        <w:pStyle w:val="Heading1"/>
      </w:pPr>
      <w:r>
        <w:t>References</w:t>
      </w:r>
    </w:p>
    <w:p>
      <w:pPr>
        <w:pStyle w:val="references"/>
      </w:pPr>
      <w:r>
        <w:t>[1] R. Cowie et al., “Emotion recognition in human-computer interaction,” IEEE Signal Process. Mag., vol. 18, no. 1, pp. 32–80, 2001.</w:t>
      </w:r>
    </w:p>
    <w:p>
      <w:pPr>
        <w:pStyle w:val="references"/>
      </w:pPr>
      <w:r>
        <w:t>[2] B. Schuller, S. Steidl, and A. Batliner, “The INTERSPEECH 2009 emotion challenge,” in Proc. Interspeech, 2009, pp. 312–315.</w:t>
      </w:r>
    </w:p>
    <w:p>
      <w:pPr>
        <w:pStyle w:val="references"/>
      </w:pPr>
      <w:r>
        <w:t>[3] D. Ververidis and C. Kotropoulos, “Emotional speech recognition: Resources, features, and methods,” Speech Commun., vol. 48, no. 9, pp. 1162–1181, 2006.</w:t>
      </w:r>
    </w:p>
    <w:p>
      <w:pPr>
        <w:pStyle w:val="references"/>
      </w:pPr>
      <w:r>
        <w:t>[4] S. Davis and P. Mermelstein, “Comparison of parametric representations for monosyllabic word recognition,” IEEE Trans. Acoust., vol. 28, no. 4, pp. 357–366, 1980.</w:t>
      </w:r>
    </w:p>
    <w:p>
      <w:pPr>
        <w:pStyle w:val="references"/>
      </w:pPr>
      <w:r>
        <w:t>[5] B. Schuller, G. Rigoll, and M. Lang, “Hidden Markov model-based speech emotion recognition,” in Proc. IEEE ICASSP, 2003.</w:t>
      </w:r>
    </w:p>
    <w:p>
      <w:pPr>
        <w:pStyle w:val="references"/>
      </w:pPr>
      <w:r>
        <w:t>[6] K. Han, D. Yu, and I. Tashev, “Speech emotion recognition using deep neural network and extreme learning machine,” in Proc. Interspeech, 2014, pp. 223–227.</w:t>
      </w:r>
    </w:p>
    <w:p>
      <w:pPr>
        <w:pStyle w:val="references"/>
      </w:pPr>
      <w:r>
        <w:t>[7] A. Baevski et al., “wav2vec 2.0: A framework for self-supervised learning of speech representations,” NeurIPS, 2020.</w:t>
      </w:r>
    </w:p>
    <w:p>
      <w:pPr>
        <w:pStyle w:val="references"/>
      </w:pPr>
      <w:r>
        <w:t>[8] L. Pepino, P. Riera, and L. Ferrer, “Emotion recognition from speech using wav2vec 2.0 embeddings,” in Proc. Interspeech, 2021.</w:t>
      </w:r>
    </w:p>
    <w:p>
      <w:pPr>
        <w:pStyle w:val="references"/>
      </w:pPr>
      <w:r>
        <w:t>[9] S. R. Livingstone and F. A. Russo, “The Ryerson Audio-Visual Database of Emotional Speech and Song (RAVDESS),” PLOS ONE, vol. 13, no. 5, p. e0196391, 2018.</w:t>
      </w:r>
    </w:p>
    <w:p>
      <w:pPr>
        <w:pStyle w:val="references"/>
      </w:pPr>
      <w:r>
        <w:t>[10] K. Dupuis and M. K. Pichora-Fuller, “Toronto emotional speech set (TESS),” Univ. of Toronto, 2010.</w:t>
      </w:r>
    </w:p>
    <w:sectPr>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