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052" w:rsidRPr="00AE2052" w:rsidRDefault="00AE2052" w:rsidP="00AE205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r w:rsidRPr="00AE2052">
        <w:rPr>
          <w:rFonts w:ascii="Times New Roman" w:hAnsi="Times New Roman" w:cs="Times New Roman"/>
          <w:b/>
          <w:sz w:val="36"/>
          <w:szCs w:val="36"/>
        </w:rPr>
        <w:t>Marketing Guidelines</w:t>
      </w:r>
    </w:p>
    <w:p w:rsidR="00AE2052" w:rsidRPr="00AE2052" w:rsidRDefault="00AE2052" w:rsidP="00AE2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b/>
          <w:bCs/>
          <w:sz w:val="24"/>
          <w:szCs w:val="24"/>
        </w:rPr>
        <w:t>Messaging Principles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Prioritize </w:t>
      </w:r>
      <w:r w:rsidRPr="00AE2052">
        <w:rPr>
          <w:rFonts w:ascii="Times New Roman" w:eastAsia="Times New Roman" w:hAnsi="Times New Roman" w:cs="Times New Roman"/>
          <w:b/>
          <w:bCs/>
          <w:sz w:val="24"/>
          <w:szCs w:val="24"/>
        </w:rPr>
        <w:t>public health education</w:t>
      </w: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 over brand or product promotion.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AE2052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accuracy</w:t>
      </w: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 in every message; align with current medical consensus.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E2052">
        <w:rPr>
          <w:rFonts w:ascii="Times New Roman" w:eastAsia="Times New Roman" w:hAnsi="Times New Roman" w:cs="Times New Roman"/>
          <w:b/>
          <w:bCs/>
          <w:sz w:val="24"/>
          <w:szCs w:val="24"/>
        </w:rPr>
        <w:t>neutral, respectful language</w:t>
      </w: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 — avoid stigmatization of illnesses or lifestyles.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>Emphasize prevention, safety, and community well-being.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AE2052">
        <w:rPr>
          <w:rFonts w:ascii="Times New Roman" w:eastAsia="Times New Roman" w:hAnsi="Times New Roman" w:cs="Times New Roman"/>
          <w:i/>
          <w:iCs/>
          <w:sz w:val="24"/>
          <w:szCs w:val="24"/>
        </w:rPr>
        <w:t>awareness campaigns</w:t>
      </w: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E2052">
        <w:rPr>
          <w:rFonts w:ascii="Times New Roman" w:eastAsia="Times New Roman" w:hAnsi="Times New Roman" w:cs="Times New Roman"/>
          <w:i/>
          <w:iCs/>
          <w:sz w:val="24"/>
          <w:szCs w:val="24"/>
        </w:rPr>
        <w:t>product communications</w:t>
      </w: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 (messaging style must reflect the campaign type).</w:t>
      </w:r>
    </w:p>
    <w:p w:rsidR="00AE2052" w:rsidRPr="00AE2052" w:rsidRDefault="00AE2052" w:rsidP="00AE2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b/>
          <w:bCs/>
          <w:sz w:val="24"/>
          <w:szCs w:val="24"/>
        </w:rPr>
        <w:t>Tone &amp; Delivery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>Empathetic, supportive, and solution-oriented tone.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>Avoid sensationalism (no fear tactics, shocking visuals, or exaggerated urgency).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>Use storytelling that fosters hope, trust, and empowerment.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>Maintain consistency across platforms (TV, radio, digital, print).</w:t>
      </w:r>
    </w:p>
    <w:p w:rsidR="00AE2052" w:rsidRPr="00AE2052" w:rsidRDefault="00AE2052" w:rsidP="00AE2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b/>
          <w:bCs/>
          <w:sz w:val="24"/>
          <w:szCs w:val="24"/>
        </w:rPr>
        <w:t>Visual Content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AE2052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 representation</w:t>
      </w:r>
      <w:r w:rsidRPr="00AE2052">
        <w:rPr>
          <w:rFonts w:ascii="Times New Roman" w:eastAsia="Times New Roman" w:hAnsi="Times New Roman" w:cs="Times New Roman"/>
          <w:sz w:val="24"/>
          <w:szCs w:val="24"/>
        </w:rPr>
        <w:t>: diverse age groups, ethnicities, genders, and abilities.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>Depict healthcare professionals in a respectful, credible manner.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>Avoid over-glamorization or dramatization of medical interventions.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>Use graphics/animations to simplify complex concepts (e.g., how vaccines work).</w:t>
      </w:r>
    </w:p>
    <w:p w:rsidR="00AE2052" w:rsidRPr="00AE2052" w:rsidRDefault="00AE2052" w:rsidP="00AE2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b/>
          <w:bCs/>
          <w:sz w:val="24"/>
          <w:szCs w:val="24"/>
        </w:rPr>
        <w:t>Audience Focus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>Adapt content to different literacy levels — use plain language.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AE2052">
        <w:rPr>
          <w:rFonts w:ascii="Times New Roman" w:eastAsia="Times New Roman" w:hAnsi="Times New Roman" w:cs="Times New Roman"/>
          <w:b/>
          <w:bCs/>
          <w:sz w:val="24"/>
          <w:szCs w:val="24"/>
        </w:rPr>
        <w:t>call-to-action</w:t>
      </w: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 that encourages viewers to speak to healthcare professionals.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Provide links or references to </w:t>
      </w:r>
      <w:r w:rsidRPr="00AE2052">
        <w:rPr>
          <w:rFonts w:ascii="Times New Roman" w:eastAsia="Times New Roman" w:hAnsi="Times New Roman" w:cs="Times New Roman"/>
          <w:b/>
          <w:bCs/>
          <w:sz w:val="24"/>
          <w:szCs w:val="24"/>
        </w:rPr>
        <w:t>trusted health sources</w:t>
      </w: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 (e.g., WHO, CDC, local ministries of health).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Offer </w:t>
      </w:r>
      <w:r w:rsidRPr="00AE2052">
        <w:rPr>
          <w:rFonts w:ascii="Times New Roman" w:eastAsia="Times New Roman" w:hAnsi="Times New Roman" w:cs="Times New Roman"/>
          <w:b/>
          <w:bCs/>
          <w:sz w:val="24"/>
          <w:szCs w:val="24"/>
        </w:rPr>
        <w:t>multichannel engagement</w:t>
      </w:r>
      <w:r w:rsidRPr="00AE2052">
        <w:rPr>
          <w:rFonts w:ascii="Times New Roman" w:eastAsia="Times New Roman" w:hAnsi="Times New Roman" w:cs="Times New Roman"/>
          <w:sz w:val="24"/>
          <w:szCs w:val="24"/>
        </w:rPr>
        <w:t xml:space="preserve"> (hotline numbers, websites, QR codes for resources).</w:t>
      </w:r>
    </w:p>
    <w:p w:rsidR="00AE2052" w:rsidRPr="00AE2052" w:rsidRDefault="00AE2052" w:rsidP="00AE2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 Strategy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>Tailor messaging for specific audiences (children’s campaigns, elderly audiences, caregivers).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>Adapt regional campaigns to align with cultural norms and sensitivities.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>Ensure social media content is optimized with captions, short clips, and shareable formats.</w:t>
      </w:r>
    </w:p>
    <w:p w:rsidR="00AE2052" w:rsidRPr="00AE2052" w:rsidRDefault="00AE2052" w:rsidP="00AE20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052">
        <w:rPr>
          <w:rFonts w:ascii="Times New Roman" w:eastAsia="Times New Roman" w:hAnsi="Times New Roman" w:cs="Times New Roman"/>
          <w:sz w:val="24"/>
          <w:szCs w:val="24"/>
        </w:rPr>
        <w:t>Track engagement responsibly without exploiting emotional vulnerabilities.</w:t>
      </w:r>
    </w:p>
    <w:bookmarkEnd w:id="0"/>
    <w:p w:rsidR="00FF38DE" w:rsidRDefault="00FF38DE"/>
    <w:sectPr w:rsidR="00FF3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80FE7"/>
    <w:multiLevelType w:val="multilevel"/>
    <w:tmpl w:val="9038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052"/>
    <w:rsid w:val="00AE2052"/>
    <w:rsid w:val="00FF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7307"/>
  <w15:chartTrackingRefBased/>
  <w15:docId w15:val="{66DBA98C-8CF4-4B4B-AC82-19540492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20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205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E2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2052"/>
    <w:rPr>
      <w:b/>
      <w:bCs/>
    </w:rPr>
  </w:style>
  <w:style w:type="character" w:styleId="Emphasis">
    <w:name w:val="Emphasis"/>
    <w:basedOn w:val="DefaultParagraphFont"/>
    <w:uiPriority w:val="20"/>
    <w:qFormat/>
    <w:rsid w:val="00AE20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4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1</cp:revision>
  <dcterms:created xsi:type="dcterms:W3CDTF">2025-09-03T04:39:00Z</dcterms:created>
  <dcterms:modified xsi:type="dcterms:W3CDTF">2025-09-03T04:40:00Z</dcterms:modified>
</cp:coreProperties>
</file>