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3022" w:rsidRPr="00CA3022" w:rsidRDefault="00CA3022" w:rsidP="00CA3022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CA3022">
        <w:rPr>
          <w:rFonts w:ascii="Times New Roman" w:hAnsi="Times New Roman" w:cs="Times New Roman"/>
          <w:b/>
          <w:sz w:val="36"/>
          <w:szCs w:val="36"/>
        </w:rPr>
        <w:t>Regulatory Guidelines</w:t>
      </w:r>
      <w:bookmarkStart w:id="0" w:name="_GoBack"/>
      <w:bookmarkEnd w:id="0"/>
    </w:p>
    <w:p w:rsidR="00CA3022" w:rsidRDefault="00CA3022" w:rsidP="00CA3022">
      <w:pPr>
        <w:pStyle w:val="NormalWeb"/>
        <w:numPr>
          <w:ilvl w:val="0"/>
          <w:numId w:val="2"/>
        </w:numPr>
      </w:pPr>
      <w:r>
        <w:rPr>
          <w:rStyle w:val="Strong"/>
        </w:rPr>
        <w:t>Advertising Compliance</w:t>
      </w:r>
    </w:p>
    <w:p w:rsidR="00CA3022" w:rsidRDefault="00CA3022" w:rsidP="00CA3022">
      <w:pPr>
        <w:pStyle w:val="NormalWeb"/>
        <w:numPr>
          <w:ilvl w:val="1"/>
          <w:numId w:val="2"/>
        </w:numPr>
      </w:pPr>
      <w:r>
        <w:t>Align with international and regional standards:</w:t>
      </w:r>
    </w:p>
    <w:p w:rsidR="00CA3022" w:rsidRDefault="00CA3022" w:rsidP="00CA3022">
      <w:pPr>
        <w:pStyle w:val="NormalWeb"/>
        <w:numPr>
          <w:ilvl w:val="2"/>
          <w:numId w:val="2"/>
        </w:numPr>
      </w:pPr>
      <w:r>
        <w:rPr>
          <w:rStyle w:val="Strong"/>
        </w:rPr>
        <w:t>FDA (U.S.)</w:t>
      </w:r>
      <w:r>
        <w:t xml:space="preserve"> – fair balance of risks/benefits in prescription ads.</w:t>
      </w:r>
    </w:p>
    <w:p w:rsidR="00CA3022" w:rsidRDefault="00CA3022" w:rsidP="00CA3022">
      <w:pPr>
        <w:pStyle w:val="NormalWeb"/>
        <w:numPr>
          <w:ilvl w:val="2"/>
          <w:numId w:val="2"/>
        </w:numPr>
      </w:pPr>
      <w:r>
        <w:rPr>
          <w:rStyle w:val="Strong"/>
        </w:rPr>
        <w:t>EMA/EFPIA (EU)</w:t>
      </w:r>
      <w:r>
        <w:t xml:space="preserve"> – restrictions on direct-to-consumer prescription promotion.</w:t>
      </w:r>
    </w:p>
    <w:p w:rsidR="00CA3022" w:rsidRDefault="00CA3022" w:rsidP="00CA3022">
      <w:pPr>
        <w:pStyle w:val="NormalWeb"/>
        <w:numPr>
          <w:ilvl w:val="2"/>
          <w:numId w:val="2"/>
        </w:numPr>
      </w:pPr>
      <w:r>
        <w:rPr>
          <w:rStyle w:val="Strong"/>
        </w:rPr>
        <w:t>Local regulators</w:t>
      </w:r>
      <w:r>
        <w:t xml:space="preserve"> – e.g., MHRA (UK), Health Canada, ASCI (India).</w:t>
      </w:r>
    </w:p>
    <w:p w:rsidR="00CA3022" w:rsidRDefault="00CA3022" w:rsidP="00CA3022">
      <w:pPr>
        <w:pStyle w:val="NormalWeb"/>
        <w:numPr>
          <w:ilvl w:val="1"/>
          <w:numId w:val="2"/>
        </w:numPr>
      </w:pPr>
      <w:r>
        <w:t xml:space="preserve">Avoid </w:t>
      </w:r>
      <w:r>
        <w:rPr>
          <w:rStyle w:val="Strong"/>
        </w:rPr>
        <w:t>disease exaggeration</w:t>
      </w:r>
      <w:r>
        <w:t xml:space="preserve"> that could be interpreted as coercive.</w:t>
      </w:r>
    </w:p>
    <w:p w:rsidR="00CA3022" w:rsidRDefault="00CA3022" w:rsidP="00CA3022">
      <w:pPr>
        <w:pStyle w:val="NormalWeb"/>
        <w:numPr>
          <w:ilvl w:val="1"/>
          <w:numId w:val="2"/>
        </w:numPr>
      </w:pPr>
      <w:r>
        <w:t xml:space="preserve">Distinguish clearly between </w:t>
      </w:r>
      <w:r>
        <w:rPr>
          <w:rStyle w:val="Strong"/>
        </w:rPr>
        <w:t>public health awareness</w:t>
      </w:r>
      <w:r>
        <w:t xml:space="preserve"> and </w:t>
      </w:r>
      <w:r>
        <w:rPr>
          <w:rStyle w:val="Strong"/>
        </w:rPr>
        <w:t>product advertising</w:t>
      </w:r>
      <w:r>
        <w:t>.</w:t>
      </w:r>
    </w:p>
    <w:p w:rsidR="00CA3022" w:rsidRDefault="00CA3022" w:rsidP="00CA3022">
      <w:pPr>
        <w:pStyle w:val="NormalWeb"/>
        <w:numPr>
          <w:ilvl w:val="0"/>
          <w:numId w:val="2"/>
        </w:numPr>
      </w:pPr>
      <w:r>
        <w:rPr>
          <w:rStyle w:val="Strong"/>
        </w:rPr>
        <w:t>Risk–Benefit Communication</w:t>
      </w:r>
    </w:p>
    <w:p w:rsidR="00CA3022" w:rsidRDefault="00CA3022" w:rsidP="00CA3022">
      <w:pPr>
        <w:pStyle w:val="NormalWeb"/>
        <w:numPr>
          <w:ilvl w:val="1"/>
          <w:numId w:val="2"/>
        </w:numPr>
      </w:pPr>
      <w:r>
        <w:t xml:space="preserve">Provide </w:t>
      </w:r>
      <w:r>
        <w:rPr>
          <w:rStyle w:val="Strong"/>
        </w:rPr>
        <w:t>balanced information</w:t>
      </w:r>
      <w:r>
        <w:t>: prevention benefits + possible side effects.</w:t>
      </w:r>
    </w:p>
    <w:p w:rsidR="00CA3022" w:rsidRDefault="00CA3022" w:rsidP="00CA3022">
      <w:pPr>
        <w:pStyle w:val="NormalWeb"/>
        <w:numPr>
          <w:ilvl w:val="1"/>
          <w:numId w:val="2"/>
        </w:numPr>
      </w:pPr>
      <w:r>
        <w:t xml:space="preserve">Reference only </w:t>
      </w:r>
      <w:r>
        <w:rPr>
          <w:rStyle w:val="Strong"/>
        </w:rPr>
        <w:t>regulator-approved data</w:t>
      </w:r>
      <w:r>
        <w:t xml:space="preserve"> in campaign claims.</w:t>
      </w:r>
    </w:p>
    <w:p w:rsidR="00CA3022" w:rsidRDefault="00CA3022" w:rsidP="00CA3022">
      <w:pPr>
        <w:pStyle w:val="NormalWeb"/>
        <w:numPr>
          <w:ilvl w:val="1"/>
          <w:numId w:val="2"/>
        </w:numPr>
      </w:pPr>
      <w:r>
        <w:t xml:space="preserve">Ensure statistics and medical claims are </w:t>
      </w:r>
      <w:r>
        <w:rPr>
          <w:rStyle w:val="Strong"/>
        </w:rPr>
        <w:t>sourced and verifiable</w:t>
      </w:r>
      <w:r>
        <w:t>.</w:t>
      </w:r>
    </w:p>
    <w:p w:rsidR="00CA3022" w:rsidRDefault="00CA3022" w:rsidP="00CA3022">
      <w:pPr>
        <w:pStyle w:val="NormalWeb"/>
        <w:numPr>
          <w:ilvl w:val="0"/>
          <w:numId w:val="2"/>
        </w:numPr>
      </w:pPr>
      <w:r>
        <w:rPr>
          <w:rStyle w:val="Strong"/>
        </w:rPr>
        <w:t>Accessibility Standards</w:t>
      </w:r>
    </w:p>
    <w:p w:rsidR="00CA3022" w:rsidRDefault="00CA3022" w:rsidP="00CA3022">
      <w:pPr>
        <w:pStyle w:val="NormalWeb"/>
        <w:numPr>
          <w:ilvl w:val="1"/>
          <w:numId w:val="2"/>
        </w:numPr>
      </w:pPr>
      <w:r>
        <w:t>Provide closed captions, translations, and sign-language interpretation where feasible.</w:t>
      </w:r>
    </w:p>
    <w:p w:rsidR="00CA3022" w:rsidRDefault="00CA3022" w:rsidP="00CA3022">
      <w:pPr>
        <w:pStyle w:val="NormalWeb"/>
        <w:numPr>
          <w:ilvl w:val="1"/>
          <w:numId w:val="2"/>
        </w:numPr>
      </w:pPr>
      <w:r>
        <w:t>Ensure compliance with accessibility laws (</w:t>
      </w:r>
      <w:r>
        <w:rPr>
          <w:rStyle w:val="Strong"/>
        </w:rPr>
        <w:t>ADA in U.S., Equality Act in UK</w:t>
      </w:r>
      <w:r>
        <w:t>).</w:t>
      </w:r>
    </w:p>
    <w:p w:rsidR="00CA3022" w:rsidRDefault="00CA3022" w:rsidP="00CA3022">
      <w:pPr>
        <w:pStyle w:val="NormalWeb"/>
        <w:numPr>
          <w:ilvl w:val="1"/>
          <w:numId w:val="2"/>
        </w:numPr>
      </w:pPr>
      <w:r>
        <w:t>Use plain visuals and large text to aid older viewers and low-literacy audiences.</w:t>
      </w:r>
    </w:p>
    <w:p w:rsidR="00CA3022" w:rsidRDefault="00CA3022" w:rsidP="00CA3022">
      <w:pPr>
        <w:pStyle w:val="NormalWeb"/>
        <w:numPr>
          <w:ilvl w:val="0"/>
          <w:numId w:val="2"/>
        </w:numPr>
      </w:pPr>
      <w:r>
        <w:rPr>
          <w:rStyle w:val="Strong"/>
        </w:rPr>
        <w:t>Approval Process</w:t>
      </w:r>
    </w:p>
    <w:p w:rsidR="00CA3022" w:rsidRDefault="00CA3022" w:rsidP="00CA3022">
      <w:pPr>
        <w:pStyle w:val="NormalWeb"/>
        <w:numPr>
          <w:ilvl w:val="1"/>
          <w:numId w:val="2"/>
        </w:numPr>
      </w:pPr>
      <w:r>
        <w:t xml:space="preserve">Submit all campaign material to </w:t>
      </w:r>
      <w:r>
        <w:rPr>
          <w:rStyle w:val="Strong"/>
        </w:rPr>
        <w:t>internal Medical/Legal/Regulatory (MLR) review</w:t>
      </w:r>
      <w:r>
        <w:t xml:space="preserve"> before release.</w:t>
      </w:r>
    </w:p>
    <w:p w:rsidR="00CA3022" w:rsidRDefault="00CA3022" w:rsidP="00CA3022">
      <w:pPr>
        <w:pStyle w:val="NormalWeb"/>
        <w:numPr>
          <w:ilvl w:val="1"/>
          <w:numId w:val="2"/>
        </w:numPr>
      </w:pPr>
      <w:r>
        <w:t>Seek external clearance in regions where pre-approval is required.</w:t>
      </w:r>
    </w:p>
    <w:p w:rsidR="00CA3022" w:rsidRDefault="00CA3022" w:rsidP="00CA3022">
      <w:pPr>
        <w:pStyle w:val="NormalWeb"/>
        <w:numPr>
          <w:ilvl w:val="1"/>
          <w:numId w:val="2"/>
        </w:numPr>
      </w:pPr>
      <w:r>
        <w:t>Archive approved versions for compliance tracking.</w:t>
      </w:r>
    </w:p>
    <w:p w:rsidR="00CA3022" w:rsidRDefault="00CA3022" w:rsidP="00CA3022">
      <w:pPr>
        <w:pStyle w:val="NormalWeb"/>
        <w:numPr>
          <w:ilvl w:val="0"/>
          <w:numId w:val="2"/>
        </w:numPr>
      </w:pPr>
      <w:r>
        <w:rPr>
          <w:rStyle w:val="Strong"/>
        </w:rPr>
        <w:t>Monitoring &amp; Reporting</w:t>
      </w:r>
    </w:p>
    <w:p w:rsidR="00CA3022" w:rsidRDefault="00CA3022" w:rsidP="00CA3022">
      <w:pPr>
        <w:pStyle w:val="NormalWeb"/>
        <w:numPr>
          <w:ilvl w:val="1"/>
          <w:numId w:val="2"/>
        </w:numPr>
      </w:pPr>
      <w:r>
        <w:t xml:space="preserve">Establish monitoring for </w:t>
      </w:r>
      <w:r>
        <w:rPr>
          <w:rStyle w:val="Strong"/>
        </w:rPr>
        <w:t>public feedback and adverse event reporting</w:t>
      </w:r>
      <w:r>
        <w:t xml:space="preserve"> (pharmacovigilance obligations).</w:t>
      </w:r>
    </w:p>
    <w:p w:rsidR="00CA3022" w:rsidRDefault="00CA3022" w:rsidP="00CA3022">
      <w:pPr>
        <w:pStyle w:val="NormalWeb"/>
        <w:numPr>
          <w:ilvl w:val="1"/>
          <w:numId w:val="2"/>
        </w:numPr>
      </w:pPr>
      <w:r>
        <w:t>Track campaign reach and compliance; remove or update non-compliant materials quickly.</w:t>
      </w:r>
    </w:p>
    <w:p w:rsidR="00CA3022" w:rsidRDefault="00CA3022" w:rsidP="00CA3022">
      <w:pPr>
        <w:pStyle w:val="NormalWeb"/>
        <w:numPr>
          <w:ilvl w:val="1"/>
          <w:numId w:val="2"/>
        </w:numPr>
      </w:pPr>
      <w:r>
        <w:t>Conduct periodic post-release audits to ensure adherence to ongoing regulatory updates.</w:t>
      </w:r>
    </w:p>
    <w:p w:rsidR="00CA3022" w:rsidRDefault="00CA3022" w:rsidP="00CA3022">
      <w:pPr>
        <w:pStyle w:val="NormalWeb"/>
        <w:numPr>
          <w:ilvl w:val="0"/>
          <w:numId w:val="2"/>
        </w:numPr>
      </w:pPr>
      <w:r>
        <w:rPr>
          <w:rStyle w:val="Strong"/>
        </w:rPr>
        <w:t>Digital-Specific Considerations</w:t>
      </w:r>
    </w:p>
    <w:p w:rsidR="00CA3022" w:rsidRDefault="00CA3022" w:rsidP="00CA3022">
      <w:pPr>
        <w:pStyle w:val="NormalWeb"/>
        <w:numPr>
          <w:ilvl w:val="1"/>
          <w:numId w:val="2"/>
        </w:numPr>
      </w:pPr>
      <w:r>
        <w:t xml:space="preserve">Ensure health ads comply with platform policies (Facebook, YouTube, </w:t>
      </w:r>
      <w:proofErr w:type="spellStart"/>
      <w:r>
        <w:t>TikTok</w:t>
      </w:r>
      <w:proofErr w:type="spellEnd"/>
      <w:r>
        <w:t>, LinkedIn).</w:t>
      </w:r>
    </w:p>
    <w:p w:rsidR="00CA3022" w:rsidRDefault="00CA3022" w:rsidP="00CA3022">
      <w:pPr>
        <w:pStyle w:val="NormalWeb"/>
        <w:numPr>
          <w:ilvl w:val="1"/>
          <w:numId w:val="2"/>
        </w:numPr>
      </w:pPr>
      <w:r>
        <w:t>Clearly label sponsored content or paid partnerships.</w:t>
      </w:r>
    </w:p>
    <w:p w:rsidR="00CA3022" w:rsidRDefault="00CA3022" w:rsidP="00CA3022">
      <w:pPr>
        <w:pStyle w:val="NormalWeb"/>
        <w:numPr>
          <w:ilvl w:val="1"/>
          <w:numId w:val="2"/>
        </w:numPr>
      </w:pPr>
      <w:r>
        <w:t>Avoid targeted advertising that could exploit vulnerable groups (children, elderly, immunocompromised).</w:t>
      </w:r>
    </w:p>
    <w:p w:rsidR="00CA3022" w:rsidRDefault="00CA3022" w:rsidP="00CA3022">
      <w:pPr>
        <w:pStyle w:val="NormalWeb"/>
        <w:numPr>
          <w:ilvl w:val="1"/>
          <w:numId w:val="2"/>
        </w:numPr>
      </w:pPr>
      <w:r>
        <w:t xml:space="preserve">Provide direct links to </w:t>
      </w:r>
      <w:r>
        <w:rPr>
          <w:rStyle w:val="Strong"/>
        </w:rPr>
        <w:t>official health resources</w:t>
      </w:r>
      <w:r>
        <w:t xml:space="preserve"> instead of promotional websites.</w:t>
      </w:r>
    </w:p>
    <w:p w:rsidR="00FF38DE" w:rsidRDefault="00FF38DE"/>
    <w:sectPr w:rsidR="00FF38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3A4915"/>
    <w:multiLevelType w:val="multilevel"/>
    <w:tmpl w:val="D82E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F24BA2"/>
    <w:multiLevelType w:val="multilevel"/>
    <w:tmpl w:val="B672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022"/>
    <w:rsid w:val="00CA3022"/>
    <w:rsid w:val="00FF3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F06C8"/>
  <w15:chartTrackingRefBased/>
  <w15:docId w15:val="{32992B44-3AEC-4A51-A81B-703A946DE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A30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A302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A30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A3022"/>
    <w:rPr>
      <w:b/>
      <w:bCs/>
    </w:rPr>
  </w:style>
  <w:style w:type="character" w:styleId="Emphasis">
    <w:name w:val="Emphasis"/>
    <w:basedOn w:val="DefaultParagraphFont"/>
    <w:uiPriority w:val="20"/>
    <w:qFormat/>
    <w:rsid w:val="00CA302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357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273</Words>
  <Characters>1558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</dc:creator>
  <cp:keywords/>
  <dc:description/>
  <cp:lastModifiedBy>Manish</cp:lastModifiedBy>
  <cp:revision>1</cp:revision>
  <dcterms:created xsi:type="dcterms:W3CDTF">2025-09-03T04:41:00Z</dcterms:created>
  <dcterms:modified xsi:type="dcterms:W3CDTF">2025-09-03T04:41:00Z</dcterms:modified>
</cp:coreProperties>
</file>