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t>
      </w:r>
    </w:p>
    <w:p>
      <w:pPr>
        <w:spacing w:after="60" w:before="60"/>
      </w:pPr>
      <w:r>
        <w:t xml:space="preserve"> </w:t>
      </w:r>
    </w:p>
    <w:p>
      <w:pPr>
        <w:spacing w:after="60" w:before="60"/>
      </w:pPr>
      <w:r>
        <w:t xml:space="preserve"> </w:t>
      </w:r>
    </w:p>
    <w:p>
      <w:pPr>
        <w:spacing w:after="100" w:before="400"/>
        <w:jc w:val="center"/>
      </w:pPr>
      <w:r>
        <w:rPr>
          <w:rFonts w:ascii="Arial" w:cs="Arial" w:eastAsia="Arial" w:hAnsi="Arial"/>
          <w:b/>
          <w:bCs/>
          <w:color w:val="1F4E79"/>
          <w:sz w:val="72"/>
          <w:szCs w:val="72"/>
        </w:rPr>
        <w:t xml:space="preserve">AMS.ai</w:t>
      </w:r>
    </w:p>
    <w:p>
      <w:pPr>
        <w:spacing w:after="400" w:before="60"/>
        <w:jc w:val="center"/>
      </w:pPr>
      <w:r>
        <w:rPr>
          <w:rFonts w:ascii="Arial" w:cs="Arial" w:eastAsia="Arial" w:hAnsi="Arial"/>
          <w:color w:val="2E75B6"/>
          <w:sz w:val="30"/>
          <w:szCs w:val="30"/>
        </w:rPr>
        <w:t xml:space="preserve">Veeva Vault AI Assistant Platform</w:t>
      </w:r>
    </w:p>
    <w:p>
      <w:pPr>
        <w:shd w:fill="1F4E79" w:val="clear"/>
        <w:spacing w:after="200" w:before="200"/>
        <w:jc w:val="center"/>
      </w:pPr>
      <w:r>
        <w:rPr>
          <w:rFonts w:ascii="Arial" w:cs="Arial" w:eastAsia="Arial" w:hAnsi="Arial"/>
          <w:b/>
          <w:bCs/>
          <w:color w:val="FFFFFF"/>
          <w:sz w:val="40"/>
          <w:szCs w:val="40"/>
        </w:rPr>
        <w:t xml:space="preserve">User Requirements Specification (URS)</w:t>
      </w:r>
    </w:p>
    <w:p>
      <w:pPr>
        <w:spacing w:after="60" w:before="60"/>
      </w:pPr>
      <w:r>
        <w:t xml:space="preserve"> </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 ID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AMS-URS-001</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Approved for IQ/OQ/PQ</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AMS.ai — Veeva Vault AI Assistant</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Prepared by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 Validation Team</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Approved by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Quality Assurance Manager</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Controlled Document — GxP</w:t>
            </w:r>
          </w:p>
        </w:tc>
      </w:tr>
    </w:tbl>
    <w:p>
      <w:pPr>
        <w:spacing w:after="60" w:before="60"/>
      </w:pPr>
      <w:r>
        <w:t xml:space="preserve"> </w:t>
      </w:r>
    </w:p>
    <w:p>
      <w:pPr>
        <w:spacing w:after="60" w:before="60"/>
      </w:pPr>
      <w:r>
        <w:t xml:space="preserve"> </w:t>
      </w:r>
    </w:p>
    <w:p>
      <w:r>
        <w:br w:type="page"/>
      </w:r>
    </w:p>
    <w:p>
      <w:pPr>
        <w:pStyle w:val="Heading1"/>
        <w:shd w:fill="1F4E79" w:val="clear"/>
        <w:spacing w:after="200" w:before="360"/>
      </w:pPr>
      <w:r>
        <w:rPr>
          <w:rFonts w:ascii="Arial" w:cs="Arial" w:eastAsia="Arial" w:hAnsi="Arial"/>
          <w:b/>
          <w:bCs/>
          <w:color w:val="FFFFFF"/>
          <w:sz w:val="32"/>
          <w:szCs w:val="32"/>
        </w:rPr>
        <w:t xml:space="preserve">1. Purpose</w:t>
      </w:r>
    </w:p>
    <w:p>
      <w:pPr>
        <w:spacing w:after="60" w:before="60"/>
      </w:pPr>
      <w:r>
        <w:rPr>
          <w:rFonts w:ascii="Arial" w:cs="Arial" w:eastAsia="Arial" w:hAnsi="Arial"/>
          <w:sz w:val="22"/>
          <w:szCs w:val="22"/>
        </w:rPr>
        <w:t xml:space="preserve">This User Requirements Specification (URS) defines the complete set of user, business, functional, security, data integrity, performance, and compliance requirements for AMS.ai — the Veeva Vault AI Assistant Platform. This document serves as the authoritative statement of WHAT the system must do and forms the foundational input for all downstream Computer System Validation (CSV) activities including the Functional Requirements Specification (FRS), Design Qualification (DQ), Installation Qualification (IQ), Operational Qualification (OQ), Performance Qualification (PQ), and the Requirements Traceability Matrix (RTM).</w:t>
      </w:r>
    </w:p>
    <w:p>
      <w:pPr>
        <w:pStyle w:val="Heading1"/>
        <w:shd w:fill="1F4E79" w:val="clear"/>
        <w:spacing w:after="200" w:before="360"/>
      </w:pPr>
      <w:r>
        <w:rPr>
          <w:rFonts w:ascii="Arial" w:cs="Arial" w:eastAsia="Arial" w:hAnsi="Arial"/>
          <w:b/>
          <w:bCs/>
          <w:color w:val="FFFFFF"/>
          <w:sz w:val="32"/>
          <w:szCs w:val="32"/>
        </w:rPr>
        <w:t xml:space="preserve">2. Scope</w:t>
      </w:r>
    </w:p>
    <w:p>
      <w:pPr>
        <w:spacing w:after="60" w:before="60"/>
      </w:pPr>
      <w:r>
        <w:rPr>
          <w:rFonts w:ascii="Arial" w:cs="Arial" w:eastAsia="Arial" w:hAnsi="Arial"/>
          <w:sz w:val="22"/>
          <w:szCs w:val="22"/>
        </w:rPr>
        <w:t xml:space="preserve">This URS covers:</w:t>
      </w:r>
    </w:p>
    <w:p>
      <w:pPr>
        <w:pStyle w:val="ListParagraph"/>
        <w:numPr>
          <w:ilvl w:val="0"/>
          <w:numId w:val="2"/>
        </w:numPr>
        <w:spacing w:after="40" w:before="40"/>
      </w:pPr>
      <w:r>
        <w:rPr>
          <w:rFonts w:ascii="Arial" w:cs="Arial" w:eastAsia="Arial" w:hAnsi="Arial"/>
          <w:sz w:val="22"/>
          <w:szCs w:val="22"/>
        </w:rPr>
        <w:t xml:space="preserve">AMS.ai Python backend (FastAPI, LangGraph agent, intent pipeline, MCP tool layer, RAG integration)</w:t>
      </w:r>
    </w:p>
    <w:p>
      <w:pPr>
        <w:pStyle w:val="ListParagraph"/>
        <w:numPr>
          <w:ilvl w:val="0"/>
          <w:numId w:val="2"/>
        </w:numPr>
        <w:spacing w:after="40" w:before="40"/>
      </w:pPr>
      <w:r>
        <w:rPr>
          <w:rFonts w:ascii="Arial" w:cs="Arial" w:eastAsia="Arial" w:hAnsi="Arial"/>
          <w:sz w:val="22"/>
          <w:szCs w:val="22"/>
        </w:rPr>
        <w:t xml:space="preserve">Chrome/Edge browser extension (Manifest V3 side-panel chat interface)</w:t>
      </w:r>
    </w:p>
    <w:p>
      <w:pPr>
        <w:pStyle w:val="ListParagraph"/>
        <w:numPr>
          <w:ilvl w:val="0"/>
          <w:numId w:val="2"/>
        </w:numPr>
        <w:spacing w:after="40" w:before="40"/>
      </w:pPr>
      <w:r>
        <w:rPr>
          <w:rFonts w:ascii="Arial" w:cs="Arial" w:eastAsia="Arial" w:hAnsi="Arial"/>
          <w:sz w:val="22"/>
          <w:szCs w:val="22"/>
        </w:rPr>
        <w:t xml:space="preserve">Veeva Vault Python SDK and MCP tool layer</w:t>
      </w:r>
    </w:p>
    <w:p>
      <w:pPr>
        <w:pStyle w:val="ListParagraph"/>
        <w:numPr>
          <w:ilvl w:val="0"/>
          <w:numId w:val="2"/>
        </w:numPr>
        <w:spacing w:after="40" w:before="40"/>
      </w:pPr>
      <w:r>
        <w:rPr>
          <w:rFonts w:ascii="Arial" w:cs="Arial" w:eastAsia="Arial" w:hAnsi="Arial"/>
          <w:sz w:val="22"/>
          <w:szCs w:val="22"/>
        </w:rPr>
        <w:t xml:space="preserve">RAG builder service (Weaviate, RabbitMQ, document processor)</w:t>
      </w:r>
    </w:p>
    <w:p>
      <w:pPr>
        <w:pStyle w:val="ListParagraph"/>
        <w:numPr>
          <w:ilvl w:val="0"/>
          <w:numId w:val="2"/>
        </w:numPr>
        <w:spacing w:after="40" w:before="40"/>
      </w:pPr>
      <w:r>
        <w:rPr>
          <w:rFonts w:ascii="Arial" w:cs="Arial" w:eastAsia="Arial" w:hAnsi="Arial"/>
          <w:sz w:val="22"/>
          <w:szCs w:val="22"/>
        </w:rPr>
        <w:t xml:space="preserve">ServiceNow mock integration for ticket lifecycle management</w:t>
      </w:r>
    </w:p>
    <w:p>
      <w:pPr>
        <w:pStyle w:val="ListParagraph"/>
        <w:numPr>
          <w:ilvl w:val="0"/>
          <w:numId w:val="2"/>
        </w:numPr>
        <w:spacing w:after="40" w:before="40"/>
      </w:pPr>
      <w:r>
        <w:rPr>
          <w:rFonts w:ascii="Arial" w:cs="Arial" w:eastAsia="Arial" w:hAnsi="Arial"/>
          <w:sz w:val="22"/>
          <w:szCs w:val="22"/>
        </w:rPr>
        <w:t xml:space="preserve">PostgreSQL session and audit persistence layer</w:t>
      </w:r>
    </w:p>
    <w:p>
      <w:pPr>
        <w:spacing w:after="60" w:before="60"/>
      </w:pPr>
      <w:r>
        <w:t xml:space="preserve"> </w:t>
      </w:r>
    </w:p>
    <w:p>
      <w:pPr>
        <w:spacing w:after="60" w:before="60"/>
      </w:pPr>
      <w:r>
        <w:rPr>
          <w:rFonts w:ascii="Arial" w:cs="Arial" w:eastAsia="Arial" w:hAnsi="Arial"/>
          <w:sz w:val="22"/>
          <w:szCs w:val="22"/>
        </w:rPr>
        <w:t xml:space="preserve">Out of scope: Veeva Vault itself; ServiceNow production instance; LLM provider infrastructure.</w:t>
      </w:r>
    </w:p>
    <w:p>
      <w:pPr>
        <w:pStyle w:val="Heading1"/>
        <w:shd w:fill="1F4E79" w:val="clear"/>
        <w:spacing w:after="200" w:before="360"/>
      </w:pPr>
      <w:r>
        <w:rPr>
          <w:rFonts w:ascii="Arial" w:cs="Arial" w:eastAsia="Arial" w:hAnsi="Arial"/>
          <w:b/>
          <w:bCs/>
          <w:color w:val="FFFFFF"/>
          <w:sz w:val="32"/>
          <w:szCs w:val="32"/>
        </w:rPr>
        <w:t xml:space="preserve">3. Definitions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AMS.ai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AI-powered Veeva Vault Assistant platform</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CSV</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Computer System Validation per GAMP5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GAMP5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Automated Manufacturing Practice, 5th edition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GxP</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Good Practice regulations (GMP, GLP, GCP)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Language Model</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MCP</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Model Context Protocol — tool-calling interface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Retrieval-Augmented Generation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URS</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User Requirements Specification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Functional Requirements Specification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DQ</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Design Qualification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IQ</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Installation Qualification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OQ</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Operational Qualification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PQ</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Qualification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RTM</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Requirements Traceability Matrix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SDLC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Development Lifecycle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21 CFR Part 11</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FDA regulation for electronic records and signatures</w:t>
            </w:r>
          </w:p>
        </w:tc>
      </w:tr>
    </w:tbl>
    <w:p>
      <w:pPr>
        <w:pStyle w:val="Heading1"/>
        <w:shd w:fill="1F4E79" w:val="clear"/>
        <w:spacing w:after="200" w:before="360"/>
      </w:pPr>
      <w:r>
        <w:rPr>
          <w:rFonts w:ascii="Arial" w:cs="Arial" w:eastAsia="Arial" w:hAnsi="Arial"/>
          <w:b/>
          <w:bCs/>
          <w:color w:val="FFFFFF"/>
          <w:sz w:val="32"/>
          <w:szCs w:val="32"/>
        </w:rPr>
        <w:t xml:space="preserve">4. System Overview</w:t>
      </w:r>
    </w:p>
    <w:p>
      <w:pPr>
        <w:spacing w:after="60" w:before="60"/>
      </w:pPr>
      <w:r>
        <w:rPr>
          <w:rFonts w:ascii="Arial" w:cs="Arial" w:eastAsia="Arial" w:hAnsi="Arial"/>
          <w:sz w:val="22"/>
          <w:szCs w:val="22"/>
        </w:rPr>
        <w:t xml:space="preserve">AMS.ai is an enterprise AI-powered support assistant for Veeva Vault, a GxP-regulated document and data management platform used in pharmaceutical, biotechnology, and life-sciences organisations. AMS.ai embeds as a Chromium browser side-panel and connects to a Python backend that classifies user intent, orchestrates multi-step agent workflows via LangGraph, and executes Veeva Vault operations through a structured MCP tool and SDK layer. The platform provides intelligent root-cause analysis, automated diagnostic execution, human-in-the-loop confirmation, and ServiceNow ticket creation with full investigation context.</w:t>
      </w:r>
    </w:p>
    <w:p>
      <w:pPr>
        <w:pStyle w:val="Heading1"/>
        <w:shd w:fill="1F4E79" w:val="clear"/>
        <w:spacing w:after="200" w:before="360"/>
      </w:pPr>
      <w:r>
        <w:rPr>
          <w:rFonts w:ascii="Arial" w:cs="Arial" w:eastAsia="Arial" w:hAnsi="Arial"/>
          <w:b/>
          <w:bCs/>
          <w:color w:val="FFFFFF"/>
          <w:sz w:val="32"/>
          <w:szCs w:val="32"/>
        </w:rPr>
        <w:t xml:space="preserve">5. User Requirements</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900"/>
        <w:gridCol w:w="700"/>
        <w:gridCol w:w="2060"/>
        <w:gridCol w:w="16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URS-001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Functional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provide a natural-language chat interface embedded as a side-panel within Chromium-based browsers operating on *.veevavault.com domains.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Enables in-context Veeva Vault support without navigating away from the vault application.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 panel visible within Veeva Vault; messages processed and responded to within 5 seconds.</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URS-002</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Functional</w:t>
            </w:r>
          </w:p>
        </w:tc>
        <w:tc>
          <w:tcPr>
            <w:tcW w:type="dxa" w:w="2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The system shall detect user intent from natural-language input using multi-layer classification including keyword, TF-IDF, semantic embedding, and LLM-based strategies.</w:t>
            </w:r>
          </w:p>
        </w:tc>
        <w:tc>
          <w:tcPr>
            <w:tcW w:type="dxa" w:w="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High</w:t>
            </w:r>
          </w:p>
        </w:tc>
        <w:tc>
          <w:tcPr>
            <w:tcW w:type="dxa" w:w="2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Accurate intent routing is critical for delivering correct automated support actions.</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≥90% intent detection accuracy measured on a representative test set of 200 labelled queries.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URS-003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Functional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support at minimum 16 distinct Veeva Vault issue intent categories covering login, document visibility, lifecycle, workflows, security, and configuration issues.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Comprehensive intent coverage reduces escalation volume and improves support efficiency.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16 intent categories respond correctly to canonical query examples without ambiguity.</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URS-004</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Functional</w:t>
            </w:r>
          </w:p>
        </w:tc>
        <w:tc>
          <w:tcPr>
            <w:tcW w:type="dxa" w:w="2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The system shall orchestrate multi-step agent workflows using a LangGraph-based graph, supporting parallel tool execution, human-in-the-loop approval gates, and session continuity across conversation turns.</w:t>
            </w:r>
          </w:p>
        </w:tc>
        <w:tc>
          <w:tcPr>
            <w:tcW w:type="dxa" w:w="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High</w:t>
            </w:r>
          </w:p>
        </w:tc>
        <w:tc>
          <w:tcPr>
            <w:tcW w:type="dxa" w:w="2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Complex Veeva Vault issues require multi-step investigation and require user confirmation before destructive operations.</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Agent correctly gates on approval for all write/delete operations; conversation history persists across ≥10 turns.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URS-005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Functional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integrate with Veeva Vault via a modular Python SDK supporting documents, users, workflows, audit trails, and lifecycle operations.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API integration enables automated investigation and resolution of Veeva Vault support tickets.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SDK modules successfully authenticate and execute read operations against a test Vault environment.</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URS-006</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Functional</w:t>
            </w:r>
          </w:p>
        </w:tc>
        <w:tc>
          <w:tcPr>
            <w:tcW w:type="dxa" w:w="2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The system shall create, update, retrieve, and close support tickets in a ServiceNow-compatible mock service, including structured AMS.ai analysis reports within the ticket body.</w:t>
            </w:r>
          </w:p>
        </w:tc>
        <w:tc>
          <w:tcPr>
            <w:tcW w:type="dxa" w:w="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High</w:t>
            </w:r>
          </w:p>
        </w:tc>
        <w:tc>
          <w:tcPr>
            <w:tcW w:type="dxa" w:w="2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Automated ticket creation with full investigation context reduces manual effort for support engineers.</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Ticket creation API returns ticket number within 3 seconds; ticket body includes root cause, resolution, and AMS.ai attribution.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URS-007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Functional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implement a RAG (Retrieval-Augmented Generation) pipeline using Weaviate vector store for knowledge base retrieval, enriching agent responses with historical resolution data.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ensures resolution accuracy by grounding AI responses in verified support knowledge.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retrieval returns relevant documents for ≥85% of issue queries; latency &lt;500 ms.</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URS-008</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Functional</w:t>
            </w:r>
          </w:p>
        </w:tc>
        <w:tc>
          <w:tcPr>
            <w:tcW w:type="dxa" w:w="2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The system shall extract parameters from user requests (e.g., site_id, action_id, report_id) according to intent-specific required-parameter configurations and return missing values explicitly.</w:t>
            </w:r>
          </w:p>
        </w:tc>
        <w:tc>
          <w:tcPr>
            <w:tcW w:type="dxa" w:w="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Medium</w:t>
            </w:r>
          </w:p>
        </w:tc>
        <w:tc>
          <w:tcPr>
            <w:tcW w:type="dxa" w:w="2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Accurate parameter extraction enables automated Veeva API calls without requiring manual data entry.</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JSON output correctly identifies present parameters and marks absent parameters as 'missing'.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URS-009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Functional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support configurable LLM provider selection including OpenAI, Azure OpenAI, Anthropic, and Groq, loaded from a YAML configuration file without code modification.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Multi-provider support ensures business continuity and cost flexibility in regulated environments.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Switching active_provider in llm_config.yaml results in successful LLM responses from the selected provider.</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URS-010</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Security</w:t>
            </w:r>
          </w:p>
        </w:tc>
        <w:tc>
          <w:tcPr>
            <w:tcW w:type="dxa" w:w="2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The system shall enforce session-based user identification using email address captured from Veeva Vault login events, associating all actions with an authenticated session.</w:t>
            </w:r>
          </w:p>
        </w:tc>
        <w:tc>
          <w:tcPr>
            <w:tcW w:type="dxa" w:w="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High</w:t>
            </w:r>
          </w:p>
        </w:tc>
        <w:tc>
          <w:tcPr>
            <w:tcW w:type="dxa" w:w="2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Regulatory environments require attributable and auditable user actions.</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All agent actions are associated with a session ID and user email; unauthenticated requests are rejected.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URS-011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require explicit user confirmation before executing any write, delete, or state-change operations within Veeva Vault.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Prevents unauthorised data modification in a regulated GxP Vault environment.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write operations execute without a preceding user confirmation event recorded in the session log.</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URS-012</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Data Integrity</w:t>
            </w:r>
          </w:p>
        </w:tc>
        <w:tc>
          <w:tcPr>
            <w:tcW w:type="dxa" w:w="2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The system shall maintain an immutable audit trail of all agent actions, MCP tool calls, intent detections, and ticket operations, stored in a PostgreSQL database with timestamps.</w:t>
            </w:r>
          </w:p>
        </w:tc>
        <w:tc>
          <w:tcPr>
            <w:tcW w:type="dxa" w:w="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High</w:t>
            </w:r>
          </w:p>
        </w:tc>
        <w:tc>
          <w:tcPr>
            <w:tcW w:type="dxa" w:w="2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Audit trails are mandatory for FDA 21 CFR Part 11 and GAMP5 compliance.</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Audit log entries are present for 100% of agent actions; records are non-modifiable via user interface.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URS-013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respond to user queries with streaming output commencing within 2 seconds of receipt and complete responses within 30 seconds for complex multi-tool agent flows.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Acceptable response latency is required for productive user workflows.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P95 streaming start latency &lt;2 s; P95 full response completion &lt;30 s under normal load.</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URS-014</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2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The system shall support concurrent sessions from multiple users without degradation of intent detection accuracy or agent response quality.</w:t>
            </w:r>
          </w:p>
        </w:tc>
        <w:tc>
          <w:tcPr>
            <w:tcW w:type="dxa" w:w="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Medium</w:t>
            </w:r>
          </w:p>
        </w:tc>
        <w:tc>
          <w:tcPr>
            <w:tcW w:type="dxa" w:w="2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Enterprise deployments require multi-user operation.</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System handles ≥10 concurrent sessions with &lt;10% latency increase compared to single-user baseline.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URS-015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log all data processing activities in compliance with GAMP5 Category 4 (Configured Product) standards, supporting audit trail review during regulatory inspections.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Mandatory for pharmaceutical and life-sciences validated system deployment.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trail is retrievable and human-readable for any 90-day window without data gaps.</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URS-016</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Reporting</w:t>
            </w:r>
          </w:p>
        </w:tc>
        <w:tc>
          <w:tcPr>
            <w:tcW w:type="dxa" w:w="2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The system shall provide an administrative interface for reviewing session histories, intent detection results, and ticket statuses.</w:t>
            </w:r>
          </w:p>
        </w:tc>
        <w:tc>
          <w:tcPr>
            <w:tcW w:type="dxa" w:w="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Medium</w:t>
            </w:r>
          </w:p>
        </w:tc>
        <w:tc>
          <w:tcPr>
            <w:tcW w:type="dxa" w:w="2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Operations teams require visibility into system performance and support case status.</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Admin API endpoints return session and intent data within 2 seconds for date-range queries ≤90 days.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URS-017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automatically learn from resolved support tickets by ingesting validated ticket summaries into the RAG knowledge base following user confirmation.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 learning improves resolution accuracy over 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ticket summaries are retrievable from RAG within 60 seconds of ingestion confirmation.</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URS-018</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Browser Extension</w:t>
            </w:r>
          </w:p>
        </w:tc>
        <w:tc>
          <w:tcPr>
            <w:tcW w:type="dxa" w:w="2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The system shall track user interactions within Veeva Vault pages, capturing intent-relevant contextual data (current module, object, lifecycle state) to supplement user queries.</w:t>
            </w:r>
          </w:p>
        </w:tc>
        <w:tc>
          <w:tcPr>
            <w:tcW w:type="dxa" w:w="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High</w:t>
            </w:r>
          </w:p>
        </w:tc>
        <w:tc>
          <w:tcPr>
            <w:tcW w:type="dxa" w:w="2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Contextual data enriches intent detection and reduces clarification round-trips.</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Captured context is attached to agent requests; context accuracy verified against Vault page DOM.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URS-019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Extension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support controlled host-application actions (screen refresh, cookie/cache clearing, form field population) executed only after explicit user confirmation.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Automation of repetitive actions reduces support resolution 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host action executes without a confirmation event; action outcome is reported back to the user.</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URS-020</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2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The system shall be deployable via Docker Compose and support horizontal scaling of the RAG ingestion pipeline via containerised worker pool management.</w:t>
            </w:r>
          </w:p>
        </w:tc>
        <w:tc>
          <w:tcPr>
            <w:tcW w:type="dxa" w:w="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Medium</w:t>
            </w:r>
          </w:p>
        </w:tc>
        <w:tc>
          <w:tcPr>
            <w:tcW w:type="dxa" w:w="2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Enterprise operations require reliable deployment and scale-out capabilities.</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Docker Compose deployment completes without error; RAG worker pool scales to ≥3 concurrent document processors.</w:t>
            </w:r>
          </w:p>
        </w:tc>
      </w:tr>
    </w:tbl>
    <w:p>
      <w:pPr>
        <w:pStyle w:val="Heading1"/>
        <w:shd w:fill="1F4E79" w:val="clear"/>
        <w:spacing w:after="200" w:before="360"/>
      </w:pPr>
      <w:r>
        <w:rPr>
          <w:rFonts w:ascii="Arial" w:cs="Arial" w:eastAsia="Arial" w:hAnsi="Arial"/>
          <w:b/>
          <w:bCs/>
          <w:color w:val="FFFFFF"/>
          <w:sz w:val="32"/>
          <w:szCs w:val="32"/>
        </w:rPr>
        <w:t xml:space="preserve">6. Compliance Requirements</w:t>
      </w:r>
    </w:p>
    <w:p>
      <w:pPr>
        <w:pStyle w:val="Heading2"/>
        <w:pBdr>
          <w:bottom w:val="single" w:color="BDD7EE" w:sz="3" w:space="1"/>
        </w:pBdr>
        <w:spacing w:after="120" w:before="240"/>
      </w:pPr>
      <w:r>
        <w:rPr>
          <w:rFonts w:ascii="Arial" w:cs="Arial" w:eastAsia="Arial" w:hAnsi="Arial"/>
          <w:b/>
          <w:bCs/>
          <w:color w:val="1F4E79"/>
          <w:sz w:val="26"/>
          <w:szCs w:val="26"/>
        </w:rPr>
        <w:t xml:space="preserve">6.1 Regulatory Framework</w:t>
      </w:r>
    </w:p>
    <w:p>
      <w:pPr>
        <w:pStyle w:val="ListParagraph"/>
        <w:numPr>
          <w:ilvl w:val="0"/>
          <w:numId w:val="2"/>
        </w:numPr>
        <w:spacing w:after="40" w:before="40"/>
      </w:pPr>
      <w:r>
        <w:rPr>
          <w:rFonts w:ascii="Arial" w:cs="Arial" w:eastAsia="Arial" w:hAnsi="Arial"/>
          <w:sz w:val="22"/>
          <w:szCs w:val="22"/>
        </w:rPr>
        <w:t xml:space="preserve">FDA 21 CFR Part 11 — Electronic Records and Electronic Signatures</w:t>
      </w:r>
    </w:p>
    <w:p>
      <w:pPr>
        <w:pStyle w:val="ListParagraph"/>
        <w:numPr>
          <w:ilvl w:val="0"/>
          <w:numId w:val="2"/>
        </w:numPr>
        <w:spacing w:after="40" w:before="40"/>
      </w:pPr>
      <w:r>
        <w:rPr>
          <w:rFonts w:ascii="Arial" w:cs="Arial" w:eastAsia="Arial" w:hAnsi="Arial"/>
          <w:sz w:val="22"/>
          <w:szCs w:val="22"/>
        </w:rPr>
        <w:t xml:space="preserve">GAMP5 — Good Automated Manufacturing Practice, Category 4 (Configured Product)</w:t>
      </w:r>
    </w:p>
    <w:p>
      <w:pPr>
        <w:pStyle w:val="ListParagraph"/>
        <w:numPr>
          <w:ilvl w:val="0"/>
          <w:numId w:val="2"/>
        </w:numPr>
        <w:spacing w:after="40" w:before="40"/>
      </w:pPr>
      <w:r>
        <w:rPr>
          <w:rFonts w:ascii="Arial" w:cs="Arial" w:eastAsia="Arial" w:hAnsi="Arial"/>
          <w:sz w:val="22"/>
          <w:szCs w:val="22"/>
        </w:rPr>
        <w:t xml:space="preserve">ALCOA+ principles — Attributable, Legible, Contemporaneous, Original, Accurate; Complete, Consistent, Enduring, Available</w:t>
      </w:r>
    </w:p>
    <w:p>
      <w:pPr>
        <w:pStyle w:val="ListParagraph"/>
        <w:numPr>
          <w:ilvl w:val="0"/>
          <w:numId w:val="2"/>
        </w:numPr>
        <w:spacing w:after="40" w:before="40"/>
      </w:pPr>
      <w:r>
        <w:rPr>
          <w:rFonts w:ascii="Arial" w:cs="Arial" w:eastAsia="Arial" w:hAnsi="Arial"/>
          <w:sz w:val="22"/>
          <w:szCs w:val="22"/>
        </w:rPr>
        <w:t xml:space="preserve">ICH Q10 — Pharmaceutical Quality System</w:t>
      </w:r>
    </w:p>
    <w:p>
      <w:pPr>
        <w:spacing w:after="60" w:before="60"/>
      </w:pPr>
      <w:r>
        <w:t xml:space="preserve"> </w:t>
      </w:r>
    </w:p>
    <w:p>
      <w:pPr>
        <w:pStyle w:val="Heading1"/>
        <w:shd w:fill="1F4E79" w:val="clear"/>
        <w:spacing w:after="200" w:before="360"/>
      </w:pPr>
      <w:r>
        <w:rPr>
          <w:rFonts w:ascii="Arial" w:cs="Arial" w:eastAsia="Arial" w:hAnsi="Arial"/>
          <w:b/>
          <w:bCs/>
          <w:color w:val="FFFFFF"/>
          <w:sz w:val="32"/>
          <w:szCs w:val="32"/>
        </w:rPr>
        <w:t xml:space="preserve">7. Risks &amp; Assumptions</w:t>
      </w:r>
    </w:p>
    <w:p>
      <w:pPr>
        <w:pStyle w:val="Heading2"/>
        <w:pBdr>
          <w:bottom w:val="single" w:color="BDD7EE" w:sz="3" w:space="1"/>
        </w:pBdr>
        <w:spacing w:after="120" w:before="240"/>
      </w:pPr>
      <w:r>
        <w:rPr>
          <w:rFonts w:ascii="Arial" w:cs="Arial" w:eastAsia="Arial" w:hAnsi="Arial"/>
          <w:b/>
          <w:bCs/>
          <w:color w:val="1F4E79"/>
          <w:sz w:val="26"/>
          <w:szCs w:val="26"/>
        </w:rPr>
        <w:t xml:space="preserve">7.1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460"/>
        <w:gridCol w:w="1500"/>
        <w:gridCol w:w="15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 ID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RISK-001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provider API outage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Intent detection degraded; agent unable to respond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Multi-provider fallback; offline_safe mode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RISK-002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Unauthorised Vault action execution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integrity violation in GxP environment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Human-in-the-loop approval gate (URS-011)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RISK-003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knowledge base staleness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Incorrect resolution recommendations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learning pipeline (URS-017)</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RISK-004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data exposure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Unauthorised access to audit/session data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Session-based auth; PostgreSQL access controls</w:t>
            </w:r>
          </w:p>
        </w:tc>
      </w:tr>
    </w:tbl>
    <w:p>
      <w:pPr>
        <w:pStyle w:val="Heading2"/>
        <w:pBdr>
          <w:bottom w:val="single" w:color="BDD7EE" w:sz="3" w:space="1"/>
        </w:pBdr>
        <w:spacing w:after="120" w:before="240"/>
      </w:pPr>
      <w:r>
        <w:rPr>
          <w:rFonts w:ascii="Arial" w:cs="Arial" w:eastAsia="Arial" w:hAnsi="Arial"/>
          <w:b/>
          <w:bCs/>
          <w:color w:val="1F4E79"/>
          <w:sz w:val="26"/>
          <w:szCs w:val="26"/>
        </w:rPr>
        <w:t xml:space="preserve">7.2 Assumptions</w:t>
      </w:r>
    </w:p>
    <w:p>
      <w:pPr>
        <w:pStyle w:val="ListParagraph"/>
        <w:numPr>
          <w:ilvl w:val="0"/>
          <w:numId w:val="2"/>
        </w:numPr>
        <w:spacing w:after="40" w:before="40"/>
      </w:pPr>
      <w:r>
        <w:rPr>
          <w:rFonts w:ascii="Arial" w:cs="Arial" w:eastAsia="Arial" w:hAnsi="Arial"/>
          <w:sz w:val="22"/>
          <w:szCs w:val="22"/>
        </w:rPr>
        <w:t xml:space="preserve">Veeva Vault instance is accessible from the deployment environment.</w:t>
      </w:r>
    </w:p>
    <w:p>
      <w:pPr>
        <w:pStyle w:val="ListParagraph"/>
        <w:numPr>
          <w:ilvl w:val="0"/>
          <w:numId w:val="2"/>
        </w:numPr>
        <w:spacing w:after="40" w:before="40"/>
      </w:pPr>
      <w:r>
        <w:rPr>
          <w:rFonts w:ascii="Arial" w:cs="Arial" w:eastAsia="Arial" w:hAnsi="Arial"/>
          <w:sz w:val="22"/>
          <w:szCs w:val="22"/>
        </w:rPr>
        <w:t xml:space="preserve">At least one LLM provider API key is available and configured in llm_config.yaml.</w:t>
      </w:r>
    </w:p>
    <w:p>
      <w:pPr>
        <w:pStyle w:val="ListParagraph"/>
        <w:numPr>
          <w:ilvl w:val="0"/>
          <w:numId w:val="2"/>
        </w:numPr>
        <w:spacing w:after="40" w:before="40"/>
      </w:pPr>
      <w:r>
        <w:rPr>
          <w:rFonts w:ascii="Arial" w:cs="Arial" w:eastAsia="Arial" w:hAnsi="Arial"/>
          <w:sz w:val="22"/>
          <w:szCs w:val="22"/>
        </w:rPr>
        <w:t xml:space="preserve">PostgreSQL 14+ is provisioned prior to backend startup.</w:t>
      </w:r>
    </w:p>
    <w:p>
      <w:pPr>
        <w:pStyle w:val="ListParagraph"/>
        <w:numPr>
          <w:ilvl w:val="0"/>
          <w:numId w:val="2"/>
        </w:numPr>
        <w:spacing w:after="40" w:before="40"/>
      </w:pPr>
      <w:r>
        <w:rPr>
          <w:rFonts w:ascii="Arial" w:cs="Arial" w:eastAsia="Arial" w:hAnsi="Arial"/>
          <w:sz w:val="22"/>
          <w:szCs w:val="22"/>
        </w:rPr>
        <w:t xml:space="preserve">End-users operate approved Chromium-based browsers (Chrome or Edge).</w:t>
      </w:r>
    </w:p>
    <w:p>
      <w:pPr>
        <w:spacing w:after="60" w:before="60"/>
      </w:pPr>
      <w:r>
        <w:t xml:space="preserve"> </w:t>
      </w:r>
    </w:p>
    <w:p>
      <w:pPr>
        <w:pStyle w:val="Heading2"/>
        <w:pBdr>
          <w:bottom w:val="single" w:color="BDD7EE" w:sz="3" w:space="1"/>
        </w:pBdr>
        <w:spacing w:after="120" w:before="240"/>
      </w:pPr>
      <w:r>
        <w:rPr>
          <w:rFonts w:ascii="Arial" w:cs="Arial" w:eastAsia="Arial" w:hAnsi="Arial"/>
          <w:b/>
          <w:bCs/>
          <w:color w:val="1F4E79"/>
          <w:sz w:val="26"/>
          <w:szCs w:val="26"/>
        </w:rPr>
        <w:t xml:space="preserve">Approval &amp;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080"/>
        <w:gridCol w:w="22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Author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 Reviewer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 Lead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Owner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t>
      </w:r>
    </w:p>
    <w:p>
      <w:r>
        <w:br w:type="page"/>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3" w:space="1"/>
      </w:pBdr>
      <w:tabs>
        <w:tab w:val="right" w:pos="9360"/>
      </w:tabs>
    </w:pPr>
    <w:r>
      <w:rPr>
        <w:rFonts w:ascii="Arial" w:cs="Arial" w:eastAsia="Arial" w:hAnsi="Arial"/>
        <w:color w:val="888888"/>
        <w:sz w:val="16"/>
        <w:szCs w:val="16"/>
      </w:rPr>
      <w:t xml:space="preserve">AMS-URS-001 | Version 1.0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space="1"/>
      </w:pBdr>
      <w:tabs>
        <w:tab w:val="right" w:pos="9360"/>
      </w:tabs>
    </w:pPr>
    <w:r>
      <w:rPr>
        <w:rFonts w:ascii="Arial" w:cs="Arial" w:eastAsia="Arial" w:hAnsi="Arial"/>
        <w:b/>
        <w:bCs/>
        <w:color w:val="1F4E79"/>
        <w:sz w:val="18"/>
        <w:szCs w:val="18"/>
      </w:rPr>
      <w:t xml:space="preserve">AMS.ai — URS</w:t>
    </w:r>
    <w:r>
      <w:rPr>
        <w:rFonts w:ascii="Arial" w:cs="Arial" w:eastAsia="Arial" w:hAnsi="Arial"/>
        <w:color w:val="888888"/>
        <w:sz w:val="16"/>
        <w:szCs w:val="16"/>
      </w:rPr>
      <w:t xml:space="preserve">		CONFIDENTIAL | CONTROLLED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pBdr>
      <w:shd w:fill="1F4E79" w:val="clear"/>
      <w:spacing w:after="200" w:before="300"/>
      <w:outlineLvl w:val="0"/>
    </w:pPr>
    <w:rPr>
      <w:rFonts w:ascii="Arial" w:cs="Arial" w:eastAsia="Arial" w:hAnsi="Arial"/>
      <w:b/>
      <w:bCs/>
      <w:color w:val="FFFFFF"/>
      <w:sz w:val="32"/>
      <w:szCs w:val="32"/>
    </w:rPr>
  </w:style>
  <w:style w:type="paragraph" w:styleId="Heading2">
    <w:name w:val="Heading 2"/>
    <w:basedOn w:val="Normal"/>
    <w:next w:val="Normal"/>
    <w:qFormat/>
    <w:pPr>
      <w:pBdr>
        <w:bottom w:val="single" w:color="BDD7EE" w:sz="3"/>
      </w:pBd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2026-05-20T11:38:15.488Z</dcterms:created>
  <dcterms:modified xsi:type="dcterms:W3CDTF">2026-05-20T11:38:15.503Z</dcterms:modified>
</cp:coreProperties>
</file>

<file path=docProps/custom.xml><?xml version="1.0" encoding="utf-8"?>
<Properties xmlns="http://schemas.openxmlformats.org/officeDocument/2006/custom-properties" xmlns:vt="http://schemas.openxmlformats.org/officeDocument/2006/docPropsVTypes"/>
</file>