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sz w:val="28"/>
        </w:rPr>
        <w:t>BEFORE THE DEPARTMENT OF TOWN AND COUNTRY PLANNING, HARYANA</w:t>
      </w:r>
    </w:p>
    <w:p>
      <w:pPr>
        <w:spacing w:after="140"/>
        <w:jc w:val="center"/>
      </w:pPr>
      <w:r>
        <w:rPr>
          <w:rFonts w:ascii="Times New Roman" w:hAnsi="Times New Roman" w:eastAsia="Times New Roman"/>
          <w:b/>
          <w:sz w:val="26"/>
        </w:rPr>
        <w:t>AND THE SENIOR TOWN PLANNER, GURUGRAM</w:t>
      </w:r>
    </w:p>
    <w:p>
      <w:pPr>
        <w:spacing w:after="60"/>
        <w:jc w:val="center"/>
      </w:pPr>
      <w:r>
        <w:rPr>
          <w:rFonts w:ascii="Times New Roman" w:hAnsi="Times New Roman" w:eastAsia="Times New Roman"/>
          <w:b/>
          <w:color w:val="1F4E79"/>
          <w:sz w:val="32"/>
        </w:rPr>
        <w:t>FOCUSED REPRESENTATION AND OBJECTIONS</w:t>
      </w:r>
    </w:p>
    <w:p>
      <w:pPr>
        <w:spacing w:after="240"/>
        <w:jc w:val="center"/>
      </w:pPr>
      <w:r>
        <w:rPr>
          <w:rFonts w:ascii="Times New Roman" w:hAnsi="Times New Roman" w:eastAsia="Times New Roman"/>
          <w:b/>
          <w:sz w:val="25"/>
        </w:rPr>
        <w:t>Proposed Change of Developer, Revised Plan and Preservation of Adjudicated Rights — Unit No. 3051</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D9EAD3"/>
            <w:tcMar>
              <w:top w:w="70" w:type="dxa"/>
              <w:start w:w="80" w:type="dxa"/>
              <w:bottom w:w="70" w:type="dxa"/>
              <w:end w:w="80" w:type="dxa"/>
            </w:tcMar>
            <w:vAlign w:val="center"/>
          </w:tcPr>
          <w:p>
            <w:pPr>
              <w:spacing w:after="0"/>
              <w:jc w:val="center"/>
            </w:pPr>
            <w:r>
              <w:rPr>
                <w:rFonts w:ascii="Times New Roman" w:hAnsi="Times New Roman" w:eastAsia="Times New Roman"/>
                <w:b/>
                <w:sz w:val="19"/>
              </w:rPr>
              <w:t>Particular</w:t>
            </w:r>
          </w:p>
        </w:tc>
        <w:tc>
          <w:tcPr>
            <w:tcW w:type="dxa" w:w="7992"/>
            <w:shd w:fill="D9EAD3"/>
            <w:tcMar>
              <w:top w:w="70" w:type="dxa"/>
              <w:start w:w="80" w:type="dxa"/>
              <w:bottom w:w="70" w:type="dxa"/>
              <w:end w:w="80" w:type="dxa"/>
            </w:tcMar>
            <w:vAlign w:val="center"/>
          </w:tcPr>
          <w:p>
            <w:pPr>
              <w:spacing w:after="0"/>
              <w:jc w:val="center"/>
            </w:pPr>
            <w:r>
              <w:rPr>
                <w:rFonts w:ascii="Times New Roman" w:hAnsi="Times New Roman" w:eastAsia="Times New Roman"/>
                <w:b/>
                <w:sz w:val="19"/>
              </w:rPr>
              <w:t>Details</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Project</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ATS Grandstand Phase-I, Sector 99A, Gurugram</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Unit</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Unit No. 3051, Tower No. 03, Type-D, 5th Floor</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Allottee / Complainant</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Prof. Vijyant Agarwal</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BBA</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Buyer–Builder Agreement dated 25.10.2018 with ATS Realworth Pvt. Ltd.</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HARERA matter</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Complaint No. 4463 of 2021; order dated 18.04.2024; rectification dated 08.08.2024</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Execution</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RERA-GRG-5309-2024</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Licence / COD</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Licence No. 37 of 2013; in-principle COD memo dated 10.12.2025</w:t>
            </w:r>
          </w:p>
        </w:tc>
      </w:tr>
      <w:tr>
        <w:trPr>
          <w:cantSplit/>
        </w:trPr>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9"/>
              </w:rPr>
              <w:t>Revised plan</w:t>
            </w:r>
          </w:p>
        </w:tc>
        <w:tc>
          <w:tcPr>
            <w:tcW w:type="dxa" w:w="7992"/>
            <w:tcMar>
              <w:top w:w="70" w:type="dxa"/>
              <w:start w:w="80" w:type="dxa"/>
              <w:bottom w:w="70" w:type="dxa"/>
              <w:end w:w="80" w:type="dxa"/>
            </w:tcMar>
            <w:vAlign w:val="top"/>
          </w:tcPr>
          <w:p>
            <w:pPr>
              <w:spacing w:after="0" w:line="240" w:lineRule="auto"/>
            </w:pPr>
            <w:r>
              <w:rPr>
                <w:rFonts w:ascii="Times New Roman" w:hAnsi="Times New Roman" w:eastAsia="Times New Roman"/>
                <w:sz w:val="19"/>
              </w:rPr>
              <w:t>ZP-938-II/SD(RD)/2026/15567 dated 04.05.2026</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FF2CC"/>
            <w:tcMar>
              <w:top w:w="100" w:type="dxa"/>
              <w:start w:w="120" w:type="dxa"/>
              <w:bottom w:w="100" w:type="dxa"/>
              <w:end w:w="120" w:type="dxa"/>
            </w:tcMar>
          </w:tcPr>
          <w:p>
            <w:pPr>
              <w:spacing w:after="40"/>
            </w:pPr>
            <w:r>
              <w:rPr>
                <w:rFonts w:ascii="Times New Roman" w:hAnsi="Times New Roman" w:eastAsia="Times New Roman"/>
                <w:b/>
                <w:sz w:val="21"/>
              </w:rPr>
              <w:t>Status of this draft</w:t>
            </w:r>
          </w:p>
          <w:p>
            <w:pPr>
              <w:spacing w:after="0" w:line="252" w:lineRule="auto"/>
            </w:pPr>
            <w:r>
              <w:rPr>
                <w:rFonts w:ascii="Times New Roman" w:hAnsi="Times New Roman" w:eastAsia="Times New Roman"/>
                <w:sz w:val="20"/>
              </w:rPr>
              <w:t>This document is a condensed, filing-oriented replacement for the broader master issues list. It preserves the strongest issues, removes internal action items and avoids asserting unverified group-wide liability as an existing legal fact.</w:t>
            </w:r>
          </w:p>
        </w:tc>
      </w:tr>
    </w:tbl>
    <w:p>
      <w:pPr>
        <w:spacing w:after="0"/>
      </w:pPr>
    </w:p>
    <w:p>
      <w:pPr>
        <w:pStyle w:val="Heading1"/>
        <w:spacing w:before="180" w:after="80"/>
        <w:keepNext/>
      </w:pPr>
      <w:r>
        <w:rPr>
          <w:rFonts w:ascii="Times New Roman" w:hAnsi="Times New Roman" w:eastAsia="Times New Roman"/>
          <w:b/>
          <w:sz w:val="28"/>
        </w:rPr>
        <w:t>To</w:t>
      </w:r>
    </w:p>
    <w:p>
      <w:pPr>
        <w:spacing w:before="0" w:after="60" w:line="259" w:lineRule="auto"/>
        <w:jc w:val="left"/>
      </w:pPr>
      <w:r>
        <w:rPr>
          <w:rFonts w:ascii="Times New Roman" w:hAnsi="Times New Roman" w:eastAsia="Times New Roman"/>
          <w:b/>
          <w:i w:val="0"/>
          <w:sz w:val="22"/>
        </w:rPr>
        <w:t>The Director / Competent Authority</w:t>
        <w:br/>
      </w:r>
      <w:r>
        <w:rPr>
          <w:rFonts w:ascii="Times New Roman" w:hAnsi="Times New Roman" w:eastAsia="Times New Roman"/>
          <w:b w:val="0"/>
          <w:i w:val="0"/>
          <w:sz w:val="22"/>
        </w:rPr>
        <w:t>Department of Town and Country Planning, Haryana, Chandigarh</w:t>
        <w:br/>
      </w:r>
      <w:r>
        <w:rPr>
          <w:rFonts w:ascii="Times New Roman" w:hAnsi="Times New Roman" w:eastAsia="Times New Roman"/>
          <w:b/>
          <w:i w:val="0"/>
          <w:sz w:val="22"/>
        </w:rPr>
        <w:t>and</w:t>
        <w:br/>
        <w:t>The Senior Town Planner, Gurugram</w:t>
      </w:r>
    </w:p>
    <w:p>
      <w:pPr>
        <w:pStyle w:val="Heading2"/>
        <w:spacing w:before="120" w:after="80"/>
        <w:keepNext/>
      </w:pPr>
      <w:r>
        <w:rPr>
          <w:rFonts w:ascii="Times New Roman" w:hAnsi="Times New Roman" w:eastAsia="Times New Roman"/>
          <w:b/>
          <w:sz w:val="24"/>
        </w:rPr>
        <w:t>Copies to</w:t>
      </w:r>
    </w:p>
    <w:p>
      <w:pPr>
        <w:pStyle w:val="ListBullet"/>
        <w:spacing w:after="40" w:line="252" w:lineRule="auto"/>
        <w:ind w:left="331" w:hanging="245"/>
      </w:pPr>
      <w:r>
        <w:rPr>
          <w:rFonts w:ascii="Times New Roman" w:hAnsi="Times New Roman" w:eastAsia="Times New Roman"/>
          <w:b w:val="0"/>
          <w:i w:val="0"/>
          <w:sz w:val="21"/>
        </w:rPr>
        <w:t>The Secretary / Competent Authority, Haryana Real Estate Regulatory Authority, Gurugram.</w:t>
      </w:r>
    </w:p>
    <w:p>
      <w:pPr>
        <w:pStyle w:val="ListBullet"/>
        <w:spacing w:after="40" w:line="252" w:lineRule="auto"/>
        <w:ind w:left="331" w:hanging="245"/>
      </w:pPr>
      <w:r>
        <w:rPr>
          <w:rFonts w:ascii="Times New Roman" w:hAnsi="Times New Roman" w:eastAsia="Times New Roman"/>
          <w:b w:val="0"/>
          <w:i w:val="0"/>
          <w:sz w:val="21"/>
        </w:rPr>
        <w:t>M/s ATS Realworth Pvt. Ltd. — BBA party and respondent in Complaint No. 4463 of 2021.</w:t>
      </w:r>
    </w:p>
    <w:p>
      <w:pPr>
        <w:pStyle w:val="ListBullet"/>
        <w:spacing w:after="40" w:line="252" w:lineRule="auto"/>
        <w:ind w:left="331" w:hanging="245"/>
      </w:pPr>
      <w:r>
        <w:rPr>
          <w:rFonts w:ascii="Times New Roman" w:hAnsi="Times New Roman" w:eastAsia="Times New Roman"/>
          <w:b w:val="0"/>
          <w:i w:val="0"/>
          <w:sz w:val="21"/>
        </w:rPr>
        <w:t>M/s Hasta Infrastructure Pvt. Ltd. — existing licence holder / outgoing colonizer, as stated in the COD record.</w:t>
      </w:r>
    </w:p>
    <w:p>
      <w:pPr>
        <w:pStyle w:val="ListBullet"/>
        <w:spacing w:after="40" w:line="252" w:lineRule="auto"/>
        <w:ind w:left="331" w:hanging="245"/>
      </w:pPr>
      <w:r>
        <w:rPr>
          <w:rFonts w:ascii="Times New Roman" w:hAnsi="Times New Roman" w:eastAsia="Times New Roman"/>
          <w:b w:val="0"/>
          <w:i w:val="0"/>
          <w:sz w:val="21"/>
        </w:rPr>
        <w:t>M/s Homekraft Infra Pvt. Ltd. / Homekraft Infrastructure Private Limited — proposed incoming entity; exact registered legal name to be verified from the COD and MCA records.</w:t>
      </w:r>
    </w:p>
    <w:p>
      <w:pPr>
        <w:spacing w:before="0" w:after="60" w:line="259" w:lineRule="auto"/>
      </w:pPr>
      <w:r>
        <w:rPr>
          <w:rFonts w:ascii="Times New Roman" w:hAnsi="Times New Roman" w:eastAsia="Times New Roman"/>
          <w:b/>
          <w:i w:val="0"/>
          <w:sz w:val="22"/>
        </w:rPr>
        <w:t xml:space="preserve">From: </w:t>
      </w:r>
      <w:r>
        <w:rPr>
          <w:rFonts w:ascii="Times New Roman" w:hAnsi="Times New Roman" w:eastAsia="Times New Roman"/>
          <w:b w:val="0"/>
          <w:i w:val="0"/>
          <w:sz w:val="22"/>
        </w:rPr>
        <w:t>Prof. Vijyant Agarwal, allottee of Unit No. 3051, ATS Grandstand Phase-I, Sector 99A, Gurugram.</w:t>
      </w:r>
    </w:p>
    <w:p>
      <w:pPr>
        <w:spacing w:before="0" w:after="160" w:line="259" w:lineRule="auto"/>
      </w:pPr>
      <w:r>
        <w:rPr>
          <w:rFonts w:ascii="Times New Roman" w:hAnsi="Times New Roman" w:eastAsia="Times New Roman"/>
          <w:b/>
          <w:i w:val="0"/>
          <w:sz w:val="22"/>
        </w:rPr>
        <w:t xml:space="preserve">Date: </w:t>
      </w:r>
      <w:r>
        <w:rPr>
          <w:rFonts w:ascii="Times New Roman" w:hAnsi="Times New Roman" w:eastAsia="Times New Roman"/>
          <w:b w:val="0"/>
          <w:i w:val="0"/>
          <w:sz w:val="22"/>
        </w:rPr>
        <w:t>18.06.2026</w:t>
      </w:r>
    </w:p>
    <w:p>
      <w:pPr>
        <w:spacing w:before="0" w:after="160" w:line="259" w:lineRule="auto"/>
      </w:pPr>
      <w:r>
        <w:rPr>
          <w:rFonts w:ascii="Times New Roman" w:hAnsi="Times New Roman" w:eastAsia="Times New Roman"/>
          <w:b/>
          <w:i w:val="0"/>
          <w:sz w:val="22"/>
        </w:rPr>
        <w:t xml:space="preserve">Subject: </w:t>
      </w:r>
      <w:r>
        <w:rPr>
          <w:rFonts w:ascii="Times New Roman" w:hAnsi="Times New Roman" w:eastAsia="Times New Roman"/>
          <w:b/>
          <w:i w:val="0"/>
          <w:sz w:val="22"/>
        </w:rPr>
        <w:t>Objections and mandatory safeguards before any final Change of Developer approval and in relation to the revised plan — preservation of the BBA, HARERA order, pre-EMI, possession, disclosure and compensation rights concerning Unit No. 3051.</w:t>
      </w:r>
    </w:p>
    <w:p>
      <w:pPr>
        <w:spacing w:before="0" w:after="100" w:line="259" w:lineRule="auto"/>
      </w:pPr>
      <w:r>
        <w:rPr>
          <w:rFonts w:ascii="Times New Roman" w:hAnsi="Times New Roman" w:eastAsia="Times New Roman"/>
          <w:b/>
          <w:i w:val="0"/>
          <w:sz w:val="22"/>
        </w:rPr>
        <w:t>Respected Sir/Madam,</w:t>
      </w:r>
    </w:p>
    <w:p>
      <w:pPr>
        <w:spacing w:before="0" w:after="100" w:line="259" w:lineRule="auto"/>
      </w:pPr>
      <w:r>
        <w:rPr>
          <w:rFonts w:ascii="Times New Roman" w:hAnsi="Times New Roman" w:eastAsia="Times New Roman"/>
          <w:b w:val="0"/>
          <w:i w:val="0"/>
          <w:sz w:val="22"/>
        </w:rPr>
        <w:t>The undersigned submits this focused representation without prejudice to all rights and remedies arising from the Buyer–Builder Agreement, the Real Estate (Regulation and Development) Act, 2016, the order dated 18.04.2024, its rectification dated 08.08.2024, and the pending execution proceedings. The allottee does not object to a lawful restructuring merely because corporate entities are being changed. The objection is to any approval that obscures the legal roles of the entities, releases an existing obligor, extends the project timeline, defeats an adjudicated direction, or prejudices Unit No. 3051 without informed notice and hearing.</w:t>
      </w:r>
    </w:p>
    <w:p>
      <w:pPr>
        <w:spacing w:before="0" w:after="100" w:line="259" w:lineRule="auto"/>
      </w:pPr>
      <w:r>
        <w:rPr>
          <w:rFonts w:ascii="Times New Roman" w:hAnsi="Times New Roman" w:eastAsia="Times New Roman"/>
          <w:b w:val="0"/>
          <w:i w:val="0"/>
          <w:sz w:val="22"/>
        </w:rPr>
        <w:t>The presently available papers prima facie indicate a related-party or intra-group arrangement involving ATS Realworth, Hasta and Homekraft. The precise ownership, control, consideration and transfer of rights should, however, be verified from certified MCA records and the complete COD file rather than treated as an established allegation.</w:t>
      </w:r>
    </w:p>
    <w:p>
      <w:pPr>
        <w:pStyle w:val="Heading1"/>
        <w:spacing w:before="180" w:after="80"/>
        <w:keepNext/>
      </w:pPr>
      <w:r>
        <w:rPr>
          <w:rFonts w:ascii="Times New Roman" w:hAnsi="Times New Roman" w:eastAsia="Times New Roman"/>
          <w:b/>
          <w:sz w:val="28"/>
        </w:rPr>
        <w:t>1. Executive summary of the objections</w:t>
      </w:r>
    </w:p>
    <w:p>
      <w:pPr>
        <w:pStyle w:val="ListBullet"/>
        <w:spacing w:after="80" w:line="252" w:lineRule="auto"/>
        <w:ind w:left="331" w:hanging="245"/>
      </w:pPr>
      <w:r>
        <w:rPr>
          <w:rFonts w:ascii="Times New Roman" w:hAnsi="Times New Roman" w:eastAsia="Times New Roman"/>
          <w:b/>
          <w:i w:val="0"/>
          <w:sz w:val="21"/>
        </w:rPr>
        <w:t xml:space="preserve">Three legal tracks must remain separate. </w:t>
      </w:r>
      <w:r>
        <w:rPr>
          <w:rFonts w:ascii="Times New Roman" w:hAnsi="Times New Roman" w:eastAsia="Times New Roman"/>
          <w:b w:val="0"/>
          <w:i w:val="0"/>
          <w:sz w:val="21"/>
        </w:rPr>
        <w:t>The DTCP colonizer/licence, the RERA promoter and BBA counterparty, and the revised building plan are legally distinct. A change in one track does not, by itself, determine the other two.</w:t>
      </w:r>
    </w:p>
    <w:p>
      <w:pPr>
        <w:pStyle w:val="ListBullet"/>
        <w:spacing w:after="80" w:line="252" w:lineRule="auto"/>
        <w:ind w:left="331" w:hanging="245"/>
      </w:pPr>
      <w:r>
        <w:rPr>
          <w:rFonts w:ascii="Times New Roman" w:hAnsi="Times New Roman" w:eastAsia="Times New Roman"/>
          <w:b/>
          <w:i w:val="0"/>
          <w:sz w:val="21"/>
        </w:rPr>
        <w:t xml:space="preserve">ATS Realworth cannot disappear from the record. </w:t>
      </w:r>
      <w:r>
        <w:rPr>
          <w:rFonts w:ascii="Times New Roman" w:hAnsi="Times New Roman" w:eastAsia="Times New Roman"/>
          <w:b w:val="0"/>
          <w:i w:val="0"/>
          <w:sz w:val="21"/>
        </w:rPr>
        <w:t>It executed the BBA and is the respondent against whom the HARERA order was passed. Any intended substitution or transfer must follow the applicable statutory process and must not extinguish accrued or adjudicated rights.</w:t>
      </w:r>
    </w:p>
    <w:p>
      <w:pPr>
        <w:pStyle w:val="ListBullet"/>
        <w:spacing w:after="80" w:line="252" w:lineRule="auto"/>
        <w:ind w:left="331" w:hanging="245"/>
      </w:pPr>
      <w:r>
        <w:rPr>
          <w:rFonts w:ascii="Times New Roman" w:hAnsi="Times New Roman" w:eastAsia="Times New Roman"/>
          <w:b/>
          <w:i w:val="0"/>
          <w:sz w:val="21"/>
        </w:rPr>
        <w:t xml:space="preserve">Section 15 must be examined if promoter rights or majority project liabilities are transferred. </w:t>
      </w:r>
      <w:r>
        <w:rPr>
          <w:rFonts w:ascii="Times New Roman" w:hAnsi="Times New Roman" w:eastAsia="Times New Roman"/>
          <w:b w:val="0"/>
          <w:i w:val="0"/>
          <w:sz w:val="21"/>
        </w:rPr>
        <w:t>Where the arrangement falls within Section 15, the required allottee consent and prior RERA approval must be demonstrated; the incoming promoter must independently perform pending obligations and cannot obtain a fresh completion period.</w:t>
      </w:r>
    </w:p>
    <w:p>
      <w:pPr>
        <w:pStyle w:val="ListBullet"/>
        <w:spacing w:after="80" w:line="252" w:lineRule="auto"/>
        <w:ind w:left="331" w:hanging="245"/>
      </w:pPr>
      <w:r>
        <w:rPr>
          <w:rFonts w:ascii="Times New Roman" w:hAnsi="Times New Roman" w:eastAsia="Times New Roman"/>
          <w:b/>
          <w:i w:val="0"/>
          <w:sz w:val="21"/>
        </w:rPr>
        <w:t xml:space="preserve">The HARERA order requires performance, not a generic promise. </w:t>
      </w:r>
      <w:r>
        <w:rPr>
          <w:rFonts w:ascii="Times New Roman" w:hAnsi="Times New Roman" w:eastAsia="Times New Roman"/>
          <w:b w:val="0"/>
          <w:i w:val="0"/>
          <w:sz w:val="21"/>
        </w:rPr>
        <w:t>The order expressly deals with pre-EMI, disclosure of construction/completion status, possession date, escrow details, possession after occupation certificate, and planning-branch scrutiny.</w:t>
      </w:r>
    </w:p>
    <w:p>
      <w:pPr>
        <w:pStyle w:val="ListBullet"/>
        <w:spacing w:after="80" w:line="252" w:lineRule="auto"/>
        <w:ind w:left="331" w:hanging="245"/>
      </w:pPr>
      <w:r>
        <w:rPr>
          <w:rFonts w:ascii="Times New Roman" w:hAnsi="Times New Roman" w:eastAsia="Times New Roman"/>
          <w:b/>
          <w:i w:val="0"/>
          <w:sz w:val="21"/>
        </w:rPr>
        <w:t xml:space="preserve">Individual notice and a meaningful hearing are essential. </w:t>
      </w:r>
      <w:r>
        <w:rPr>
          <w:rFonts w:ascii="Times New Roman" w:hAnsi="Times New Roman" w:eastAsia="Times New Roman"/>
          <w:b w:val="0"/>
          <w:i w:val="0"/>
          <w:sz w:val="21"/>
        </w:rPr>
        <w:t>No deemed consent should be inferred against Unit No. 3051 unless the authority first verifies compliance with Condition 12, service of the material documents and a real opportunity to object.</w:t>
      </w:r>
    </w:p>
    <w:p>
      <w:pPr>
        <w:pStyle w:val="ListBullet"/>
        <w:spacing w:after="80" w:line="252" w:lineRule="auto"/>
        <w:ind w:left="331" w:hanging="245"/>
      </w:pPr>
      <w:r>
        <w:rPr>
          <w:rFonts w:ascii="Times New Roman" w:hAnsi="Times New Roman" w:eastAsia="Times New Roman"/>
          <w:b/>
          <w:i w:val="0"/>
          <w:sz w:val="21"/>
        </w:rPr>
        <w:t xml:space="preserve">The revised-plan proceeding must be dealt with separately. </w:t>
      </w:r>
      <w:r>
        <w:rPr>
          <w:rFonts w:ascii="Times New Roman" w:hAnsi="Times New Roman" w:eastAsia="Times New Roman"/>
          <w:b w:val="0"/>
          <w:i w:val="0"/>
          <w:sz w:val="21"/>
        </w:rPr>
        <w:t>The old and revised sanctioned plans, tower-specific impact, parking/density/height changes and Section 14 compliance must be disclosed before any consent or no-objection is attributed to the allottee.</w:t>
      </w:r>
    </w:p>
    <w:p>
      <w:pPr>
        <w:pStyle w:val="Heading1"/>
        <w:spacing w:before="180" w:after="80"/>
        <w:keepNext/>
      </w:pPr>
      <w:r>
        <w:rPr>
          <w:rFonts w:ascii="Times New Roman" w:hAnsi="Times New Roman" w:eastAsia="Times New Roman"/>
          <w:b/>
          <w:sz w:val="28"/>
        </w:rPr>
        <w:t>2. Material chronology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1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Date</w:t>
            </w:r>
          </w:p>
        </w:tc>
        <w:tc>
          <w:tcPr>
            <w:tcW w:type="dxa" w:w="3096"/>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Document / event</w:t>
            </w:r>
          </w:p>
        </w:tc>
        <w:tc>
          <w:tcPr>
            <w:tcW w:type="dxa" w:w="5616"/>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Relevance</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23.10.2018</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Pre-EMI commitment letter</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Builder’s commitment concerning payment of pre-EMI until offer of possession, subject to the exact terms of the letter.</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25.10.2018</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Buyer–Builder Agreement</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ATS Realworth Pvt. Ltd. is the contracting promoter/BBA party; possession due date stated as 30.06.2023.</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18.04.2024</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HARERA order in Complaint No. 4463/2021</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Pre-EMI reimbursement/direct payment; 30-day disclosures; 90-day compliance; possession after occupation certificate; planning-branch scrutiny.</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08.08.2024</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Section 39 rectification</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Corrected/clarified the payment record; it did not displace the substantive directions of 18.04.2024.</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10.12.2025</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In-principle COD memo</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Proposed Hasta → Homekraft change, subject to stated conditions including financial, documentary, RERA-related and individual-notice requirements.</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17.12.2025</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Public COD notice</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Background publication; its legal effect must be considered separately from any mandatory individual notice under Condition 12.</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04.05.2026</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Revised plan approval / permission</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ZP-938-II; plan changes require separate disclosure, hearing and statutory examination.</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May 2026</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Projected completion communication</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The materials referred to by the allottee indicate a Phase-I projection up to 30.06.2031; the exact document and legal basis require verification.</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08.06.2026</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Joint affidavit-cum-undertaking</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Describes Homekraft as the new developer while ATS Realworth remains the judgment debtor; does not itself resolve promoter identity or complete Unit 3051 compliance.</w:t>
            </w:r>
          </w:p>
        </w:tc>
      </w:tr>
      <w:tr>
        <w:trPr>
          <w:cantSplit/>
        </w:trPr>
        <w:tc>
          <w:tcPr>
            <w:tcW w:type="dxa" w:w="1512"/>
            <w:tcMar>
              <w:top w:w="70" w:type="dxa"/>
              <w:start w:w="80" w:type="dxa"/>
              <w:bottom w:w="70" w:type="dxa"/>
              <w:end w:w="80" w:type="dxa"/>
            </w:tcMar>
            <w:vAlign w:val="top"/>
          </w:tcPr>
          <w:p>
            <w:pPr>
              <w:spacing w:after="0" w:line="240" w:lineRule="auto"/>
            </w:pPr>
            <w:r>
              <w:rPr>
                <w:rFonts w:ascii="Times New Roman" w:hAnsi="Times New Roman" w:eastAsia="Times New Roman"/>
                <w:sz w:val="18"/>
              </w:rPr>
              <w:t>12.06.2026</w:t>
            </w:r>
          </w:p>
        </w:tc>
        <w:tc>
          <w:tcPr>
            <w:tcW w:type="dxa" w:w="3096"/>
            <w:tcMar>
              <w:top w:w="70" w:type="dxa"/>
              <w:start w:w="80" w:type="dxa"/>
              <w:bottom w:w="70" w:type="dxa"/>
              <w:end w:w="80" w:type="dxa"/>
            </w:tcMar>
            <w:vAlign w:val="top"/>
          </w:tcPr>
          <w:p>
            <w:pPr>
              <w:spacing w:after="0" w:line="240" w:lineRule="auto"/>
            </w:pPr>
            <w:r>
              <w:rPr>
                <w:rFonts w:ascii="Times New Roman" w:hAnsi="Times New Roman" w:eastAsia="Times New Roman"/>
                <w:sz w:val="18"/>
              </w:rPr>
              <w:t>Homekraft email</w:t>
            </w:r>
          </w:p>
        </w:tc>
        <w:tc>
          <w:tcPr>
            <w:tcW w:type="dxa" w:w="5616"/>
            <w:tcMar>
              <w:top w:w="70" w:type="dxa"/>
              <w:start w:w="80" w:type="dxa"/>
              <w:bottom w:w="70" w:type="dxa"/>
              <w:end w:w="80" w:type="dxa"/>
            </w:tcMar>
            <w:vAlign w:val="top"/>
          </w:tcPr>
          <w:p>
            <w:pPr>
              <w:spacing w:after="0" w:line="240" w:lineRule="auto"/>
            </w:pPr>
            <w:r>
              <w:rPr>
                <w:rFonts w:ascii="Times New Roman" w:hAnsi="Times New Roman" w:eastAsia="Times New Roman"/>
                <w:sz w:val="18"/>
              </w:rPr>
              <w:t>Raises the pre-EMI/loan-statement issue; cannot by itself shift the adjudicated payment obligation to the allottee.</w:t>
            </w:r>
          </w:p>
        </w:tc>
      </w:tr>
    </w:tbl>
    <w:p>
      <w:pPr>
        <w:spacing w:after="0"/>
      </w:pPr>
    </w:p>
    <w:p>
      <w:pPr>
        <w:pStyle w:val="Heading1"/>
        <w:spacing w:before="180" w:after="80"/>
        <w:keepNext/>
      </w:pPr>
      <w:r>
        <w:rPr>
          <w:rFonts w:ascii="Times New Roman" w:hAnsi="Times New Roman" w:eastAsia="Times New Roman"/>
          <w:b/>
          <w:sz w:val="28"/>
        </w:rPr>
        <w:t>3. The three distinct regulatory tracks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Track</w:t>
            </w:r>
          </w:p>
        </w:tc>
        <w:tc>
          <w:tcPr>
            <w:tcW w:type="dxa" w:w="2376"/>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Legal subject</w:t>
            </w:r>
          </w:p>
        </w:tc>
        <w:tc>
          <w:tcPr>
            <w:tcW w:type="dxa" w:w="2376"/>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Proposed / stated change</w:t>
            </w:r>
          </w:p>
        </w:tc>
        <w:tc>
          <w:tcPr>
            <w:tcW w:type="dxa" w:w="367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Required determination</w:t>
            </w:r>
          </w:p>
        </w:tc>
      </w:tr>
      <w:tr>
        <w:trPr>
          <w:cantSplit/>
        </w:trPr>
        <w:tc>
          <w:tcPr>
            <w:tcW w:type="dxa" w:w="1728"/>
            <w:tcMar>
              <w:top w:w="70" w:type="dxa"/>
              <w:start w:w="80" w:type="dxa"/>
              <w:bottom w:w="70" w:type="dxa"/>
              <w:end w:w="80" w:type="dxa"/>
            </w:tcMar>
            <w:vAlign w:val="top"/>
          </w:tcPr>
          <w:p>
            <w:pPr>
              <w:spacing w:after="0" w:line="240" w:lineRule="auto"/>
            </w:pPr>
            <w:r>
              <w:rPr>
                <w:rFonts w:ascii="Times New Roman" w:hAnsi="Times New Roman" w:eastAsia="Times New Roman"/>
                <w:sz w:val="17"/>
              </w:rPr>
              <w:t>A. Colonizer / licence</w:t>
            </w:r>
          </w:p>
        </w:tc>
        <w:tc>
          <w:tcPr>
            <w:tcW w:type="dxa" w:w="2376"/>
            <w:tcMar>
              <w:top w:w="70" w:type="dxa"/>
              <w:start w:w="80" w:type="dxa"/>
              <w:bottom w:w="70" w:type="dxa"/>
              <w:end w:w="80" w:type="dxa"/>
            </w:tcMar>
            <w:vAlign w:val="top"/>
          </w:tcPr>
          <w:p>
            <w:pPr>
              <w:spacing w:after="0" w:line="240" w:lineRule="auto"/>
            </w:pPr>
            <w:r>
              <w:rPr>
                <w:rFonts w:ascii="Times New Roman" w:hAnsi="Times New Roman" w:eastAsia="Times New Roman"/>
                <w:sz w:val="17"/>
              </w:rPr>
              <w:t>Licence No. 37 of 2013</w:t>
            </w:r>
          </w:p>
        </w:tc>
        <w:tc>
          <w:tcPr>
            <w:tcW w:type="dxa" w:w="2376"/>
            <w:tcMar>
              <w:top w:w="70" w:type="dxa"/>
              <w:start w:w="80" w:type="dxa"/>
              <w:bottom w:w="70" w:type="dxa"/>
              <w:end w:w="80" w:type="dxa"/>
            </w:tcMar>
            <w:vAlign w:val="top"/>
          </w:tcPr>
          <w:p>
            <w:pPr>
              <w:spacing w:after="0" w:line="240" w:lineRule="auto"/>
            </w:pPr>
            <w:r>
              <w:rPr>
                <w:rFonts w:ascii="Times New Roman" w:hAnsi="Times New Roman" w:eastAsia="Times New Roman"/>
                <w:sz w:val="17"/>
              </w:rPr>
              <w:t>Hasta → proposed Homekraft</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DTCP must determine licence conditions and continuity of colonizer obligations.</w:t>
            </w:r>
          </w:p>
        </w:tc>
      </w:tr>
      <w:tr>
        <w:trPr>
          <w:cantSplit/>
        </w:trPr>
        <w:tc>
          <w:tcPr>
            <w:tcW w:type="dxa" w:w="1728"/>
            <w:tcMar>
              <w:top w:w="70" w:type="dxa"/>
              <w:start w:w="80" w:type="dxa"/>
              <w:bottom w:w="70" w:type="dxa"/>
              <w:end w:w="80" w:type="dxa"/>
            </w:tcMar>
            <w:vAlign w:val="top"/>
          </w:tcPr>
          <w:p>
            <w:pPr>
              <w:spacing w:after="0" w:line="240" w:lineRule="auto"/>
            </w:pPr>
            <w:r>
              <w:rPr>
                <w:rFonts w:ascii="Times New Roman" w:hAnsi="Times New Roman" w:eastAsia="Times New Roman"/>
                <w:sz w:val="17"/>
              </w:rPr>
              <w:t>B. RERA promoter / BBA / order</w:t>
            </w:r>
          </w:p>
        </w:tc>
        <w:tc>
          <w:tcPr>
            <w:tcW w:type="dxa" w:w="2376"/>
            <w:tcMar>
              <w:top w:w="70" w:type="dxa"/>
              <w:start w:w="80" w:type="dxa"/>
              <w:bottom w:w="70" w:type="dxa"/>
              <w:end w:w="80" w:type="dxa"/>
            </w:tcMar>
            <w:vAlign w:val="top"/>
          </w:tcPr>
          <w:p>
            <w:pPr>
              <w:spacing w:after="0" w:line="240" w:lineRule="auto"/>
            </w:pPr>
            <w:r>
              <w:rPr>
                <w:rFonts w:ascii="Times New Roman" w:hAnsi="Times New Roman" w:eastAsia="Times New Roman"/>
                <w:sz w:val="17"/>
              </w:rPr>
              <w:t>Promoter registration, BBA and Complaint No. 4463/2021</w:t>
            </w:r>
          </w:p>
        </w:tc>
        <w:tc>
          <w:tcPr>
            <w:tcW w:type="dxa" w:w="2376"/>
            <w:tcMar>
              <w:top w:w="70" w:type="dxa"/>
              <w:start w:w="80" w:type="dxa"/>
              <w:bottom w:w="70" w:type="dxa"/>
              <w:end w:w="80" w:type="dxa"/>
            </w:tcMar>
            <w:vAlign w:val="top"/>
          </w:tcPr>
          <w:p>
            <w:pPr>
              <w:spacing w:after="0" w:line="240" w:lineRule="auto"/>
            </w:pPr>
            <w:r>
              <w:rPr>
                <w:rFonts w:ascii="Times New Roman" w:hAnsi="Times New Roman" w:eastAsia="Times New Roman"/>
                <w:sz w:val="17"/>
              </w:rPr>
              <w:t>Not clearly stated in the available COD papers</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Authority must record who remains promoter and BBA obligor; ATS Realworth’s accrued liabilities cannot be silently discharged.</w:t>
            </w:r>
          </w:p>
        </w:tc>
      </w:tr>
      <w:tr>
        <w:trPr>
          <w:cantSplit/>
        </w:trPr>
        <w:tc>
          <w:tcPr>
            <w:tcW w:type="dxa" w:w="1728"/>
            <w:tcMar>
              <w:top w:w="70" w:type="dxa"/>
              <w:start w:w="80" w:type="dxa"/>
              <w:bottom w:w="70" w:type="dxa"/>
              <w:end w:w="80" w:type="dxa"/>
            </w:tcMar>
            <w:vAlign w:val="top"/>
          </w:tcPr>
          <w:p>
            <w:pPr>
              <w:spacing w:after="0" w:line="240" w:lineRule="auto"/>
            </w:pPr>
            <w:r>
              <w:rPr>
                <w:rFonts w:ascii="Times New Roman" w:hAnsi="Times New Roman" w:eastAsia="Times New Roman"/>
                <w:sz w:val="17"/>
              </w:rPr>
              <w:t>C. Revised building plan</w:t>
            </w:r>
          </w:p>
        </w:tc>
        <w:tc>
          <w:tcPr>
            <w:tcW w:type="dxa" w:w="2376"/>
            <w:tcMar>
              <w:top w:w="70" w:type="dxa"/>
              <w:start w:w="80" w:type="dxa"/>
              <w:bottom w:w="70" w:type="dxa"/>
              <w:end w:w="80" w:type="dxa"/>
            </w:tcMar>
            <w:vAlign w:val="top"/>
          </w:tcPr>
          <w:p>
            <w:pPr>
              <w:spacing w:after="0" w:line="240" w:lineRule="auto"/>
            </w:pPr>
            <w:r>
              <w:rPr>
                <w:rFonts w:ascii="Times New Roman" w:hAnsi="Times New Roman" w:eastAsia="Times New Roman"/>
                <w:sz w:val="17"/>
              </w:rPr>
              <w:t>Sanctioned layout, FAR, units, tower configuration, parking and common areas</w:t>
            </w:r>
          </w:p>
        </w:tc>
        <w:tc>
          <w:tcPr>
            <w:tcW w:type="dxa" w:w="2376"/>
            <w:tcMar>
              <w:top w:w="70" w:type="dxa"/>
              <w:start w:w="80" w:type="dxa"/>
              <w:bottom w:w="70" w:type="dxa"/>
              <w:end w:w="80" w:type="dxa"/>
            </w:tcMar>
            <w:vAlign w:val="top"/>
          </w:tcPr>
          <w:p>
            <w:pPr>
              <w:spacing w:after="0" w:line="240" w:lineRule="auto"/>
            </w:pPr>
            <w:r>
              <w:rPr>
                <w:rFonts w:ascii="Times New Roman" w:hAnsi="Times New Roman" w:eastAsia="Times New Roman"/>
                <w:sz w:val="17"/>
              </w:rPr>
              <w:t>ZP-938-II dated 04.05.2026</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Must be heard and reasoned separately from the licence-transfer question.</w:t>
            </w:r>
          </w:p>
        </w:tc>
      </w:tr>
    </w:tbl>
    <w:p>
      <w:pPr>
        <w:spacing w:after="0"/>
      </w:pPr>
    </w:p>
    <w:p>
      <w:pPr>
        <w:spacing w:before="0" w:after="100" w:line="259" w:lineRule="auto"/>
      </w:pPr>
      <w:r>
        <w:rPr>
          <w:rFonts w:ascii="Times New Roman" w:hAnsi="Times New Roman" w:eastAsia="Times New Roman"/>
          <w:b/>
          <w:i w:val="0"/>
          <w:sz w:val="22"/>
        </w:rPr>
        <w:t xml:space="preserve">Core submission: </w:t>
      </w:r>
      <w:r>
        <w:rPr>
          <w:rFonts w:ascii="Times New Roman" w:hAnsi="Times New Roman" w:eastAsia="Times New Roman"/>
          <w:b w:val="0"/>
          <w:i w:val="0"/>
          <w:sz w:val="22"/>
        </w:rPr>
        <w:t>A DTCP change of colonizer does not automatically establish a change of RERA promoter or substitute the party to the BBA. Conversely, if the arrangement does transfer majority promoter rights and liabilities, the statutory requirements governing such transfer must be demonstrated on the record.</w:t>
      </w:r>
    </w:p>
    <w:p>
      <w:pPr>
        <w:pStyle w:val="Heading1"/>
        <w:spacing w:before="180" w:after="80"/>
        <w:keepNext/>
      </w:pPr>
      <w:r>
        <w:rPr>
          <w:rFonts w:ascii="Times New Roman" w:hAnsi="Times New Roman" w:eastAsia="Times New Roman"/>
          <w:b/>
          <w:sz w:val="28"/>
        </w:rPr>
        <w:t>4. Alternative legal treatment of the proposed COD</w:t>
      </w:r>
    </w:p>
    <w:p>
      <w:pPr>
        <w:pStyle w:val="Heading2"/>
        <w:spacing w:before="120" w:after="80"/>
        <w:keepNext/>
      </w:pPr>
      <w:r>
        <w:rPr>
          <w:rFonts w:ascii="Times New Roman" w:hAnsi="Times New Roman" w:eastAsia="Times New Roman"/>
          <w:b/>
          <w:sz w:val="24"/>
        </w:rPr>
        <w:t>4.1 If the proposal changes only the DTCP colonizer</w:t>
      </w:r>
    </w:p>
    <w:p>
      <w:pPr>
        <w:pStyle w:val="ListBullet"/>
        <w:spacing w:after="60" w:line="252" w:lineRule="auto"/>
        <w:ind w:left="331" w:hanging="245"/>
      </w:pPr>
      <w:r>
        <w:rPr>
          <w:rFonts w:ascii="Times New Roman" w:hAnsi="Times New Roman" w:eastAsia="Times New Roman"/>
          <w:b/>
          <w:i w:val="0"/>
          <w:sz w:val="21"/>
        </w:rPr>
        <w:t xml:space="preserve">ATS Realworth remains relevant. </w:t>
      </w:r>
      <w:r>
        <w:rPr>
          <w:rFonts w:ascii="Times New Roman" w:hAnsi="Times New Roman" w:eastAsia="Times New Roman"/>
          <w:b w:val="0"/>
          <w:i w:val="0"/>
          <w:sz w:val="21"/>
        </w:rPr>
        <w:t>It continues to be the BBA party and respondent under the HARERA order unless a lawful process and binding instrument establish otherwise.</w:t>
      </w:r>
    </w:p>
    <w:p>
      <w:pPr>
        <w:pStyle w:val="ListBullet"/>
        <w:spacing w:after="60" w:line="252" w:lineRule="auto"/>
        <w:ind w:left="331" w:hanging="245"/>
      </w:pPr>
      <w:r>
        <w:rPr>
          <w:rFonts w:ascii="Times New Roman" w:hAnsi="Times New Roman" w:eastAsia="Times New Roman"/>
          <w:b/>
          <w:i w:val="0"/>
          <w:sz w:val="21"/>
        </w:rPr>
        <w:t xml:space="preserve">Homekraft’s role must be precisely stated. </w:t>
      </w:r>
      <w:r>
        <w:rPr>
          <w:rFonts w:ascii="Times New Roman" w:hAnsi="Times New Roman" w:eastAsia="Times New Roman"/>
          <w:b w:val="0"/>
          <w:i w:val="0"/>
          <w:sz w:val="21"/>
        </w:rPr>
        <w:t>Its responsibilities for construction, approvals, infrastructure, project records and completion should be recorded through a specific undertaking, without implying an unauthorised novation of the BBA.</w:t>
      </w:r>
    </w:p>
    <w:p>
      <w:pPr>
        <w:pStyle w:val="ListBullet"/>
        <w:spacing w:after="60" w:line="252" w:lineRule="auto"/>
        <w:ind w:left="331" w:hanging="245"/>
      </w:pPr>
      <w:r>
        <w:rPr>
          <w:rFonts w:ascii="Times New Roman" w:hAnsi="Times New Roman" w:eastAsia="Times New Roman"/>
          <w:b/>
          <w:i w:val="0"/>
          <w:sz w:val="21"/>
        </w:rPr>
        <w:t xml:space="preserve">No silent release. </w:t>
      </w:r>
      <w:r>
        <w:rPr>
          <w:rFonts w:ascii="Times New Roman" w:hAnsi="Times New Roman" w:eastAsia="Times New Roman"/>
          <w:b w:val="0"/>
          <w:i w:val="0"/>
          <w:sz w:val="21"/>
        </w:rPr>
        <w:t>The final COD order should state that it does not discharge ATS Realworth from accrued contractual, statutory, adjudicated or execution liabilities.</w:t>
      </w:r>
    </w:p>
    <w:p>
      <w:pPr>
        <w:pStyle w:val="Heading2"/>
        <w:spacing w:before="120" w:after="80"/>
        <w:keepNext/>
      </w:pPr>
      <w:r>
        <w:rPr>
          <w:rFonts w:ascii="Times New Roman" w:hAnsi="Times New Roman" w:eastAsia="Times New Roman"/>
          <w:b/>
          <w:sz w:val="24"/>
        </w:rPr>
        <w:t>4.2 If promoter rights or majority project liabilities are also transferred</w:t>
      </w:r>
    </w:p>
    <w:p>
      <w:pPr>
        <w:spacing w:before="0" w:after="100" w:line="259" w:lineRule="auto"/>
      </w:pPr>
      <w:r>
        <w:rPr>
          <w:rFonts w:ascii="Times New Roman" w:hAnsi="Times New Roman" w:eastAsia="Times New Roman"/>
          <w:b w:val="0"/>
          <w:i w:val="0"/>
          <w:sz w:val="22"/>
        </w:rPr>
        <w:t>If the proposed arrangement falls within Section 15 of the Real Estate (Regulation and Development) Act, 2016, the record must establish prior written consent of the requisite two-thirds allottees (excluding the promoter) and prior approval of the RERA Authority. The intending promoter must independently comply with all pending statutory and agreement obligations, and the transfer cannot result in an extension of the project-completion period.</w:t>
      </w:r>
    </w:p>
    <w:p>
      <w:pPr>
        <w:pStyle w:val="ListBullet"/>
        <w:spacing w:after="60" w:line="252" w:lineRule="auto"/>
        <w:ind w:left="331" w:hanging="245"/>
      </w:pPr>
      <w:r>
        <w:rPr>
          <w:rFonts w:ascii="Times New Roman" w:hAnsi="Times New Roman" w:eastAsia="Times New Roman"/>
          <w:b/>
          <w:i w:val="0"/>
          <w:sz w:val="21"/>
        </w:rPr>
        <w:t xml:space="preserve">Section 15 records: </w:t>
      </w:r>
      <w:r>
        <w:rPr>
          <w:rFonts w:ascii="Times New Roman" w:hAnsi="Times New Roman" w:eastAsia="Times New Roman"/>
          <w:b w:val="0"/>
          <w:i w:val="0"/>
          <w:sz w:val="21"/>
        </w:rPr>
        <w:t>produce the application, allottee-consent computation, individual consent records, RERA approval and proposed registration amendment.</w:t>
      </w:r>
    </w:p>
    <w:p>
      <w:pPr>
        <w:pStyle w:val="ListBullet"/>
        <w:spacing w:after="60" w:line="252" w:lineRule="auto"/>
        <w:ind w:left="331" w:hanging="245"/>
      </w:pPr>
      <w:r>
        <w:rPr>
          <w:rFonts w:ascii="Times New Roman" w:hAnsi="Times New Roman" w:eastAsia="Times New Roman"/>
          <w:b/>
          <w:i w:val="0"/>
          <w:sz w:val="21"/>
        </w:rPr>
        <w:t xml:space="preserve">Pending obligations: </w:t>
      </w:r>
      <w:r>
        <w:rPr>
          <w:rFonts w:ascii="Times New Roman" w:hAnsi="Times New Roman" w:eastAsia="Times New Roman"/>
          <w:b w:val="0"/>
          <w:i w:val="0"/>
          <w:sz w:val="21"/>
        </w:rPr>
        <w:t>identify each pending BBA, RERA, construction, escrow, pre-EMI, possession and disclosure obligation and the entity accepting it.</w:t>
      </w:r>
    </w:p>
    <w:p>
      <w:pPr>
        <w:pStyle w:val="ListBullet"/>
        <w:spacing w:after="60" w:line="252" w:lineRule="auto"/>
        <w:ind w:left="331" w:hanging="245"/>
      </w:pPr>
      <w:r>
        <w:rPr>
          <w:rFonts w:ascii="Times New Roman" w:hAnsi="Times New Roman" w:eastAsia="Times New Roman"/>
          <w:b/>
          <w:i w:val="0"/>
          <w:sz w:val="21"/>
        </w:rPr>
        <w:t xml:space="preserve">No fresh timeline: </w:t>
      </w:r>
      <w:r>
        <w:rPr>
          <w:rFonts w:ascii="Times New Roman" w:hAnsi="Times New Roman" w:eastAsia="Times New Roman"/>
          <w:b w:val="0"/>
          <w:i w:val="0"/>
          <w:sz w:val="21"/>
        </w:rPr>
        <w:t>record expressly that the transfer does not reset the BBA due date, limitation, execution deadlines or liability for past delay.</w:t>
      </w:r>
    </w:p>
    <w:p>
      <w:pPr>
        <w:pStyle w:val="Heading1"/>
        <w:spacing w:before="180" w:after="80"/>
        <w:keepNext/>
      </w:pPr>
      <w:r>
        <w:rPr>
          <w:rFonts w:ascii="Times New Roman" w:hAnsi="Times New Roman" w:eastAsia="Times New Roman"/>
          <w:b/>
          <w:sz w:val="28"/>
        </w:rPr>
        <w:t>5. Existing HARERA order and present compliance gap</w:t>
      </w:r>
    </w:p>
    <w:p>
      <w:pPr>
        <w:spacing w:before="0" w:after="100" w:line="259" w:lineRule="auto"/>
      </w:pPr>
      <w:r>
        <w:rPr>
          <w:rFonts w:ascii="Times New Roman" w:hAnsi="Times New Roman" w:eastAsia="Times New Roman"/>
          <w:b w:val="0"/>
          <w:i w:val="0"/>
          <w:sz w:val="22"/>
        </w:rPr>
        <w:t>The operative order dated 18.04.2024 must be quoted and implemented according to its own language. In particular, it directs return of pre-EMI already paid by the complainants on behalf of the respondent and further payment of pre-EMI/EMI directly to the financial institution “till the offer of possession”, as per the agreed terms of the letter dated 23.10.2018. It separately directs physical possession in accordance with the BBA after obtaining the occupation certificate.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Direction / issue</w:t>
            </w:r>
          </w:p>
        </w:tc>
        <w:tc>
          <w:tcPr>
            <w:tcW w:type="dxa" w:w="3600"/>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Evidence required</w:t>
            </w:r>
          </w:p>
        </w:tc>
        <w:tc>
          <w:tcPr>
            <w:tcW w:type="dxa" w:w="367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Present gap to be verified</w:t>
            </w:r>
          </w:p>
        </w:tc>
      </w:tr>
      <w:tr>
        <w:trPr>
          <w:cantSplit/>
        </w:trPr>
        <w:tc>
          <w:tcPr>
            <w:tcW w:type="dxa" w:w="2880"/>
            <w:tcMar>
              <w:top w:w="70" w:type="dxa"/>
              <w:start w:w="80" w:type="dxa"/>
              <w:bottom w:w="70" w:type="dxa"/>
              <w:end w:w="80" w:type="dxa"/>
            </w:tcMar>
            <w:vAlign w:val="top"/>
          </w:tcPr>
          <w:p>
            <w:pPr>
              <w:spacing w:after="0" w:line="240" w:lineRule="auto"/>
            </w:pPr>
            <w:r>
              <w:rPr>
                <w:rFonts w:ascii="Times New Roman" w:hAnsi="Times New Roman" w:eastAsia="Times New Roman"/>
                <w:sz w:val="17"/>
              </w:rPr>
              <w:t>Pre-EMI reimbursement and direct future payment</w:t>
            </w:r>
          </w:p>
        </w:tc>
        <w:tc>
          <w:tcPr>
            <w:tcW w:type="dxa" w:w="3600"/>
            <w:tcMar>
              <w:top w:w="70" w:type="dxa"/>
              <w:start w:w="80" w:type="dxa"/>
              <w:bottom w:w="70" w:type="dxa"/>
              <w:end w:w="80" w:type="dxa"/>
            </w:tcMar>
            <w:vAlign w:val="top"/>
          </w:tcPr>
          <w:p>
            <w:pPr>
              <w:spacing w:after="0" w:line="240" w:lineRule="auto"/>
            </w:pPr>
            <w:r>
              <w:rPr>
                <w:rFonts w:ascii="Times New Roman" w:hAnsi="Times New Roman" w:eastAsia="Times New Roman"/>
                <w:sz w:val="17"/>
              </w:rPr>
              <w:t>Bank transaction proof, month-wise statement and confirmation from PNB Housing Finance</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No complete performance record supplied to the allottee; generic or conditional wording is insufficient.</w:t>
            </w:r>
          </w:p>
        </w:tc>
      </w:tr>
      <w:tr>
        <w:trPr>
          <w:cantSplit/>
        </w:trPr>
        <w:tc>
          <w:tcPr>
            <w:tcW w:type="dxa" w:w="2880"/>
            <w:tcMar>
              <w:top w:w="70" w:type="dxa"/>
              <w:start w:w="80" w:type="dxa"/>
              <w:bottom w:w="70" w:type="dxa"/>
              <w:end w:w="80" w:type="dxa"/>
            </w:tcMar>
            <w:vAlign w:val="top"/>
          </w:tcPr>
          <w:p>
            <w:pPr>
              <w:spacing w:after="0" w:line="240" w:lineRule="auto"/>
            </w:pPr>
            <w:r>
              <w:rPr>
                <w:rFonts w:ascii="Times New Roman" w:hAnsi="Times New Roman" w:eastAsia="Times New Roman"/>
                <w:sz w:val="17"/>
              </w:rPr>
              <w:t>Completion / occupation certificate status</w:t>
            </w:r>
          </w:p>
        </w:tc>
        <w:tc>
          <w:tcPr>
            <w:tcW w:type="dxa" w:w="3600"/>
            <w:tcMar>
              <w:top w:w="70" w:type="dxa"/>
              <w:start w:w="80" w:type="dxa"/>
              <w:bottom w:w="70" w:type="dxa"/>
              <w:end w:w="80" w:type="dxa"/>
            </w:tcMar>
            <w:vAlign w:val="top"/>
          </w:tcPr>
          <w:p>
            <w:pPr>
              <w:spacing w:after="0" w:line="240" w:lineRule="auto"/>
            </w:pPr>
            <w:r>
              <w:rPr>
                <w:rFonts w:ascii="Times New Roman" w:hAnsi="Times New Roman" w:eastAsia="Times New Roman"/>
                <w:sz w:val="17"/>
              </w:rPr>
              <w:t>Certified certificate or a signed statement that no certificate has been issued for Tower 03</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Thirty-day disclosure period has expired.</w:t>
            </w:r>
          </w:p>
        </w:tc>
      </w:tr>
      <w:tr>
        <w:trPr>
          <w:cantSplit/>
        </w:trPr>
        <w:tc>
          <w:tcPr>
            <w:tcW w:type="dxa" w:w="2880"/>
            <w:tcMar>
              <w:top w:w="70" w:type="dxa"/>
              <w:start w:w="80" w:type="dxa"/>
              <w:bottom w:w="70" w:type="dxa"/>
              <w:end w:w="80" w:type="dxa"/>
            </w:tcMar>
            <w:vAlign w:val="top"/>
          </w:tcPr>
          <w:p>
            <w:pPr>
              <w:spacing w:after="0" w:line="240" w:lineRule="auto"/>
            </w:pPr>
            <w:r>
              <w:rPr>
                <w:rFonts w:ascii="Times New Roman" w:hAnsi="Times New Roman" w:eastAsia="Times New Roman"/>
                <w:sz w:val="17"/>
              </w:rPr>
              <w:t>Date of physical possession of Unit 3051</w:t>
            </w:r>
          </w:p>
        </w:tc>
        <w:tc>
          <w:tcPr>
            <w:tcW w:type="dxa" w:w="3600"/>
            <w:tcMar>
              <w:top w:w="70" w:type="dxa"/>
              <w:start w:w="80" w:type="dxa"/>
              <w:bottom w:w="70" w:type="dxa"/>
              <w:end w:w="80" w:type="dxa"/>
            </w:tcMar>
            <w:vAlign w:val="top"/>
          </w:tcPr>
          <w:p>
            <w:pPr>
              <w:spacing w:after="0" w:line="240" w:lineRule="auto"/>
            </w:pPr>
            <w:r>
              <w:rPr>
                <w:rFonts w:ascii="Times New Roman" w:hAnsi="Times New Roman" w:eastAsia="Times New Roman"/>
                <w:sz w:val="17"/>
              </w:rPr>
              <w:t>A fixed unit- and tower-specific date supported by a milestone programme</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No binding date supplied; the reported 30.06.2031 projection requires explanation.</w:t>
            </w:r>
          </w:p>
        </w:tc>
      </w:tr>
      <w:tr>
        <w:trPr>
          <w:cantSplit/>
        </w:trPr>
        <w:tc>
          <w:tcPr>
            <w:tcW w:type="dxa" w:w="2880"/>
            <w:tcMar>
              <w:top w:w="70" w:type="dxa"/>
              <w:start w:w="80" w:type="dxa"/>
              <w:bottom w:w="70" w:type="dxa"/>
              <w:end w:w="80" w:type="dxa"/>
            </w:tcMar>
            <w:vAlign w:val="top"/>
          </w:tcPr>
          <w:p>
            <w:pPr>
              <w:spacing w:after="0" w:line="240" w:lineRule="auto"/>
            </w:pPr>
            <w:r>
              <w:rPr>
                <w:rFonts w:ascii="Times New Roman" w:hAnsi="Times New Roman" w:eastAsia="Times New Roman"/>
                <w:sz w:val="17"/>
              </w:rPr>
              <w:t>Escrow / project account details</w:t>
            </w:r>
          </w:p>
        </w:tc>
        <w:tc>
          <w:tcPr>
            <w:tcW w:type="dxa" w:w="3600"/>
            <w:tcMar>
              <w:top w:w="70" w:type="dxa"/>
              <w:start w:w="80" w:type="dxa"/>
              <w:bottom w:w="70" w:type="dxa"/>
              <w:end w:w="80" w:type="dxa"/>
            </w:tcMar>
            <w:vAlign w:val="top"/>
          </w:tcPr>
          <w:p>
            <w:pPr>
              <w:spacing w:after="0" w:line="240" w:lineRule="auto"/>
            </w:pPr>
            <w:r>
              <w:rPr>
                <w:rFonts w:ascii="Times New Roman" w:hAnsi="Times New Roman" w:eastAsia="Times New Roman"/>
                <w:sz w:val="17"/>
              </w:rPr>
              <w:t>Account identification, credit/debit records and utilisation certificates consistent with Section 4(2)(l)(D)</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Thirty-day disclosure direction remains unverified.</w:t>
            </w:r>
          </w:p>
        </w:tc>
      </w:tr>
      <w:tr>
        <w:trPr>
          <w:cantSplit/>
        </w:trPr>
        <w:tc>
          <w:tcPr>
            <w:tcW w:type="dxa" w:w="2880"/>
            <w:tcMar>
              <w:top w:w="70" w:type="dxa"/>
              <w:start w:w="80" w:type="dxa"/>
              <w:bottom w:w="70" w:type="dxa"/>
              <w:end w:w="80" w:type="dxa"/>
            </w:tcMar>
            <w:vAlign w:val="top"/>
          </w:tcPr>
          <w:p>
            <w:pPr>
              <w:spacing w:after="0" w:line="240" w:lineRule="auto"/>
            </w:pPr>
            <w:r>
              <w:rPr>
                <w:rFonts w:ascii="Times New Roman" w:hAnsi="Times New Roman" w:eastAsia="Times New Roman"/>
                <w:sz w:val="17"/>
              </w:rPr>
              <w:t>Full compliance within 90 days</w:t>
            </w:r>
          </w:p>
        </w:tc>
        <w:tc>
          <w:tcPr>
            <w:tcW w:type="dxa" w:w="3600"/>
            <w:tcMar>
              <w:top w:w="70" w:type="dxa"/>
              <w:start w:w="80" w:type="dxa"/>
              <w:bottom w:w="70" w:type="dxa"/>
              <w:end w:w="80" w:type="dxa"/>
            </w:tcMar>
            <w:vAlign w:val="top"/>
          </w:tcPr>
          <w:p>
            <w:pPr>
              <w:spacing w:after="0" w:line="240" w:lineRule="auto"/>
            </w:pPr>
            <w:r>
              <w:rPr>
                <w:rFonts w:ascii="Times New Roman" w:hAnsi="Times New Roman" w:eastAsia="Times New Roman"/>
                <w:sz w:val="17"/>
              </w:rPr>
              <w:t>Direction-wise compliance affidavit with annexed proof</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The 90-day period expired in July 2024.</w:t>
            </w:r>
          </w:p>
        </w:tc>
      </w:tr>
      <w:tr>
        <w:trPr>
          <w:cantSplit/>
        </w:trPr>
        <w:tc>
          <w:tcPr>
            <w:tcW w:type="dxa" w:w="2880"/>
            <w:tcMar>
              <w:top w:w="70" w:type="dxa"/>
              <w:start w:w="80" w:type="dxa"/>
              <w:bottom w:w="70" w:type="dxa"/>
              <w:end w:w="80" w:type="dxa"/>
            </w:tcMar>
            <w:vAlign w:val="top"/>
          </w:tcPr>
          <w:p>
            <w:pPr>
              <w:spacing w:after="0" w:line="240" w:lineRule="auto"/>
            </w:pPr>
            <w:r>
              <w:rPr>
                <w:rFonts w:ascii="Times New Roman" w:hAnsi="Times New Roman" w:eastAsia="Times New Roman"/>
                <w:sz w:val="17"/>
              </w:rPr>
              <w:t>Planning-branch direction</w:t>
            </w:r>
          </w:p>
        </w:tc>
        <w:tc>
          <w:tcPr>
            <w:tcW w:type="dxa" w:w="3600"/>
            <w:tcMar>
              <w:top w:w="70" w:type="dxa"/>
              <w:start w:w="80" w:type="dxa"/>
              <w:bottom w:w="70" w:type="dxa"/>
              <w:end w:w="80" w:type="dxa"/>
            </w:tcMar>
            <w:vAlign w:val="top"/>
          </w:tcPr>
          <w:p>
            <w:pPr>
              <w:spacing w:after="0" w:line="240" w:lineRule="auto"/>
            </w:pPr>
            <w:r>
              <w:rPr>
                <w:rFonts w:ascii="Times New Roman" w:hAnsi="Times New Roman" w:eastAsia="Times New Roman"/>
                <w:sz w:val="17"/>
              </w:rPr>
              <w:t>DTCP file note, inspection/status report and action taken on any RERA violation</w:t>
            </w:r>
          </w:p>
        </w:tc>
        <w:tc>
          <w:tcPr>
            <w:tcW w:type="dxa" w:w="3672"/>
            <w:tcMar>
              <w:top w:w="70" w:type="dxa"/>
              <w:start w:w="80" w:type="dxa"/>
              <w:bottom w:w="70" w:type="dxa"/>
              <w:end w:w="80" w:type="dxa"/>
            </w:tcMar>
            <w:vAlign w:val="top"/>
          </w:tcPr>
          <w:p>
            <w:pPr>
              <w:spacing w:after="0" w:line="240" w:lineRule="auto"/>
            </w:pPr>
            <w:r>
              <w:rPr>
                <w:rFonts w:ascii="Times New Roman" w:hAnsi="Times New Roman" w:eastAsia="Times New Roman"/>
                <w:sz w:val="17"/>
              </w:rPr>
              <w:t>No verified action report supplied.</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rFonts w:ascii="Times New Roman" w:hAnsi="Times New Roman" w:eastAsia="Times New Roman"/>
                <w:b/>
                <w:sz w:val="21"/>
              </w:rPr>
              <w:t>Important qualification on “offer of possession”</w:t>
            </w:r>
          </w:p>
          <w:p>
            <w:pPr>
              <w:spacing w:after="0" w:line="252" w:lineRule="auto"/>
            </w:pPr>
            <w:r>
              <w:rPr>
                <w:rFonts w:ascii="Times New Roman" w:hAnsi="Times New Roman" w:eastAsia="Times New Roman"/>
                <w:sz w:val="20"/>
              </w:rPr>
              <w:t>The representation should not rewrite the order as though it expressly says “lawful possession”. Instead, the authority should examine whether any alleged offer relied upon to end pre-EMI is consistent with the BBA, the occupation-certificate direction and applicable law. A paper or premature offer should not be treated as compliance merely by nomenclature.</w:t>
            </w:r>
          </w:p>
        </w:tc>
      </w:tr>
    </w:tbl>
    <w:p>
      <w:pPr>
        <w:spacing w:after="0"/>
      </w:pPr>
    </w:p>
    <w:p>
      <w:pPr>
        <w:spacing w:before="0" w:after="100" w:line="259" w:lineRule="auto"/>
      </w:pPr>
      <w:r>
        <w:rPr>
          <w:rFonts w:ascii="Times New Roman" w:hAnsi="Times New Roman" w:eastAsia="Times New Roman"/>
          <w:b w:val="0"/>
          <w:i w:val="0"/>
          <w:sz w:val="22"/>
        </w:rPr>
        <w:t>The expression “subject to finality in appeal, if any” should not be accepted as a substitute for compliance. Unless a specific stay order is produced, the existence of an appeal or a possible appeal should not be treated as an automatic suspension of the operative directions.</w:t>
      </w:r>
    </w:p>
    <w:p>
      <w:pPr>
        <w:pStyle w:val="Heading1"/>
        <w:spacing w:before="180" w:after="80"/>
        <w:keepNext/>
      </w:pPr>
      <w:r>
        <w:rPr>
          <w:rFonts w:ascii="Times New Roman" w:hAnsi="Times New Roman" w:eastAsia="Times New Roman"/>
          <w:b/>
          <w:sz w:val="28"/>
        </w:rPr>
        <w:t>6. Condition 12: individual notice and effective opportunity to object</w:t>
      </w:r>
    </w:p>
    <w:p>
      <w:pPr>
        <w:spacing w:before="0" w:after="100" w:line="259" w:lineRule="auto"/>
      </w:pPr>
      <w:r>
        <w:rPr>
          <w:rFonts w:ascii="Times New Roman" w:hAnsi="Times New Roman" w:eastAsia="Times New Roman"/>
          <w:b w:val="0"/>
          <w:i w:val="0"/>
          <w:sz w:val="22"/>
        </w:rPr>
        <w:t>The public notice dated 17.12.2025 and any individual-notice obligation under Condition 12 must be examined separately. Where the in-principle COD memo requires individual service by specified modes, the final COD should not proceed against Unit No. 3051 merely on the basis of a general publication or deemed silence.</w:t>
      </w:r>
    </w:p>
    <w:p>
      <w:pPr>
        <w:pStyle w:val="ListBullet"/>
        <w:spacing w:after="60" w:line="252" w:lineRule="auto"/>
        <w:ind w:left="331" w:hanging="245"/>
      </w:pPr>
      <w:r>
        <w:rPr>
          <w:rFonts w:ascii="Times New Roman" w:hAnsi="Times New Roman" w:eastAsia="Times New Roman"/>
          <w:b/>
          <w:i w:val="0"/>
          <w:sz w:val="21"/>
        </w:rPr>
        <w:t xml:space="preserve">Service proof: </w:t>
      </w:r>
      <w:r>
        <w:rPr>
          <w:rFonts w:ascii="Times New Roman" w:hAnsi="Times New Roman" w:eastAsia="Times New Roman"/>
          <w:b w:val="0"/>
          <w:i w:val="0"/>
          <w:sz w:val="21"/>
        </w:rPr>
        <w:t>produce the exact email, postal/courier article, delivery report and website posting relied upon for Unit No. 3051.</w:t>
      </w:r>
    </w:p>
    <w:p>
      <w:pPr>
        <w:pStyle w:val="ListBullet"/>
        <w:spacing w:after="60" w:line="252" w:lineRule="auto"/>
        <w:ind w:left="331" w:hanging="245"/>
      </w:pPr>
      <w:r>
        <w:rPr>
          <w:rFonts w:ascii="Times New Roman" w:hAnsi="Times New Roman" w:eastAsia="Times New Roman"/>
          <w:b/>
          <w:i w:val="0"/>
          <w:sz w:val="21"/>
        </w:rPr>
        <w:t xml:space="preserve">Complete materials: </w:t>
      </w:r>
      <w:r>
        <w:rPr>
          <w:rFonts w:ascii="Times New Roman" w:hAnsi="Times New Roman" w:eastAsia="Times New Roman"/>
          <w:b w:val="0"/>
          <w:i w:val="0"/>
          <w:sz w:val="21"/>
        </w:rPr>
        <w:t>supply the COD application, agreements, undertakings, role chart, condition-wise compliance and proposed RERA amendment before the objection period is treated as meaningful.</w:t>
      </w:r>
    </w:p>
    <w:p>
      <w:pPr>
        <w:pStyle w:val="ListBullet"/>
        <w:spacing w:after="60" w:line="252" w:lineRule="auto"/>
        <w:ind w:left="331" w:hanging="245"/>
      </w:pPr>
      <w:r>
        <w:rPr>
          <w:rFonts w:ascii="Times New Roman" w:hAnsi="Times New Roman" w:eastAsia="Times New Roman"/>
          <w:b/>
          <w:i w:val="0"/>
          <w:sz w:val="21"/>
        </w:rPr>
        <w:t xml:space="preserve">Fresh opportunity: </w:t>
      </w:r>
      <w:r>
        <w:rPr>
          <w:rFonts w:ascii="Times New Roman" w:hAnsi="Times New Roman" w:eastAsia="Times New Roman"/>
          <w:b w:val="0"/>
          <w:i w:val="0"/>
          <w:sz w:val="21"/>
        </w:rPr>
        <w:t>grant a reasonable objection period from actual supply of the material documents where earlier individual service is not proved.</w:t>
      </w:r>
    </w:p>
    <w:p>
      <w:pPr>
        <w:pStyle w:val="ListBullet"/>
        <w:spacing w:after="60" w:line="252" w:lineRule="auto"/>
        <w:ind w:left="331" w:hanging="245"/>
      </w:pPr>
      <w:r>
        <w:rPr>
          <w:rFonts w:ascii="Times New Roman" w:hAnsi="Times New Roman" w:eastAsia="Times New Roman"/>
          <w:b/>
          <w:i w:val="0"/>
          <w:sz w:val="21"/>
        </w:rPr>
        <w:t xml:space="preserve">No waiver by silence: </w:t>
      </w:r>
      <w:r>
        <w:rPr>
          <w:rFonts w:ascii="Times New Roman" w:hAnsi="Times New Roman" w:eastAsia="Times New Roman"/>
          <w:b w:val="0"/>
          <w:i w:val="0"/>
          <w:sz w:val="21"/>
        </w:rPr>
        <w:t>the final order should not construe silence, non-response, a website upload or a general public notice as novation, settlement, waiver of adjudicated rights or consent to prejudice Unit No. 3051.</w:t>
      </w:r>
    </w:p>
    <w:p>
      <w:pPr>
        <w:pStyle w:val="Heading1"/>
        <w:spacing w:before="180" w:after="80"/>
        <w:keepNext/>
      </w:pPr>
      <w:r>
        <w:rPr>
          <w:rFonts w:ascii="Times New Roman" w:hAnsi="Times New Roman" w:eastAsia="Times New Roman"/>
          <w:b/>
          <w:sz w:val="28"/>
        </w:rPr>
        <w:t>7. Revised plan: separate disclosure and Section 14 examination</w:t>
      </w:r>
    </w:p>
    <w:p>
      <w:pPr>
        <w:spacing w:before="0" w:after="100" w:line="259" w:lineRule="auto"/>
      </w:pPr>
      <w:r>
        <w:rPr>
          <w:rFonts w:ascii="Times New Roman" w:hAnsi="Times New Roman" w:eastAsia="Times New Roman"/>
          <w:b w:val="0"/>
          <w:i w:val="0"/>
          <w:sz w:val="22"/>
        </w:rPr>
        <w:t>The revised-plan proceeding should remain distinct from the COD. The allottee cannot give informed consent or frame a complete objection without certified old and revised plans, an itemised comparison and a Unit 3051 / Tower 03 impact statement.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Issue</w:t>
            </w:r>
          </w:p>
        </w:tc>
        <w:tc>
          <w:tcPr>
            <w:tcW w:type="dxa" w:w="223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Change presently reported</w:t>
            </w:r>
          </w:p>
        </w:tc>
        <w:tc>
          <w:tcPr>
            <w:tcW w:type="dxa" w:w="583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Required verification / disclosure</w:t>
            </w:r>
          </w:p>
        </w:tc>
      </w:tr>
      <w:tr>
        <w:trPr>
          <w:cantSplit/>
        </w:trPr>
        <w:tc>
          <w:tcPr>
            <w:tcW w:type="dxa" w:w="2088"/>
            <w:tcMar>
              <w:top w:w="70" w:type="dxa"/>
              <w:start w:w="80" w:type="dxa"/>
              <w:bottom w:w="70" w:type="dxa"/>
              <w:end w:w="80" w:type="dxa"/>
            </w:tcMar>
            <w:vAlign w:val="top"/>
          </w:tcPr>
          <w:p>
            <w:pPr>
              <w:spacing w:after="0" w:line="240" w:lineRule="auto"/>
            </w:pPr>
            <w:r>
              <w:rPr>
                <w:rFonts w:ascii="Times New Roman" w:hAnsi="Times New Roman" w:eastAsia="Times New Roman"/>
                <w:sz w:val="17"/>
              </w:rPr>
              <w:t>Project density / units</w:t>
            </w:r>
          </w:p>
        </w:tc>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7"/>
              </w:rPr>
              <w:t>522 → 734 units</w:t>
            </w:r>
          </w:p>
        </w:tc>
        <w:tc>
          <w:tcPr>
            <w:tcW w:type="dxa" w:w="5832"/>
            <w:tcMar>
              <w:top w:w="70" w:type="dxa"/>
              <w:start w:w="80" w:type="dxa"/>
              <w:bottom w:w="70" w:type="dxa"/>
              <w:end w:w="80" w:type="dxa"/>
            </w:tcMar>
            <w:vAlign w:val="top"/>
          </w:tcPr>
          <w:p>
            <w:pPr>
              <w:spacing w:after="0" w:line="240" w:lineRule="auto"/>
            </w:pPr>
            <w:r>
              <w:rPr>
                <w:rFonts w:ascii="Times New Roman" w:hAnsi="Times New Roman" w:eastAsia="Times New Roman"/>
                <w:sz w:val="17"/>
              </w:rPr>
              <w:t>Verify from certified sanctioned plans and state effect on services, circulation, amenities and completion.</w:t>
            </w:r>
          </w:p>
        </w:tc>
      </w:tr>
      <w:tr>
        <w:trPr>
          <w:cantSplit/>
        </w:trPr>
        <w:tc>
          <w:tcPr>
            <w:tcW w:type="dxa" w:w="2088"/>
            <w:tcMar>
              <w:top w:w="70" w:type="dxa"/>
              <w:start w:w="80" w:type="dxa"/>
              <w:bottom w:w="70" w:type="dxa"/>
              <w:end w:w="80" w:type="dxa"/>
            </w:tcMar>
            <w:vAlign w:val="top"/>
          </w:tcPr>
          <w:p>
            <w:pPr>
              <w:spacing w:after="0" w:line="240" w:lineRule="auto"/>
            </w:pPr>
            <w:r>
              <w:rPr>
                <w:rFonts w:ascii="Times New Roman" w:hAnsi="Times New Roman" w:eastAsia="Times New Roman"/>
                <w:sz w:val="17"/>
              </w:rPr>
              <w:t>Parking</w:t>
            </w:r>
          </w:p>
        </w:tc>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7"/>
              </w:rPr>
              <w:t>999 → 957 spaces</w:t>
            </w:r>
          </w:p>
        </w:tc>
        <w:tc>
          <w:tcPr>
            <w:tcW w:type="dxa" w:w="5832"/>
            <w:tcMar>
              <w:top w:w="70" w:type="dxa"/>
              <w:start w:w="80" w:type="dxa"/>
              <w:bottom w:w="70" w:type="dxa"/>
              <w:end w:w="80" w:type="dxa"/>
            </w:tcMar>
            <w:vAlign w:val="top"/>
          </w:tcPr>
          <w:p>
            <w:pPr>
              <w:spacing w:after="0" w:line="240" w:lineRule="auto"/>
            </w:pPr>
            <w:r>
              <w:rPr>
                <w:rFonts w:ascii="Times New Roman" w:hAnsi="Times New Roman" w:eastAsia="Times New Roman"/>
                <w:sz w:val="17"/>
              </w:rPr>
              <w:t>Verify parking calculations and the specific ECS entitlement of Unit 3051.</w:t>
            </w:r>
          </w:p>
        </w:tc>
      </w:tr>
      <w:tr>
        <w:trPr>
          <w:cantSplit/>
        </w:trPr>
        <w:tc>
          <w:tcPr>
            <w:tcW w:type="dxa" w:w="2088"/>
            <w:tcMar>
              <w:top w:w="70" w:type="dxa"/>
              <w:start w:w="80" w:type="dxa"/>
              <w:bottom w:w="70" w:type="dxa"/>
              <w:end w:w="80" w:type="dxa"/>
            </w:tcMar>
            <w:vAlign w:val="top"/>
          </w:tcPr>
          <w:p>
            <w:pPr>
              <w:spacing w:after="0" w:line="240" w:lineRule="auto"/>
            </w:pPr>
            <w:r>
              <w:rPr>
                <w:rFonts w:ascii="Times New Roman" w:hAnsi="Times New Roman" w:eastAsia="Times New Roman"/>
                <w:sz w:val="17"/>
              </w:rPr>
              <w:t>Tower 03 configuration</w:t>
            </w:r>
          </w:p>
        </w:tc>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7"/>
              </w:rPr>
              <w:t>G+29 → S1+S2+30</w:t>
            </w:r>
          </w:p>
        </w:tc>
        <w:tc>
          <w:tcPr>
            <w:tcW w:type="dxa" w:w="5832"/>
            <w:tcMar>
              <w:top w:w="70" w:type="dxa"/>
              <w:start w:w="80" w:type="dxa"/>
              <w:bottom w:w="70" w:type="dxa"/>
              <w:end w:w="80" w:type="dxa"/>
            </w:tcMar>
            <w:vAlign w:val="top"/>
          </w:tcPr>
          <w:p>
            <w:pPr>
              <w:spacing w:after="0" w:line="240" w:lineRule="auto"/>
            </w:pPr>
            <w:r>
              <w:rPr>
                <w:rFonts w:ascii="Times New Roman" w:hAnsi="Times New Roman" w:eastAsia="Times New Roman"/>
                <w:sz w:val="17"/>
              </w:rPr>
              <w:t>Explain structural, access, fire-safety, lift and construction-timeline consequences.</w:t>
            </w:r>
          </w:p>
        </w:tc>
      </w:tr>
      <w:tr>
        <w:trPr>
          <w:cantSplit/>
        </w:trPr>
        <w:tc>
          <w:tcPr>
            <w:tcW w:type="dxa" w:w="2088"/>
            <w:tcMar>
              <w:top w:w="70" w:type="dxa"/>
              <w:start w:w="80" w:type="dxa"/>
              <w:bottom w:w="70" w:type="dxa"/>
              <w:end w:w="80" w:type="dxa"/>
            </w:tcMar>
            <w:vAlign w:val="top"/>
          </w:tcPr>
          <w:p>
            <w:pPr>
              <w:spacing w:after="0" w:line="240" w:lineRule="auto"/>
            </w:pPr>
            <w:r>
              <w:rPr>
                <w:rFonts w:ascii="Times New Roman" w:hAnsi="Times New Roman" w:eastAsia="Times New Roman"/>
                <w:sz w:val="17"/>
              </w:rPr>
              <w:t>Tower height</w:t>
            </w:r>
          </w:p>
        </w:tc>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7"/>
              </w:rPr>
              <w:t>96.95 m → 101.05 m</w:t>
            </w:r>
          </w:p>
        </w:tc>
        <w:tc>
          <w:tcPr>
            <w:tcW w:type="dxa" w:w="5832"/>
            <w:tcMar>
              <w:top w:w="70" w:type="dxa"/>
              <w:start w:w="80" w:type="dxa"/>
              <w:bottom w:w="70" w:type="dxa"/>
              <w:end w:w="80" w:type="dxa"/>
            </w:tcMar>
            <w:vAlign w:val="top"/>
          </w:tcPr>
          <w:p>
            <w:pPr>
              <w:spacing w:after="0" w:line="240" w:lineRule="auto"/>
            </w:pPr>
            <w:r>
              <w:rPr>
                <w:rFonts w:ascii="Times New Roman" w:hAnsi="Times New Roman" w:eastAsia="Times New Roman"/>
                <w:sz w:val="17"/>
              </w:rPr>
              <w:t>Produce fire, structural and aviation/other approvals, where applicable.</w:t>
            </w:r>
          </w:p>
        </w:tc>
      </w:tr>
      <w:tr>
        <w:trPr>
          <w:cantSplit/>
        </w:trPr>
        <w:tc>
          <w:tcPr>
            <w:tcW w:type="dxa" w:w="2088"/>
            <w:tcMar>
              <w:top w:w="70" w:type="dxa"/>
              <w:start w:w="80" w:type="dxa"/>
              <w:bottom w:w="70" w:type="dxa"/>
              <w:end w:w="80" w:type="dxa"/>
            </w:tcMar>
            <w:vAlign w:val="top"/>
          </w:tcPr>
          <w:p>
            <w:pPr>
              <w:spacing w:after="0" w:line="240" w:lineRule="auto"/>
            </w:pPr>
            <w:r>
              <w:rPr>
                <w:rFonts w:ascii="Times New Roman" w:hAnsi="Times New Roman" w:eastAsia="Times New Roman"/>
                <w:sz w:val="17"/>
              </w:rPr>
              <w:t>Green / common areas</w:t>
            </w:r>
          </w:p>
        </w:tc>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7"/>
              </w:rPr>
              <w:t>Reduction alleged in available comparison</w:t>
            </w:r>
          </w:p>
        </w:tc>
        <w:tc>
          <w:tcPr>
            <w:tcW w:type="dxa" w:w="5832"/>
            <w:tcMar>
              <w:top w:w="70" w:type="dxa"/>
              <w:start w:w="80" w:type="dxa"/>
              <w:bottom w:w="70" w:type="dxa"/>
              <w:end w:w="80" w:type="dxa"/>
            </w:tcMar>
            <w:vAlign w:val="top"/>
          </w:tcPr>
          <w:p>
            <w:pPr>
              <w:spacing w:after="0" w:line="240" w:lineRule="auto"/>
            </w:pPr>
            <w:r>
              <w:rPr>
                <w:rFonts w:ascii="Times New Roman" w:hAnsi="Times New Roman" w:eastAsia="Times New Roman"/>
                <w:sz w:val="17"/>
              </w:rPr>
              <w:t>Produce area statement and amenity-impact note.</w:t>
            </w:r>
          </w:p>
        </w:tc>
      </w:tr>
      <w:tr>
        <w:trPr>
          <w:cantSplit/>
        </w:trPr>
        <w:tc>
          <w:tcPr>
            <w:tcW w:type="dxa" w:w="2088"/>
            <w:tcMar>
              <w:top w:w="70" w:type="dxa"/>
              <w:start w:w="80" w:type="dxa"/>
              <w:bottom w:w="70" w:type="dxa"/>
              <w:end w:w="80" w:type="dxa"/>
            </w:tcMar>
            <w:vAlign w:val="top"/>
          </w:tcPr>
          <w:p>
            <w:pPr>
              <w:spacing w:after="0" w:line="240" w:lineRule="auto"/>
            </w:pPr>
            <w:r>
              <w:rPr>
                <w:rFonts w:ascii="Times New Roman" w:hAnsi="Times New Roman" w:eastAsia="Times New Roman"/>
                <w:sz w:val="17"/>
              </w:rPr>
              <w:t>Project area</w:t>
            </w:r>
          </w:p>
        </w:tc>
        <w:tc>
          <w:tcPr>
            <w:tcW w:type="dxa" w:w="2232"/>
            <w:tcMar>
              <w:top w:w="70" w:type="dxa"/>
              <w:start w:w="80" w:type="dxa"/>
              <w:bottom w:w="70" w:type="dxa"/>
              <w:end w:w="80" w:type="dxa"/>
            </w:tcMar>
            <w:vAlign w:val="top"/>
          </w:tcPr>
          <w:p>
            <w:pPr>
              <w:spacing w:after="0" w:line="240" w:lineRule="auto"/>
            </w:pPr>
            <w:r>
              <w:rPr>
                <w:rFonts w:ascii="Times New Roman" w:hAnsi="Times New Roman" w:eastAsia="Times New Roman"/>
                <w:sz w:val="17"/>
              </w:rPr>
              <w:t>11.5875 acres vs 11.5878 acres</w:t>
            </w:r>
          </w:p>
        </w:tc>
        <w:tc>
          <w:tcPr>
            <w:tcW w:type="dxa" w:w="5832"/>
            <w:tcMar>
              <w:top w:w="70" w:type="dxa"/>
              <w:start w:w="80" w:type="dxa"/>
              <w:bottom w:w="70" w:type="dxa"/>
              <w:end w:w="80" w:type="dxa"/>
            </w:tcMar>
            <w:vAlign w:val="top"/>
          </w:tcPr>
          <w:p>
            <w:pPr>
              <w:spacing w:after="0" w:line="240" w:lineRule="auto"/>
            </w:pPr>
            <w:r>
              <w:rPr>
                <w:rFonts w:ascii="Times New Roman" w:hAnsi="Times New Roman" w:eastAsia="Times New Roman"/>
                <w:sz w:val="17"/>
              </w:rPr>
              <w:t>Reconcile the figures in official records and notices.</w:t>
            </w:r>
          </w:p>
        </w:tc>
      </w:tr>
    </w:tbl>
    <w:p>
      <w:pPr>
        <w:spacing w:after="0"/>
      </w:pPr>
    </w:p>
    <w:p>
      <w:pPr>
        <w:spacing w:before="0" w:after="100" w:line="259" w:lineRule="auto"/>
      </w:pPr>
      <w:r>
        <w:rPr>
          <w:rFonts w:ascii="Times New Roman" w:hAnsi="Times New Roman" w:eastAsia="Times New Roman"/>
          <w:b/>
          <w:i w:val="0"/>
          <w:sz w:val="22"/>
        </w:rPr>
        <w:t xml:space="preserve">Section 14 distinction: </w:t>
      </w:r>
      <w:r>
        <w:rPr>
          <w:rFonts w:ascii="Times New Roman" w:hAnsi="Times New Roman" w:eastAsia="Times New Roman"/>
          <w:b w:val="0"/>
          <w:i w:val="0"/>
          <w:sz w:val="22"/>
        </w:rPr>
        <w:t>Alterations affecting the sanctioned plan, dimensions, specifications, access, fixtures or appurtenant rights of Unit 3051 require examination under Section 14(2)(i). Building-wide or common-area alterations require proof of compliance with Section 14(2)(ii), including the requisite two-thirds allottee consent wherever applicable. Structural and workmanship defect liability arises under Section 14(3), not Section 15.</w:t>
      </w:r>
    </w:p>
    <w:p>
      <w:pPr>
        <w:pStyle w:val="Heading1"/>
        <w:spacing w:before="180" w:after="80"/>
        <w:keepNext/>
      </w:pPr>
      <w:r>
        <w:rPr>
          <w:rFonts w:ascii="Times New Roman" w:hAnsi="Times New Roman" w:eastAsia="Times New Roman"/>
          <w:b/>
          <w:sz w:val="28"/>
        </w:rPr>
        <w:t>8. Completion programme, funding and financial safeguards</w:t>
      </w:r>
    </w:p>
    <w:p>
      <w:pPr>
        <w:pStyle w:val="ListBullet"/>
        <w:spacing w:after="80" w:line="252" w:lineRule="auto"/>
        <w:ind w:left="331" w:hanging="245"/>
      </w:pPr>
      <w:r>
        <w:rPr>
          <w:rFonts w:ascii="Times New Roman" w:hAnsi="Times New Roman" w:eastAsia="Times New Roman"/>
          <w:b/>
          <w:i w:val="0"/>
          <w:sz w:val="21"/>
        </w:rPr>
        <w:t xml:space="preserve">Binding completion programme: </w:t>
      </w:r>
      <w:r>
        <w:rPr>
          <w:rFonts w:ascii="Times New Roman" w:hAnsi="Times New Roman" w:eastAsia="Times New Roman"/>
          <w:b w:val="0"/>
          <w:i w:val="0"/>
          <w:sz w:val="21"/>
        </w:rPr>
        <w:t>require a Tower 03-specific milestone chart, target occupation-certificate date and fixed date for physical possession of Unit 3051.</w:t>
      </w:r>
    </w:p>
    <w:p>
      <w:pPr>
        <w:pStyle w:val="ListBullet"/>
        <w:spacing w:after="80" w:line="252" w:lineRule="auto"/>
        <w:ind w:left="331" w:hanging="245"/>
      </w:pPr>
      <w:r>
        <w:rPr>
          <w:rFonts w:ascii="Times New Roman" w:hAnsi="Times New Roman" w:eastAsia="Times New Roman"/>
          <w:b/>
          <w:i w:val="0"/>
          <w:sz w:val="21"/>
        </w:rPr>
        <w:t xml:space="preserve">Explanation of the 2031 projection: </w:t>
      </w:r>
      <w:r>
        <w:rPr>
          <w:rFonts w:ascii="Times New Roman" w:hAnsi="Times New Roman" w:eastAsia="Times New Roman"/>
          <w:b w:val="0"/>
          <w:i w:val="0"/>
          <w:sz w:val="21"/>
        </w:rPr>
        <w:t>require ATS to identify the document, basis, approvals and effect of the reported 30.06.2031 date, while expressly preserving all existing delay and compensation rights.</w:t>
      </w:r>
    </w:p>
    <w:p>
      <w:pPr>
        <w:pStyle w:val="ListBullet"/>
        <w:spacing w:after="80" w:line="252" w:lineRule="auto"/>
        <w:ind w:left="331" w:hanging="245"/>
      </w:pPr>
      <w:r>
        <w:rPr>
          <w:rFonts w:ascii="Times New Roman" w:hAnsi="Times New Roman" w:eastAsia="Times New Roman"/>
          <w:b/>
          <w:i w:val="0"/>
          <w:sz w:val="21"/>
        </w:rPr>
        <w:t xml:space="preserve">Project account: </w:t>
      </w:r>
      <w:r>
        <w:rPr>
          <w:rFonts w:ascii="Times New Roman" w:hAnsi="Times New Roman" w:eastAsia="Times New Roman"/>
          <w:b w:val="0"/>
          <w:i w:val="0"/>
          <w:sz w:val="21"/>
        </w:rPr>
        <w:t>provide Section 4(2)(l)(D) separate-account particulars, recent statements and CA/engineer/architect withdrawal-utilisation certifications.</w:t>
      </w:r>
    </w:p>
    <w:p>
      <w:pPr>
        <w:pStyle w:val="ListBullet"/>
        <w:spacing w:after="80" w:line="252" w:lineRule="auto"/>
        <w:ind w:left="331" w:hanging="245"/>
      </w:pPr>
      <w:r>
        <w:rPr>
          <w:rFonts w:ascii="Times New Roman" w:hAnsi="Times New Roman" w:eastAsia="Times New Roman"/>
          <w:b/>
          <w:i w:val="0"/>
          <w:sz w:val="21"/>
        </w:rPr>
        <w:t xml:space="preserve">COD financial conditions: </w:t>
      </w:r>
      <w:r>
        <w:rPr>
          <w:rFonts w:ascii="Times New Roman" w:hAnsi="Times New Roman" w:eastAsia="Times New Roman"/>
          <w:b w:val="0"/>
          <w:i w:val="0"/>
          <w:sz w:val="21"/>
        </w:rPr>
        <w:t>verify administrative charges, EDC/IDC status, internal/external development bank guarantees and enhancement of the incoming colonizer’s paid-up capital to the stipulated amount.</w:t>
      </w:r>
    </w:p>
    <w:p>
      <w:pPr>
        <w:pStyle w:val="ListBullet"/>
        <w:spacing w:after="80" w:line="252" w:lineRule="auto"/>
        <w:ind w:left="331" w:hanging="245"/>
      </w:pPr>
      <w:r>
        <w:rPr>
          <w:rFonts w:ascii="Times New Roman" w:hAnsi="Times New Roman" w:eastAsia="Times New Roman"/>
          <w:b/>
          <w:i w:val="0"/>
          <w:sz w:val="21"/>
        </w:rPr>
        <w:t xml:space="preserve">No undisclosed allottee burden: </w:t>
      </w:r>
      <w:r>
        <w:rPr>
          <w:rFonts w:ascii="Times New Roman" w:hAnsi="Times New Roman" w:eastAsia="Times New Roman"/>
          <w:b w:val="0"/>
          <w:i w:val="0"/>
          <w:sz w:val="21"/>
        </w:rPr>
        <w:t>record that COD or plan revision does not by itself authorise a fresh charge, revised payment plan or transfer of promoter liabilities to the allottee. Any lawful demand must have an identified contractual and statutory basis.</w:t>
      </w:r>
    </w:p>
    <w:p>
      <w:pPr>
        <w:pStyle w:val="ListBullet"/>
        <w:spacing w:after="80" w:line="252" w:lineRule="auto"/>
        <w:ind w:left="331" w:hanging="245"/>
      </w:pPr>
      <w:r>
        <w:rPr>
          <w:rFonts w:ascii="Times New Roman" w:hAnsi="Times New Roman" w:eastAsia="Times New Roman"/>
          <w:b/>
          <w:i w:val="0"/>
          <w:sz w:val="21"/>
        </w:rPr>
        <w:t xml:space="preserve">Express assumption instrument: </w:t>
      </w:r>
      <w:r>
        <w:rPr>
          <w:rFonts w:ascii="Times New Roman" w:hAnsi="Times New Roman" w:eastAsia="Times New Roman"/>
          <w:b w:val="0"/>
          <w:i w:val="0"/>
          <w:sz w:val="21"/>
        </w:rPr>
        <w:t>require a signed deed/undertaking identifying the obligations accepted by Homekraft and the obligations continuing against ATS Realworth and Hasta. Any joint and several liability should be created expressly in the instrument and final order, rather than left to implication.</w:t>
      </w:r>
    </w:p>
    <w:p>
      <w:pPr>
        <w:pStyle w:val="Heading1"/>
        <w:spacing w:before="180" w:after="80"/>
        <w:keepNext/>
      </w:pPr>
      <w:r>
        <w:rPr>
          <w:rFonts w:ascii="Times New Roman" w:hAnsi="Times New Roman" w:eastAsia="Times New Roman"/>
          <w:b/>
          <w:sz w:val="28"/>
        </w:rPr>
        <w:t>9. Focused schedule of documents to be supplied / verified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79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No.</w:t>
            </w:r>
          </w:p>
        </w:tc>
        <w:tc>
          <w:tcPr>
            <w:tcW w:type="dxa" w:w="9360"/>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Document / record</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Complete COD application pack and all supplements filed during September–October 2025.</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2</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Certified in-principle COD memo dated 10.12.2025 and verbatim Conditions 1–12.</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3</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Registered collaboration agreement, fresh LC-IV agreement and bilateral agreement.</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4</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Condition-wise compliance report with deposit receipts, EDC/IDC clearance and bank guarantees.</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5</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Board resolutions, powers of attorney and authority of each affidavit deponent for ATS Realworth, Hasta and Homekraft.</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6</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Certified MCA master data, CIN, directors and shareholding/control documents sufficient to identify the relationship among the three companies.</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7</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Pre- and post-COD role chart naming the DTCP colonizer, RERA promoter, BBA obligor, construction entity, pre-EMI obligor and person responsible for the HARERA order.</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8</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Existing HARERA project-registration extract, proposed amendment, Section 15 application/approval and allottee-consent record, if applicable.</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9</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Liability-assumption deed / undertakings signed by the legally relevant entities, including a no-release and no-time-extension clause.</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10</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Unit 3051-specific HARERA compliance affidavit with bank proof, possession programme, certificate status and project-account disclosure.</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11</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Exact Condition 12 individual notice and proof of email, postal/courier and website service on the allottee.</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12</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Certified old and revised sanctioned plans, comparative statement and Tower 03 / Unit 3051 impact report.</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13</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Section 14 consent record and computation, where relied upon.</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14</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Tower 03 construction status certified by the project engineer, current photographs and milestone-linked completion-funding plan.</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15</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DTCP planning-branch report/action taken pursuant to Direction IV of the HARERA order dated 18.04.2024.</w:t>
            </w:r>
          </w:p>
        </w:tc>
      </w:tr>
    </w:tbl>
    <w:p>
      <w:pPr>
        <w:spacing w:after="0"/>
      </w:pPr>
    </w:p>
    <w:p>
      <w:pPr>
        <w:pStyle w:val="Heading1"/>
        <w:spacing w:before="180" w:after="80"/>
        <w:keepNext/>
      </w:pPr>
      <w:r>
        <w:rPr>
          <w:rFonts w:ascii="Times New Roman" w:hAnsi="Times New Roman" w:eastAsia="Times New Roman"/>
          <w:b/>
          <w:sz w:val="28"/>
        </w:rPr>
        <w:t>10. Reliefs sought</w:t>
      </w:r>
    </w:p>
    <w:p>
      <w:pPr>
        <w:spacing w:before="0" w:after="100" w:line="259" w:lineRule="auto"/>
      </w:pPr>
      <w:r>
        <w:rPr>
          <w:rFonts w:ascii="Times New Roman" w:hAnsi="Times New Roman" w:eastAsia="Times New Roman"/>
          <w:b w:val="0"/>
          <w:i w:val="0"/>
          <w:sz w:val="22"/>
        </w:rPr>
        <w:t>In view of the above, it is respectfully prayed that the competent authority may:</w:t>
      </w:r>
    </w:p>
    <w:p>
      <w:pPr>
        <w:spacing w:after="100" w:line="259" w:lineRule="auto"/>
        <w:ind w:left="432" w:hanging="432"/>
      </w:pPr>
      <w:r>
        <w:rPr>
          <w:rFonts w:ascii="Times New Roman" w:hAnsi="Times New Roman" w:eastAsia="Times New Roman"/>
          <w:b/>
          <w:sz w:val="22"/>
        </w:rPr>
        <w:t xml:space="preserve">1. </w:t>
      </w:r>
      <w:r>
        <w:rPr>
          <w:rFonts w:ascii="Times New Roman" w:hAnsi="Times New Roman" w:eastAsia="Times New Roman"/>
          <w:b/>
          <w:i w:val="0"/>
          <w:sz w:val="22"/>
        </w:rPr>
        <w:t xml:space="preserve">Take this representation on record and grant the undersigned an effective personal hearing </w:t>
      </w:r>
      <w:r>
        <w:rPr>
          <w:rFonts w:ascii="Times New Roman" w:hAnsi="Times New Roman" w:eastAsia="Times New Roman"/>
          <w:b w:val="0"/>
          <w:i w:val="0"/>
          <w:sz w:val="22"/>
        </w:rPr>
        <w:t>before passing any final COD order or relying on the joint affidavit dated 08.06.2026.</w:t>
      </w:r>
    </w:p>
    <w:p>
      <w:pPr>
        <w:spacing w:after="100" w:line="259" w:lineRule="auto"/>
        <w:ind w:left="432" w:hanging="432"/>
      </w:pPr>
      <w:r>
        <w:rPr>
          <w:rFonts w:ascii="Times New Roman" w:hAnsi="Times New Roman" w:eastAsia="Times New Roman"/>
          <w:b/>
          <w:sz w:val="22"/>
        </w:rPr>
        <w:t xml:space="preserve">2. </w:t>
      </w:r>
      <w:r>
        <w:rPr>
          <w:rFonts w:ascii="Times New Roman" w:hAnsi="Times New Roman" w:eastAsia="Times New Roman"/>
          <w:b/>
          <w:i w:val="0"/>
          <w:sz w:val="22"/>
        </w:rPr>
        <w:t xml:space="preserve">Direct supply of the focused document schedule in Section 9 </w:t>
      </w:r>
      <w:r>
        <w:rPr>
          <w:rFonts w:ascii="Times New Roman" w:hAnsi="Times New Roman" w:eastAsia="Times New Roman"/>
          <w:b w:val="0"/>
          <w:i w:val="0"/>
          <w:sz w:val="22"/>
        </w:rPr>
        <w:t>and permit a reasonable period for supplementary objections after actual supply.</w:t>
      </w:r>
    </w:p>
    <w:p>
      <w:pPr>
        <w:spacing w:after="100" w:line="259" w:lineRule="auto"/>
        <w:ind w:left="432" w:hanging="432"/>
      </w:pPr>
      <w:r>
        <w:rPr>
          <w:rFonts w:ascii="Times New Roman" w:hAnsi="Times New Roman" w:eastAsia="Times New Roman"/>
          <w:b/>
          <w:sz w:val="22"/>
        </w:rPr>
        <w:t xml:space="preserve">3. </w:t>
      </w:r>
      <w:r>
        <w:rPr>
          <w:rFonts w:ascii="Times New Roman" w:hAnsi="Times New Roman" w:eastAsia="Times New Roman"/>
          <w:b/>
          <w:i w:val="0"/>
          <w:sz w:val="22"/>
        </w:rPr>
        <w:t xml:space="preserve">Determine and record the legal role of each entity </w:t>
      </w:r>
      <w:r>
        <w:rPr>
          <w:rFonts w:ascii="Times New Roman" w:hAnsi="Times New Roman" w:eastAsia="Times New Roman"/>
          <w:b w:val="0"/>
          <w:i w:val="0"/>
          <w:sz w:val="22"/>
        </w:rPr>
        <w:t>before and after COD, including the DTCP colonizer, RERA promoter, BBA obligor, construction entity, project-account controller, pre-EMI obligor and entity responsible for the HARERA order.</w:t>
      </w:r>
    </w:p>
    <w:p>
      <w:pPr>
        <w:spacing w:after="100" w:line="259" w:lineRule="auto"/>
        <w:ind w:left="432" w:hanging="432"/>
      </w:pPr>
      <w:r>
        <w:rPr>
          <w:rFonts w:ascii="Times New Roman" w:hAnsi="Times New Roman" w:eastAsia="Times New Roman"/>
          <w:b/>
          <w:sz w:val="22"/>
        </w:rPr>
        <w:t xml:space="preserve">4. </w:t>
      </w:r>
      <w:r>
        <w:rPr>
          <w:rFonts w:ascii="Times New Roman" w:hAnsi="Times New Roman" w:eastAsia="Times New Roman"/>
          <w:b/>
          <w:i w:val="0"/>
          <w:sz w:val="22"/>
        </w:rPr>
        <w:t xml:space="preserve">Record that the COD does not, by itself, discharge ATS Realworth </w:t>
      </w:r>
      <w:r>
        <w:rPr>
          <w:rFonts w:ascii="Times New Roman" w:hAnsi="Times New Roman" w:eastAsia="Times New Roman"/>
          <w:b w:val="0"/>
          <w:i w:val="0"/>
          <w:sz w:val="22"/>
        </w:rPr>
        <w:t>from the BBA, the order dated 18.04.2024, its rectification, accrued delay liability or the pending execution proceedings, and does not constitute novation without a lawful and informed process.</w:t>
      </w:r>
    </w:p>
    <w:p>
      <w:pPr>
        <w:spacing w:after="100" w:line="259" w:lineRule="auto"/>
        <w:ind w:left="432" w:hanging="432"/>
      </w:pPr>
      <w:r>
        <w:rPr>
          <w:rFonts w:ascii="Times New Roman" w:hAnsi="Times New Roman" w:eastAsia="Times New Roman"/>
          <w:b/>
          <w:sz w:val="22"/>
        </w:rPr>
        <w:t xml:space="preserve">5. </w:t>
      </w:r>
      <w:r>
        <w:rPr>
          <w:rFonts w:ascii="Times New Roman" w:hAnsi="Times New Roman" w:eastAsia="Times New Roman"/>
          <w:b/>
          <w:i w:val="0"/>
          <w:sz w:val="22"/>
        </w:rPr>
        <w:t xml:space="preserve">Where Section 15 is attracted, require strict proof of compliance </w:t>
      </w:r>
      <w:r>
        <w:rPr>
          <w:rFonts w:ascii="Times New Roman" w:hAnsi="Times New Roman" w:eastAsia="Times New Roman"/>
          <w:b w:val="0"/>
          <w:i w:val="0"/>
          <w:sz w:val="22"/>
        </w:rPr>
        <w:t>including the requisite allottee consent, prior RERA approval, independent performance of pending obligations by the intending promoter and an express no-extension clause.</w:t>
      </w:r>
    </w:p>
    <w:p>
      <w:pPr>
        <w:spacing w:after="100" w:line="259" w:lineRule="auto"/>
        <w:ind w:left="432" w:hanging="432"/>
      </w:pPr>
      <w:r>
        <w:rPr>
          <w:rFonts w:ascii="Times New Roman" w:hAnsi="Times New Roman" w:eastAsia="Times New Roman"/>
          <w:b/>
          <w:sz w:val="22"/>
        </w:rPr>
        <w:t xml:space="preserve">6. </w:t>
      </w:r>
      <w:r>
        <w:rPr>
          <w:rFonts w:ascii="Times New Roman" w:hAnsi="Times New Roman" w:eastAsia="Times New Roman"/>
          <w:b/>
          <w:i w:val="0"/>
          <w:sz w:val="22"/>
        </w:rPr>
        <w:t xml:space="preserve">Do not treat Condition 12 as satisfied without Unit 3051-specific service proof </w:t>
      </w:r>
      <w:r>
        <w:rPr>
          <w:rFonts w:ascii="Times New Roman" w:hAnsi="Times New Roman" w:eastAsia="Times New Roman"/>
          <w:b w:val="0"/>
          <w:i w:val="0"/>
          <w:sz w:val="22"/>
        </w:rPr>
        <w:t>and do not infer waiver, consent or settlement from silence, a public notice or a website upload.</w:t>
      </w:r>
    </w:p>
    <w:p>
      <w:pPr>
        <w:spacing w:after="100" w:line="259" w:lineRule="auto"/>
        <w:ind w:left="432" w:hanging="432"/>
      </w:pPr>
      <w:r>
        <w:rPr>
          <w:rFonts w:ascii="Times New Roman" w:hAnsi="Times New Roman" w:eastAsia="Times New Roman"/>
          <w:b/>
          <w:sz w:val="22"/>
        </w:rPr>
        <w:t xml:space="preserve">7. </w:t>
      </w:r>
      <w:r>
        <w:rPr>
          <w:rFonts w:ascii="Times New Roman" w:hAnsi="Times New Roman" w:eastAsia="Times New Roman"/>
          <w:b/>
          <w:i w:val="0"/>
          <w:sz w:val="22"/>
        </w:rPr>
        <w:t xml:space="preserve">Deal with the revised-plan proceeding separately </w:t>
      </w:r>
      <w:r>
        <w:rPr>
          <w:rFonts w:ascii="Times New Roman" w:hAnsi="Times New Roman" w:eastAsia="Times New Roman"/>
          <w:b w:val="0"/>
          <w:i w:val="0"/>
          <w:sz w:val="22"/>
        </w:rPr>
        <w:t>after supply of certified old and revised plans, a complete comparative statement, a Unit 3051 impact report and proof of Section 14 compliance.</w:t>
      </w:r>
    </w:p>
    <w:p>
      <w:pPr>
        <w:spacing w:after="100" w:line="259" w:lineRule="auto"/>
        <w:ind w:left="432" w:hanging="432"/>
      </w:pPr>
      <w:r>
        <w:rPr>
          <w:rFonts w:ascii="Times New Roman" w:hAnsi="Times New Roman" w:eastAsia="Times New Roman"/>
          <w:b/>
          <w:sz w:val="22"/>
        </w:rPr>
        <w:t xml:space="preserve">8. </w:t>
      </w:r>
      <w:r>
        <w:rPr>
          <w:rFonts w:ascii="Times New Roman" w:hAnsi="Times New Roman" w:eastAsia="Times New Roman"/>
          <w:b/>
          <w:i w:val="0"/>
          <w:sz w:val="22"/>
        </w:rPr>
        <w:t xml:space="preserve">Require actual, direction-wise HARERA compliance evidence </w:t>
      </w:r>
      <w:r>
        <w:rPr>
          <w:rFonts w:ascii="Times New Roman" w:hAnsi="Times New Roman" w:eastAsia="Times New Roman"/>
          <w:b w:val="0"/>
          <w:i w:val="0"/>
          <w:sz w:val="22"/>
        </w:rPr>
        <w:t>including pre-EMI bank proof, certificate status, possession date, project-account disclosure and the DTCP planning-branch action report.</w:t>
      </w:r>
    </w:p>
    <w:p>
      <w:pPr>
        <w:spacing w:after="100" w:line="259" w:lineRule="auto"/>
        <w:ind w:left="432" w:hanging="432"/>
      </w:pPr>
      <w:r>
        <w:rPr>
          <w:rFonts w:ascii="Times New Roman" w:hAnsi="Times New Roman" w:eastAsia="Times New Roman"/>
          <w:b/>
          <w:sz w:val="22"/>
        </w:rPr>
        <w:t xml:space="preserve">9. </w:t>
      </w:r>
      <w:r>
        <w:rPr>
          <w:rFonts w:ascii="Times New Roman" w:hAnsi="Times New Roman" w:eastAsia="Times New Roman"/>
          <w:b/>
          <w:i w:val="0"/>
          <w:sz w:val="22"/>
        </w:rPr>
        <w:t xml:space="preserve">Withhold final COD until the above safeguards are documented; alternatively, </w:t>
      </w:r>
      <w:r>
        <w:rPr>
          <w:rFonts w:ascii="Times New Roman" w:hAnsi="Times New Roman" w:eastAsia="Times New Roman"/>
          <w:b w:val="0"/>
          <w:i w:val="0"/>
          <w:sz w:val="22"/>
        </w:rPr>
        <w:t>if the authority considers approval necessary for project completion, incorporate them as express conditions and state that approval does not amount to compliance with the HARERA order, extension of the BBA/RERA timeline, novation, waiver, settlement or release of any existing obligor.</w:t>
      </w:r>
    </w:p>
    <w:p>
      <w:pPr>
        <w:spacing w:after="100" w:line="259" w:lineRule="auto"/>
        <w:ind w:left="432" w:hanging="432"/>
      </w:pPr>
      <w:r>
        <w:rPr>
          <w:rFonts w:ascii="Times New Roman" w:hAnsi="Times New Roman" w:eastAsia="Times New Roman"/>
          <w:b/>
          <w:sz w:val="22"/>
        </w:rPr>
        <w:t xml:space="preserve">10. </w:t>
      </w:r>
      <w:r>
        <w:rPr>
          <w:rFonts w:ascii="Times New Roman" w:hAnsi="Times New Roman" w:eastAsia="Times New Roman"/>
          <w:b/>
          <w:i w:val="0"/>
          <w:sz w:val="22"/>
        </w:rPr>
        <w:t xml:space="preserve">Pass a reasoned speaking order </w:t>
      </w:r>
      <w:r>
        <w:rPr>
          <w:rFonts w:ascii="Times New Roman" w:hAnsi="Times New Roman" w:eastAsia="Times New Roman"/>
          <w:b w:val="0"/>
          <w:i w:val="0"/>
          <w:sz w:val="22"/>
        </w:rPr>
        <w:t>dealing with each principal objection and supply a certified copy to the undersigned.</w:t>
      </w:r>
    </w:p>
    <w:p>
      <w:pPr>
        <w:pStyle w:val="Heading1"/>
        <w:spacing w:before="180" w:after="80"/>
        <w:keepNext/>
      </w:pPr>
      <w:r>
        <w:rPr>
          <w:rFonts w:ascii="Times New Roman" w:hAnsi="Times New Roman" w:eastAsia="Times New Roman"/>
          <w:b/>
          <w:sz w:val="28"/>
        </w:rPr>
        <w:t>11. Reservation of rights</w:t>
      </w:r>
    </w:p>
    <w:p>
      <w:pPr>
        <w:spacing w:before="0" w:after="100" w:line="259" w:lineRule="auto"/>
      </w:pPr>
      <w:r>
        <w:rPr>
          <w:rFonts w:ascii="Times New Roman" w:hAnsi="Times New Roman" w:eastAsia="Times New Roman"/>
          <w:b w:val="0"/>
          <w:i w:val="0"/>
          <w:sz w:val="22"/>
        </w:rPr>
        <w:t>This representation is without prejudice to the complainants’ rights in execution, appeal, compensation, delay-interest, pre-EMI, possession, inspection, defect-liability and other proceedings. Supply or consideration of documents will not, by itself, cure past non-compliance. The undersigned reserves liberty to supplement this representation after receipt of the complete COD, RERA-registration, revised-plan and compliance records.</w:t>
      </w:r>
    </w:p>
    <w:p>
      <w:pPr>
        <w:spacing w:before="0" w:after="40" w:line="259" w:lineRule="auto"/>
      </w:pPr>
      <w:r>
        <w:rPr>
          <w:rFonts w:ascii="Times New Roman" w:hAnsi="Times New Roman" w:eastAsia="Times New Roman"/>
          <w:b/>
          <w:i w:val="0"/>
          <w:sz w:val="22"/>
        </w:rPr>
        <w:t xml:space="preserve">Place: </w:t>
      </w:r>
      <w:r>
        <w:rPr>
          <w:rFonts w:ascii="Times New Roman" w:hAnsi="Times New Roman" w:eastAsia="Times New Roman"/>
          <w:b w:val="0"/>
          <w:i w:val="0"/>
          <w:sz w:val="22"/>
        </w:rPr>
        <w:t>New Delhi</w:t>
      </w:r>
    </w:p>
    <w:p>
      <w:pPr>
        <w:spacing w:before="0" w:after="240" w:line="259" w:lineRule="auto"/>
      </w:pPr>
      <w:r>
        <w:rPr>
          <w:rFonts w:ascii="Times New Roman" w:hAnsi="Times New Roman" w:eastAsia="Times New Roman"/>
          <w:b/>
          <w:i w:val="0"/>
          <w:sz w:val="22"/>
        </w:rPr>
        <w:t xml:space="preserve">Date: </w:t>
      </w:r>
      <w:r>
        <w:rPr>
          <w:rFonts w:ascii="Times New Roman" w:hAnsi="Times New Roman" w:eastAsia="Times New Roman"/>
          <w:b w:val="0"/>
          <w:i w:val="0"/>
          <w:sz w:val="22"/>
        </w:rPr>
        <w:t>18.06.2026</w:t>
      </w:r>
    </w:p>
    <w:p>
      <w:pPr>
        <w:spacing w:after="20"/>
        <w:jc w:val="right"/>
      </w:pPr>
      <w:r>
        <w:rPr>
          <w:rFonts w:ascii="Times New Roman" w:hAnsi="Times New Roman" w:eastAsia="Times New Roman"/>
          <w:b/>
          <w:sz w:val="22"/>
        </w:rPr>
        <w:t>(Prof. Vijyant Agarwal)</w:t>
      </w:r>
    </w:p>
    <w:p>
      <w:pPr>
        <w:spacing w:after="20"/>
        <w:jc w:val="right"/>
      </w:pPr>
      <w:r>
        <w:rPr>
          <w:rFonts w:ascii="Times New Roman" w:hAnsi="Times New Roman" w:eastAsia="Times New Roman"/>
          <w:sz w:val="21"/>
        </w:rPr>
        <w:t>Allottee — Unit No. 3051, Tower No. 03</w:t>
      </w:r>
    </w:p>
    <w:p>
      <w:pPr>
        <w:spacing w:after="20"/>
        <w:jc w:val="right"/>
      </w:pPr>
      <w:r>
        <w:rPr>
          <w:rFonts w:ascii="Times New Roman" w:hAnsi="Times New Roman" w:eastAsia="Times New Roman"/>
          <w:sz w:val="21"/>
        </w:rPr>
        <w:t>ATS Grandstand Phase-I, Sector 99A, Gurugram</w:t>
      </w:r>
    </w:p>
    <w:p>
      <w:pPr>
        <w:spacing w:after="20"/>
        <w:jc w:val="right"/>
      </w:pPr>
      <w:r>
        <w:rPr>
          <w:rFonts w:ascii="Times New Roman" w:hAnsi="Times New Roman" w:eastAsia="Times New Roman"/>
          <w:sz w:val="21"/>
        </w:rPr>
        <w:t>Mob.: 9899308574</w:t>
      </w:r>
    </w:p>
    <w:p>
      <w:r>
        <w:br w:type="page"/>
      </w:r>
    </w:p>
    <w:p>
      <w:pPr>
        <w:spacing w:after="200"/>
        <w:jc w:val="center"/>
      </w:pPr>
      <w:r>
        <w:rPr>
          <w:rFonts w:ascii="Times New Roman" w:hAnsi="Times New Roman" w:eastAsia="Times New Roman"/>
          <w:b/>
          <w:color w:val="1F4E79"/>
          <w:sz w:val="32"/>
        </w:rPr>
        <w:t>ANNEXURE SCHEDULE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440"/>
            <w:shd w:fill="D9EAD3"/>
            <w:tcMar>
              <w:top w:w="70" w:type="dxa"/>
              <w:start w:w="80" w:type="dxa"/>
              <w:bottom w:w="70" w:type="dxa"/>
              <w:end w:w="80" w:type="dxa"/>
            </w:tcMar>
            <w:vAlign w:val="center"/>
          </w:tcPr>
          <w:p>
            <w:pPr>
              <w:spacing w:after="0"/>
              <w:jc w:val="center"/>
            </w:pPr>
            <w:r>
              <w:rPr>
                <w:rFonts w:ascii="Times New Roman" w:hAnsi="Times New Roman" w:eastAsia="Times New Roman"/>
                <w:b/>
                <w:sz w:val="19"/>
              </w:rPr>
              <w:t>Annexure</w:t>
            </w:r>
          </w:p>
        </w:tc>
        <w:tc>
          <w:tcPr>
            <w:tcW w:type="dxa" w:w="8712"/>
            <w:shd w:fill="D9EAD3"/>
            <w:tcMar>
              <w:top w:w="70" w:type="dxa"/>
              <w:start w:w="80" w:type="dxa"/>
              <w:bottom w:w="70" w:type="dxa"/>
              <w:end w:w="80" w:type="dxa"/>
            </w:tcMar>
            <w:vAlign w:val="center"/>
          </w:tcPr>
          <w:p>
            <w:pPr>
              <w:spacing w:after="0"/>
              <w:jc w:val="center"/>
            </w:pPr>
            <w:r>
              <w:rPr>
                <w:rFonts w:ascii="Times New Roman" w:hAnsi="Times New Roman" w:eastAsia="Times New Roman"/>
                <w:b/>
                <w:sz w:val="19"/>
              </w:rPr>
              <w:t>Document</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A-1</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Buyer–Builder Agreement dated 25.10.2018.</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A-2</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Builder’s pre-EMI commitment letter dated 23.10.2018.</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A-3</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HARERA order dated 18.04.2024 in Complaint No. 4463 of 2021.</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A-4</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Rectification proceedings/order dated 08.08.2024.</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A-5</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DTCP in-principle COD memo dated 10.12.2025.</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A-6</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COD public notice dated 17.12.2025 and publication proof.</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A-7</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Revised plan permission/approval ZP-938-II dated 04.05.2026.</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A-8</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ATS communication containing the reported 30.06.2031 Phase-I projection.</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A-9</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Joint affidavit-cum-undertaking dated 08.06.2026.</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A-10</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Homekraft email dated 12.06.2026 concerning pre-EMI / loan statement.</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A-11</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Existing and proposed sanctioned-plan comparison and Tower 03 impact documents.</w:t>
            </w:r>
          </w:p>
        </w:tc>
      </w:tr>
      <w:tr>
        <w:trPr>
          <w:cantSplit/>
        </w:trPr>
        <w:tc>
          <w:tcPr>
            <w:tcW w:type="dxa" w:w="1440"/>
            <w:tcMar>
              <w:top w:w="70" w:type="dxa"/>
              <w:start w:w="80" w:type="dxa"/>
              <w:bottom w:w="70" w:type="dxa"/>
              <w:end w:w="80" w:type="dxa"/>
            </w:tcMar>
            <w:vAlign w:val="top"/>
          </w:tcPr>
          <w:p>
            <w:pPr>
              <w:spacing w:after="0" w:line="240" w:lineRule="auto"/>
            </w:pPr>
            <w:r>
              <w:rPr>
                <w:rFonts w:ascii="Times New Roman" w:hAnsi="Times New Roman" w:eastAsia="Times New Roman"/>
                <w:sz w:val="19"/>
              </w:rPr>
              <w:t>A-12</w:t>
            </w:r>
          </w:p>
        </w:tc>
        <w:tc>
          <w:tcPr>
            <w:tcW w:type="dxa" w:w="8712"/>
            <w:tcMar>
              <w:top w:w="70" w:type="dxa"/>
              <w:start w:w="80" w:type="dxa"/>
              <w:bottom w:w="70" w:type="dxa"/>
              <w:end w:w="80" w:type="dxa"/>
            </w:tcMar>
            <w:vAlign w:val="top"/>
          </w:tcPr>
          <w:p>
            <w:pPr>
              <w:spacing w:after="0" w:line="240" w:lineRule="auto"/>
            </w:pPr>
            <w:r>
              <w:rPr>
                <w:rFonts w:ascii="Times New Roman" w:hAnsi="Times New Roman" w:eastAsia="Times New Roman"/>
                <w:sz w:val="19"/>
              </w:rPr>
              <w:t>Relevant execution proceeding documents in RERA-GRG-5309-2024.</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4CCCC"/>
            <w:tcMar>
              <w:top w:w="100" w:type="dxa"/>
              <w:start w:w="120" w:type="dxa"/>
              <w:bottom w:w="100" w:type="dxa"/>
              <w:end w:w="120" w:type="dxa"/>
            </w:tcMar>
          </w:tcPr>
          <w:p>
            <w:pPr>
              <w:spacing w:after="40"/>
            </w:pPr>
            <w:r>
              <w:rPr>
                <w:rFonts w:ascii="Times New Roman" w:hAnsi="Times New Roman" w:eastAsia="Times New Roman"/>
                <w:b/>
                <w:sz w:val="21"/>
              </w:rPr>
              <w:t>Filing control</w:t>
            </w:r>
          </w:p>
          <w:p>
            <w:pPr>
              <w:spacing w:after="0" w:line="252" w:lineRule="auto"/>
            </w:pPr>
            <w:r>
              <w:rPr>
                <w:rFonts w:ascii="Times New Roman" w:hAnsi="Times New Roman" w:eastAsia="Times New Roman"/>
                <w:sz w:val="20"/>
              </w:rPr>
              <w:t>Before filing, verify every date, memo number, project-area figure, plan-change figure, entity name and annexure pagination against certified records. Remove the “Draft for Review” header only after this verification and legal vetting.</w:t>
            </w:r>
          </w:p>
        </w:tc>
      </w:tr>
    </w:tbl>
    <w:p>
      <w:pPr>
        <w:spacing w:after="0"/>
      </w:pPr>
    </w:p>
    <w:p>
      <w:pPr>
        <w:pStyle w:val="Heading1"/>
        <w:spacing w:before="180" w:after="80"/>
        <w:keepNext/>
      </w:pPr>
      <w:r>
        <w:rPr>
          <w:rFonts w:ascii="Times New Roman" w:hAnsi="Times New Roman" w:eastAsia="Times New Roman"/>
          <w:b/>
          <w:sz w:val="28"/>
        </w:rPr>
        <w:t>Annexure B — Proposed minimum conditions in any final COD order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792"/>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No.</w:t>
            </w:r>
          </w:p>
        </w:tc>
        <w:tc>
          <w:tcPr>
            <w:tcW w:type="dxa" w:w="9360"/>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8"/>
              </w:rPr>
              <w:t>Proposed condition</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1</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The final COD shall not be construed as discharging ATS Realworth Pvt. Ltd. from existing BBA, RERA, HARERA-order, execution or accrued delay obligations concerning Unit No. 3051.</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2</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The incoming entity shall execute a specific assumption-of-obligations instrument covering the construction, approval, infrastructure, disclosure and completion functions transferred to it.</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3</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Where Section 15 applies, the transfer shall take effect only after proof of statutory allottee consent and prior RERA approval; no extension of project completion shall arise from the transfer.</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4</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No new BBA, revised payment plan, waiver, settlement, satisfaction declaration or novation shall be imposed upon Unit No. 3051 without the allottee’s informed written agreement and without prejudice to adjudicated rights.</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5</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Pre-EMI obligations and the operative HARERA directions shall remain unaffected; any claimed offer of possession shall be assessed against the BBA, occupation-certificate direction and applicable law.</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6</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A Tower 03-specific completion and funding programme, certificate target and physical-possession date shall be filed and periodically reported.</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7</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The revised-plan proceeding and Section 14 compliance shall remain separately adjudicable and shall not be deemed concluded merely by COD approval.</w:t>
            </w:r>
          </w:p>
        </w:tc>
      </w:tr>
      <w:tr>
        <w:trPr>
          <w:cantSplit/>
        </w:trPr>
        <w:tc>
          <w:tcPr>
            <w:tcW w:type="dxa" w:w="792"/>
            <w:tcMar>
              <w:top w:w="70" w:type="dxa"/>
              <w:start w:w="80" w:type="dxa"/>
              <w:bottom w:w="70" w:type="dxa"/>
              <w:end w:w="80" w:type="dxa"/>
            </w:tcMar>
            <w:vAlign w:val="top"/>
          </w:tcPr>
          <w:p>
            <w:pPr>
              <w:spacing w:after="0" w:line="240" w:lineRule="auto"/>
            </w:pPr>
            <w:r>
              <w:rPr>
                <w:rFonts w:ascii="Times New Roman" w:hAnsi="Times New Roman" w:eastAsia="Times New Roman"/>
                <w:sz w:val="18"/>
              </w:rPr>
              <w:t>8</w:t>
            </w:r>
          </w:p>
        </w:tc>
        <w:tc>
          <w:tcPr>
            <w:tcW w:type="dxa" w:w="9360"/>
            <w:tcMar>
              <w:top w:w="70" w:type="dxa"/>
              <w:start w:w="80" w:type="dxa"/>
              <w:bottom w:w="70" w:type="dxa"/>
              <w:end w:w="80" w:type="dxa"/>
            </w:tcMar>
            <w:vAlign w:val="top"/>
          </w:tcPr>
          <w:p>
            <w:pPr>
              <w:spacing w:after="0" w:line="240" w:lineRule="auto"/>
            </w:pPr>
            <w:r>
              <w:rPr>
                <w:rFonts w:ascii="Times New Roman" w:hAnsi="Times New Roman" w:eastAsia="Times New Roman"/>
                <w:sz w:val="18"/>
              </w:rPr>
              <w:t>The authority shall retain power to enforce each COD condition and to act upon misstatement, non-disclosure or breach, without prejudice to HARERA and other competent proceedings.</w:t>
            </w:r>
          </w:p>
        </w:tc>
      </w:tr>
    </w:tbl>
    <w:p>
      <w:pPr>
        <w:spacing w:after="0"/>
      </w:pPr>
    </w:p>
    <w:p>
      <w:pPr>
        <w:pStyle w:val="Heading1"/>
        <w:spacing w:before="180" w:after="80"/>
        <w:keepNext/>
      </w:pPr>
      <w:r>
        <w:rPr>
          <w:rFonts w:ascii="Times New Roman" w:hAnsi="Times New Roman" w:eastAsia="Times New Roman"/>
          <w:b/>
          <w:sz w:val="28"/>
        </w:rPr>
        <w:t>Annexure C — Compact statutory reference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Provision</w:t>
            </w:r>
          </w:p>
        </w:tc>
        <w:tc>
          <w:tcPr>
            <w:tcW w:type="dxa" w:w="8208"/>
            <w:shd w:fill="D9EAF7"/>
            <w:tcMar>
              <w:top w:w="70" w:type="dxa"/>
              <w:start w:w="80" w:type="dxa"/>
              <w:bottom w:w="70" w:type="dxa"/>
              <w:end w:w="80" w:type="dxa"/>
            </w:tcMar>
            <w:vAlign w:val="center"/>
          </w:tcPr>
          <w:p>
            <w:pPr>
              <w:spacing w:after="0"/>
              <w:jc w:val="center"/>
            </w:pPr>
            <w:r>
              <w:rPr>
                <w:rFonts w:ascii="Times New Roman" w:hAnsi="Times New Roman" w:eastAsia="Times New Roman"/>
                <w:b/>
                <w:sz w:val="17"/>
              </w:rPr>
              <w:t>Correct legal function</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4(2)(l)(D)</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Seventy per cent of amounts realised from allottees are to be deposited in a separate scheduled-bank account and used for land and construction cost, subject to certified withdrawals and audit.</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11(4)(a)</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The promoter remains responsible for statutory and agreement obligations to allottees until the relevant conveyance / handover stage specified in the Act.</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14(2)(i)</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Previous consent of the affected allottee for additions or alterations concerning the apartment/plot/building agreed to be taken, subject to the statutory minor-change exception.</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14(2)(ii)</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Previous written consent of at least two-thirds allottees for other alterations/additions in sanctioned plans of buildings or common areas, where applicable.</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14(3)</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Five-year defect rectification obligation for structural, workmanship, quality, service and agreement-related defects after possession.</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15</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Transfer/assignment of majority promoter rights and liabilities requires the prescribed allottee consent and prior Authority approval; the intending promoter must perform pending obligations and receives no time extension.</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18</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Return, interest and compensation consequences where the promoter fails to complete or give possession in accordance with the agreement; monthly delay interest where the allottee remains in the project.</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19</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Allottee rights to sanctioned-plan information, specifications and stage-wise completion schedule.</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39</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Rectification of mistakes apparent from the record; substantive parts of an order cannot be amended through rectification.</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40</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Recovery and enforcement of interest, penalty, compensation and orders.</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63</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Penalty for failure by a promoter to comply with or contravene an order or direction of the Authority.</w:t>
            </w:r>
          </w:p>
        </w:tc>
      </w:tr>
      <w:tr>
        <w:trPr>
          <w:cantSplit/>
        </w:trPr>
        <w:tc>
          <w:tcPr>
            <w:tcW w:type="dxa" w:w="1944"/>
            <w:tcMar>
              <w:top w:w="70" w:type="dxa"/>
              <w:start w:w="80" w:type="dxa"/>
              <w:bottom w:w="70" w:type="dxa"/>
              <w:end w:w="80" w:type="dxa"/>
            </w:tcMar>
            <w:vAlign w:val="top"/>
          </w:tcPr>
          <w:p>
            <w:pPr>
              <w:spacing w:after="0" w:line="240" w:lineRule="auto"/>
            </w:pPr>
            <w:r>
              <w:rPr>
                <w:rFonts w:ascii="Times New Roman" w:hAnsi="Times New Roman" w:eastAsia="Times New Roman"/>
                <w:sz w:val="17"/>
              </w:rPr>
              <w:t>Section 71</w:t>
            </w:r>
          </w:p>
        </w:tc>
        <w:tc>
          <w:tcPr>
            <w:tcW w:type="dxa" w:w="8208"/>
            <w:tcMar>
              <w:top w:w="70" w:type="dxa"/>
              <w:start w:w="80" w:type="dxa"/>
              <w:bottom w:w="70" w:type="dxa"/>
              <w:end w:w="80" w:type="dxa"/>
            </w:tcMar>
            <w:vAlign w:val="top"/>
          </w:tcPr>
          <w:p>
            <w:pPr>
              <w:spacing w:after="0" w:line="240" w:lineRule="auto"/>
            </w:pPr>
            <w:r>
              <w:rPr>
                <w:rFonts w:ascii="Times New Roman" w:hAnsi="Times New Roman" w:eastAsia="Times New Roman"/>
                <w:sz w:val="17"/>
              </w:rPr>
              <w:t>Power of the adjudicating officer to adjudge compensation under Sections 12, 14, 18 and 19.</w:t>
            </w:r>
          </w:p>
        </w:tc>
      </w:tr>
    </w:tbl>
    <w:p>
      <w:pPr>
        <w:spacing w:after="0"/>
      </w:pPr>
    </w:p>
    <w:sectPr w:rsidR="00FC693F" w:rsidRPr="0006063C" w:rsidSect="00034616">
      <w:headerReference w:type="default" r:id="rId9"/>
      <w:footerReference w:type="default" r:id="rId10"/>
      <w:pgSz w:w="12240" w:h="15840"/>
      <w:pgMar w:top="979" w:right="1037"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7"/>
      </w:rPr>
      <w:t xml:space="preserve">Focused COD / Revised Plan Representation  |  Page </w:t>
    </w:r>
    <w:r>
      <w:fldChar w:fldCharType="begin"/>
      <w:instrText xml:space="preserve"> PAGE </w:instrText>
      <w:fldChar w:fldCharType="end"/>
    </w:r>
    <w:r>
      <w:rPr>
        <w:rFonts w:ascii="Times New Roman" w:hAnsi="Times New Roman" w:eastAsia="Times New Roman"/>
        <w:sz w:val="17"/>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color w:val="C00000"/>
        <w:sz w:val="17"/>
      </w:rPr>
      <w:t>DRAFT FOR REVIEW — UNIT 3051 — NOT FOR FILING WITHOUT FINAL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Focused Representation — COD, Revised Plan and HARERA Execution — Unit 3051</dc:title>
  <dc:subject>Draft for review concerning ATS Grandstand Unit 3051</dc:subject>
  <dc:creator>Prof. Vijyant Agarwal</dc:creator>
  <cp:keywords>DTCP, HARERA, COD, ATS Realworth, Hasta, Homekraft, Unit 3051</cp:keywords>
  <dc:description>generated by python-docx</dc:description>
  <cp:lastModifiedBy/>
  <cp:revision>1</cp:revision>
  <dcterms:created xsi:type="dcterms:W3CDTF">2013-12-23T23:15:00Z</dcterms:created>
  <dcterms:modified xsi:type="dcterms:W3CDTF">2013-12-23T23:15:00Z</dcterms:modified>
  <cp:category/>
</cp:coreProperties>
</file>