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left"/>
      </w:pPr>
      <w:r>
        <w:rPr>
          <w:rFonts w:ascii="Times New Roman" w:hAnsi="Times New Roman" w:eastAsia="Times New Roman"/>
          <w:b w:val="0"/>
          <w:sz w:val="22"/>
        </w:rPr>
        <w:t>Date: 20.06.2026</w:t>
      </w:r>
    </w:p>
    <w:p>
      <w:pPr>
        <w:spacing w:after="40" w:line="276" w:lineRule="auto"/>
        <w:jc w:val="both"/>
      </w:pPr>
      <w:r>
        <w:rPr>
          <w:rFonts w:ascii="Times New Roman" w:hAnsi="Times New Roman" w:eastAsia="Times New Roman"/>
          <w:b w:val="0"/>
          <w:sz w:val="22"/>
        </w:rPr>
        <w:t>To,</w:t>
      </w:r>
    </w:p>
    <w:p>
      <w:pPr>
        <w:spacing w:after="40" w:line="276" w:lineRule="auto"/>
        <w:jc w:val="left"/>
      </w:pPr>
      <w:r>
        <w:rPr>
          <w:rFonts w:ascii="Times New Roman" w:hAnsi="Times New Roman" w:eastAsia="Times New Roman"/>
          <w:b w:val="0"/>
          <w:sz w:val="22"/>
        </w:rPr>
        <w:t>The Branch Manager / Authorized Officer</w:t>
      </w:r>
    </w:p>
    <w:p>
      <w:pPr>
        <w:spacing w:after="40" w:line="276" w:lineRule="auto"/>
        <w:jc w:val="left"/>
      </w:pPr>
      <w:r>
        <w:t>Lending Institution: PNB Housing Finance Limited (Gurgaon Branch)</w:t>
      </w:r>
    </w:p>
    <w:p>
      <w:pPr>
        <w:spacing w:after="40" w:line="276" w:lineRule="auto"/>
        <w:jc w:val="left"/>
      </w:pPr>
      <w:r>
        <w:t>SCO No. 391, Sector 29, Urban Estate, Near IFFCO Chowk Metro Station, Gurgaon — 122001</w:t>
      </w:r>
    </w:p>
    <w:p>
      <w:pPr>
        <w:spacing w:after="40" w:line="276" w:lineRule="auto"/>
        <w:jc w:val="left"/>
      </w:pPr>
      <w:r>
        <w:t>Tel.: 0124-4055508</w:t>
      </w:r>
    </w:p>
    <w:p>
      <w:pPr>
        <w:jc w:val="left"/>
      </w:pPr>
      <w:r>
        <w:t>Customer ID: 1556854</w:t>
      </w:r>
    </w:p>
    <w:p>
      <w:pPr>
        <w:spacing w:after="40" w:line="276" w:lineRule="auto"/>
        <w:jc w:val="left"/>
      </w:pPr>
      <w:r>
        <w:t>Loan Account Number: HOU/GUR/0918/578047</w:t>
      </w:r>
    </w:p>
    <w:p>
      <w:pPr>
        <w:spacing w:after="40" w:line="276" w:lineRule="auto"/>
        <w:jc w:val="left"/>
      </w:pPr>
      <w:r>
        <w:t>Email: customercare@pnbhousing.com | gurgaon@pnbhousing.com | krishan.kumar@pnbhousing.com (Mob.: 9873939401)</w:t>
      </w:r>
    </w:p>
    <w:p>
      <w:pPr>
        <w:spacing w:after="120" w:line="276" w:lineRule="auto"/>
        <w:jc w:val="left"/>
      </w:pPr>
      <w:r>
        <w:rPr>
          <w:rFonts w:ascii="Times New Roman" w:hAnsi="Times New Roman" w:eastAsia="Times New Roman"/>
          <w:b w:val="0"/>
          <w:sz w:val="22"/>
        </w:rPr>
      </w:r>
    </w:p>
    <w:p>
      <w:pPr>
        <w:spacing w:after="40" w:line="276" w:lineRule="auto"/>
        <w:jc w:val="both"/>
      </w:pPr>
      <w:r>
        <w:rPr>
          <w:rFonts w:ascii="Times New Roman" w:hAnsi="Times New Roman" w:eastAsia="Times New Roman"/>
          <w:b/>
          <w:sz w:val="22"/>
        </w:rPr>
        <w:t>From (Builder Group):</w:t>
      </w:r>
    </w:p>
    <w:p>
      <w:pPr>
        <w:spacing w:after="40" w:line="276" w:lineRule="auto"/>
        <w:jc w:val="left"/>
      </w:pPr>
      <w:r>
        <w:rPr>
          <w:rFonts w:ascii="Times New Roman" w:hAnsi="Times New Roman" w:eastAsia="Times New Roman"/>
          <w:b w:val="0"/>
          <w:sz w:val="22"/>
        </w:rPr>
        <w:t>M/s ATS Realworth Pvt. Ltd. — email@atsgreens.com</w:t>
      </w:r>
    </w:p>
    <w:p>
      <w:pPr>
        <w:spacing w:after="40" w:line="276" w:lineRule="auto"/>
        <w:jc w:val="left"/>
      </w:pPr>
      <w:r>
        <w:rPr>
          <w:rFonts w:ascii="Times New Roman" w:hAnsi="Times New Roman" w:eastAsia="Times New Roman"/>
          <w:b w:val="0"/>
          <w:sz w:val="22"/>
        </w:rPr>
        <w:t>M/s Hasta Infrastructure Pvt. Ltd. — udaivir.anand@atsgreen.com</w:t>
      </w:r>
    </w:p>
    <w:p>
      <w:pPr>
        <w:spacing w:after="40" w:line="276" w:lineRule="auto"/>
        <w:jc w:val="left"/>
      </w:pPr>
      <w:r>
        <w:rPr>
          <w:rFonts w:ascii="Times New Roman" w:hAnsi="Times New Roman" w:eastAsia="Times New Roman"/>
          <w:b w:val="0"/>
          <w:sz w:val="22"/>
        </w:rPr>
        <w:t>M/s Homekraft Infra Pvt. Ltd. — grandstand.customercare@homekraft.in</w:t>
      </w:r>
    </w:p>
    <w:p>
      <w:pPr>
        <w:spacing w:after="120" w:line="276" w:lineRule="auto"/>
        <w:jc w:val="left"/>
      </w:pPr>
      <w:r>
        <w:rPr>
          <w:rFonts w:ascii="Times New Roman" w:hAnsi="Times New Roman" w:eastAsia="Times New Roman"/>
          <w:b w:val="0"/>
          <w:sz w:val="22"/>
        </w:rPr>
      </w:r>
    </w:p>
    <w:p>
      <w:pPr>
        <w:spacing w:after="40" w:line="276" w:lineRule="auto"/>
        <w:jc w:val="both"/>
      </w:pPr>
      <w:r>
        <w:rPr>
          <w:rFonts w:ascii="Times New Roman" w:hAnsi="Times New Roman" w:eastAsia="Times New Roman"/>
          <w:b/>
          <w:sz w:val="22"/>
        </w:rPr>
        <w:t>CC:</w:t>
      </w:r>
    </w:p>
    <w:p>
      <w:pPr>
        <w:spacing w:after="40" w:line="276" w:lineRule="auto"/>
        <w:jc w:val="left"/>
      </w:pPr>
      <w:r>
        <w:rPr>
          <w:rFonts w:ascii="Times New Roman" w:hAnsi="Times New Roman" w:eastAsia="Times New Roman"/>
          <w:b w:val="0"/>
          <w:sz w:val="22"/>
        </w:rPr>
        <w:t>Prof. Vijyant Agarwal &amp; Mrs. Vineeta Agarwal</w:t>
      </w:r>
    </w:p>
    <w:p>
      <w:pPr>
        <w:spacing w:after="40" w:line="276" w:lineRule="auto"/>
        <w:jc w:val="left"/>
      </w:pPr>
      <w:r>
        <w:rPr>
          <w:rFonts w:ascii="Times New Roman" w:hAnsi="Times New Roman" w:eastAsia="Times New Roman"/>
          <w:b w:val="0"/>
          <w:sz w:val="22"/>
        </w:rPr>
        <w:t>Allottees — Unit No. 3051, Tower No. 03</w:t>
      </w:r>
    </w:p>
    <w:p>
      <w:pPr>
        <w:spacing w:after="40" w:line="276" w:lineRule="auto"/>
        <w:jc w:val="left"/>
      </w:pPr>
      <w:r>
        <w:rPr>
          <w:rFonts w:ascii="Times New Roman" w:hAnsi="Times New Roman" w:eastAsia="Times New Roman"/>
          <w:b w:val="0"/>
          <w:sz w:val="22"/>
        </w:rPr>
        <w:t>ATS Grandstand Phase-I, Sector 99A, Gurugram</w:t>
      </w:r>
    </w:p>
    <w:p>
      <w:pPr>
        <w:spacing w:after="40" w:line="276" w:lineRule="auto"/>
        <w:jc w:val="left"/>
      </w:pPr>
      <w:r>
        <w:rPr>
          <w:rFonts w:ascii="Times New Roman" w:hAnsi="Times New Roman" w:eastAsia="Times New Roman"/>
          <w:b w:val="0"/>
          <w:sz w:val="22"/>
        </w:rPr>
        <w:t>House No. 7, Type 5 (NSUT), Sector 3, Dwarka, New Delhi — 110078</w:t>
      </w:r>
    </w:p>
    <w:p>
      <w:pPr>
        <w:spacing w:after="40" w:line="276" w:lineRule="auto"/>
        <w:jc w:val="left"/>
      </w:pPr>
      <w:r>
        <w:rPr>
          <w:rFonts w:ascii="Times New Roman" w:hAnsi="Times New Roman" w:eastAsia="Times New Roman"/>
          <w:b w:val="0"/>
          <w:sz w:val="22"/>
        </w:rPr>
        <w:t>Mob.: 9899308574 | Email: prof.vijyant.agarwal@gmail.com</w:t>
      </w:r>
    </w:p>
    <w:p>
      <w:pPr>
        <w:spacing w:after="200" w:line="276" w:lineRule="auto"/>
        <w:jc w:val="left"/>
      </w:pPr>
      <w:r>
        <w:rPr>
          <w:rFonts w:ascii="Times New Roman" w:hAnsi="Times New Roman" w:eastAsia="Times New Roman"/>
          <w:b w:val="0"/>
          <w:sz w:val="22"/>
        </w:rPr>
      </w:r>
    </w:p>
    <w:p>
      <w:pPr>
        <w:spacing w:after="240" w:line="276" w:lineRule="auto"/>
        <w:jc w:val="both"/>
      </w:pPr>
      <w:r>
        <w:rPr>
          <w:rFonts w:ascii="Times New Roman" w:hAnsi="Times New Roman" w:eastAsia="Times New Roman"/>
          <w:b/>
          <w:sz w:val="22"/>
        </w:rPr>
        <w:t xml:space="preserve">Subject: </w:t>
      </w:r>
      <w:r>
        <w:rPr>
          <w:rFonts w:ascii="Times New Roman" w:hAnsi="Times New Roman" w:eastAsia="Times New Roman"/>
          <w:b w:val="0"/>
          <w:sz w:val="22"/>
        </w:rPr>
        <w:t>Irrevocable confirmation of direct pre-EMI payment — Home Loan / Subvention — Unit No. 3051, Tower No. 03, ATS Grandstand, Sector 99A, Gurugram — pursuant to HARERA order dated 18.04.2024 (Complaint 4463/2021)</w:t>
      </w:r>
    </w:p>
    <w:p>
      <w:pPr>
        <w:spacing w:after="160" w:line="276" w:lineRule="auto"/>
        <w:jc w:val="both"/>
      </w:pPr>
      <w:r>
        <w:rPr>
          <w:rFonts w:ascii="Times New Roman" w:hAnsi="Times New Roman" w:eastAsia="Times New Roman"/>
          <w:b w:val="0"/>
          <w:sz w:val="22"/>
        </w:rPr>
        <w:t>Sir / Madam,</w:t>
      </w:r>
    </w:p>
    <w:p>
      <w:pPr>
        <w:spacing w:after="160" w:line="276" w:lineRule="auto"/>
        <w:jc w:val="both"/>
      </w:pPr>
      <w:r>
        <w:rPr>
          <w:rFonts w:ascii="Times New Roman" w:hAnsi="Times New Roman" w:eastAsia="Times New Roman"/>
          <w:b w:val="0"/>
          <w:sz w:val="22"/>
        </w:rPr>
        <w:t>We, M/s ATS Realworth Pvt. Ltd. (RERA promoter / BBA party), M/s Hasta Infrastructure Pvt. Ltd. (colonizer), and M/s Homekraft Infra Pvt. Ltd. (proposed colonizer / project operator), collectively "the Builder Group", write in respect of the home loan / subvention facility of the above-named allottees in Unit No. 3051, Tower No. 03, project ATS Grandstand Phase-I, Sector 99A, Gurugram.</w:t>
      </w:r>
    </w:p>
    <w:p>
      <w:pPr>
        <w:spacing w:after="200" w:line="276" w:lineRule="auto"/>
        <w:jc w:val="both"/>
      </w:pPr>
      <w:r>
        <w:t>Loan details: Loan Account No.: HOU/GUR/0918/578047 | Sanction Letter dated: 19.09.2018 | Borrower(s): Prof. Vijyant Agarwal &amp; Mrs. Vineeta Agarwal | Subvention: Yes</w:t>
      </w:r>
    </w:p>
    <w:p>
      <w:pPr>
        <w:spacing w:after="160" w:line="276" w:lineRule="auto"/>
        <w:jc w:val="both"/>
      </w:pPr>
      <w:r>
        <w:rPr>
          <w:rFonts w:ascii="Times New Roman" w:hAnsi="Times New Roman" w:eastAsia="Times New Roman"/>
          <w:b/>
          <w:sz w:val="22"/>
        </w:rPr>
        <w:t xml:space="preserve">1. Binding order. </w:t>
      </w:r>
      <w:r>
        <w:rPr>
          <w:rFonts w:ascii="Times New Roman" w:hAnsi="Times New Roman" w:eastAsia="Times New Roman"/>
          <w:b w:val="0"/>
          <w:sz w:val="22"/>
        </w:rPr>
        <w:t>The Haryana Real Estate Regulatory Authority (HARERA), Gurugram has passed a binding order dated 18.04.2024 in Complaint 4463/2021, directing the promoter/builder to pay pre-EMI (pre-Equated Monthly Installment interest) directly to PNB Housing Finance Limited till offer of lawful possession of Unit No. 3051, in terms of the allottees' Agreement to Sell / BBA (Clause 7.1) and the Builder's letter dated 23.10.2018.</w:t>
      </w:r>
    </w:p>
    <w:p>
      <w:pPr>
        <w:spacing w:after="160" w:line="276" w:lineRule="auto"/>
        <w:jc w:val="both"/>
      </w:pPr>
      <w:r>
        <w:rPr>
          <w:rFonts w:ascii="Times New Roman" w:hAnsi="Times New Roman" w:eastAsia="Times New Roman"/>
          <w:b/>
          <w:sz w:val="22"/>
        </w:rPr>
        <w:t xml:space="preserve">2. Confirmation. </w:t>
      </w:r>
      <w:r>
        <w:rPr>
          <w:rFonts w:ascii="Times New Roman" w:hAnsi="Times New Roman" w:eastAsia="Times New Roman"/>
          <w:b w:val="0"/>
          <w:sz w:val="22"/>
        </w:rPr>
        <w:t>W.e.f. 20.06.2026, the Builder Group confirms, admits, and undertakes that it is solely liable to pay the pre-EMI / subvention interest on the said loan account directly to PNB Housing Finance Limited each month (or as per the loan schedule), until lawful physical possession of Unit No. 3051 is offered in compliance with the BBA and HARERA order. The allottees shall not be required to pay pre-EMI to the Builder or to PNB out of their own funds during this period.</w:t>
      </w:r>
    </w:p>
    <w:p>
      <w:pPr>
        <w:spacing w:after="160" w:line="276" w:lineRule="auto"/>
        <w:jc w:val="both"/>
      </w:pPr>
      <w:r>
        <w:t>3. Mode of payment. Pre-EMI shall be remitted by the Builder Group directly to the loan account of the allottees maintained with PNB Housing Finance Limited, by NEFT/RTGS/cheque/ECS (as PNB may advise), with intimation of each payment to PNB (customercare@pnbhousing.com, gurgaon@pnbhousing.com, krishan.kumar@pnbhousing.com) and to the allottees (prof.vijyant.agarwal@gmail.com, CC Builder Group emails above).</w:t>
      </w:r>
    </w:p>
    <w:p>
      <w:pPr>
        <w:spacing w:after="160" w:line="276" w:lineRule="auto"/>
        <w:jc w:val="both"/>
      </w:pPr>
      <w:r>
        <w:t>4. Irrevocable, continuing and non-withdrawable undertaking. This confirmation and undertaking is issued as a binding, unconditional, continuing, irrevocable and non-withdrawable obligation of the Builder Group and is intended to be relied upon by PNB Housing Finance Limited and by the allottees. It shall remain valid and enforceable until lawful physical possession of Unit No. 3051 is offered in full compliance with the BBA and the HARERA order dated 18.04.2024, and until all pre-EMI / subvention interest accrued up to such date is fully paid and credited to the loan account. The Builder Group shall have no right to unilaterally cancel, revoke, suspend, vary, reduce, withdraw, disclaim, or render ineffective this undertaking, nor to request or instruct PNB to shift the pre-EMI burden to the allottees, on any ground whatsoever — including change of developer (COD), revised building-plan approval, DTCP/RERA proceedings, intra-group restructuring, transfer/change of colonizer, appointment of Homekraft as colonizer/operator, expiry/closure of any internal "subvention scheme", absence or non-execution of a tripartite agreement, inter se arrangements among Builder Group entities, financial difficulty, or filing/pendency of any appeal/revision. Mere filing or pendency of any appeal shall not suspend this obligation unless and until a specific stay/modification order expressly staying the pre-EMI direction is passed by a competent court/appellate forum and is produced to PNB and to the allottees. Any unilateral communication, instruction, demand, debit request, statement of account, or contrary stand issued in violation of this clause shall be void, ineffective and not binding on PNB or on the allottees.</w:t>
      </w:r>
    </w:p>
    <w:p>
      <w:pPr>
        <w:spacing w:after="160" w:line="276" w:lineRule="auto"/>
        <w:jc w:val="both"/>
      </w:pPr>
      <w:r>
        <w:rPr>
          <w:rFonts w:ascii="Times New Roman" w:hAnsi="Times New Roman" w:eastAsia="Times New Roman"/>
          <w:b/>
          <w:sz w:val="22"/>
        </w:rPr>
        <w:t xml:space="preserve">5. Joint and several liability. </w:t>
      </w:r>
      <w:r>
        <w:rPr>
          <w:rFonts w:ascii="Times New Roman" w:hAnsi="Times New Roman" w:eastAsia="Times New Roman"/>
          <w:b w:val="0"/>
          <w:sz w:val="22"/>
        </w:rPr>
        <w:t>ATS Realworth Pvt. Ltd., Hasta Infrastructure Pvt. Ltd., and Homekraft Infra Pvt. Ltd. accept joint and several liability for pre-EMI till lawful possession. Default by any one entity shall not release the others.</w:t>
      </w:r>
    </w:p>
    <w:p>
      <w:pPr>
        <w:spacing w:after="160" w:line="276" w:lineRule="auto"/>
        <w:jc w:val="both"/>
      </w:pPr>
      <w:r>
        <w:rPr>
          <w:rFonts w:ascii="Times New Roman" w:hAnsi="Times New Roman" w:eastAsia="Times New Roman"/>
          <w:b/>
          <w:sz w:val="22"/>
        </w:rPr>
        <w:t xml:space="preserve">6. No shifting of burden. </w:t>
      </w:r>
      <w:r>
        <w:rPr>
          <w:rFonts w:ascii="Times New Roman" w:hAnsi="Times New Roman" w:eastAsia="Times New Roman"/>
          <w:b w:val="0"/>
          <w:sz w:val="22"/>
        </w:rPr>
        <w:t>The Builder Group shall not request PNB to debit pre-EMI from the allottees, convert subvention to allottee EMI, or treat COD / plan approval / partial possession as ending pre-EMI, without written consent of the allottees and prior compliance with the HARERA order.</w:t>
      </w:r>
    </w:p>
    <w:p>
      <w:pPr>
        <w:spacing w:after="160" w:line="276" w:lineRule="auto"/>
        <w:jc w:val="both"/>
      </w:pPr>
      <w:r>
        <w:rPr>
          <w:rFonts w:ascii="Times New Roman" w:hAnsi="Times New Roman" w:eastAsia="Times New Roman"/>
          <w:b/>
          <w:sz w:val="22"/>
        </w:rPr>
        <w:t xml:space="preserve">7. Monthly proof. </w:t>
      </w:r>
      <w:r>
        <w:rPr>
          <w:rFonts w:ascii="Times New Roman" w:hAnsi="Times New Roman" w:eastAsia="Times New Roman"/>
          <w:b w:val="0"/>
          <w:sz w:val="22"/>
        </w:rPr>
        <w:t>The Builder Group shall furnish to PNB and to the allottees (CC), within 7 days of each pre-EMI due date, proof of payment (bank credit advice / payment acknowledgement).</w:t>
      </w:r>
    </w:p>
    <w:p>
      <w:pPr>
        <w:spacing w:after="160" w:line="276" w:lineRule="auto"/>
        <w:jc w:val="both"/>
      </w:pPr>
      <w:r>
        <w:rPr>
          <w:rFonts w:ascii="Times New Roman" w:hAnsi="Times New Roman" w:eastAsia="Times New Roman"/>
          <w:b/>
          <w:sz w:val="22"/>
        </w:rPr>
        <w:t xml:space="preserve">8. Step towards tripartite arrangement. </w:t>
      </w:r>
      <w:r>
        <w:rPr>
          <w:rFonts w:ascii="Times New Roman" w:hAnsi="Times New Roman" w:eastAsia="Times New Roman"/>
          <w:b w:val="0"/>
          <w:sz w:val="22"/>
        </w:rPr>
        <w:t>This letter is issued as Step 1 towards a formal tripartite subvention / pre-EMI arrangement among the Builder Group, PNB Housing Finance Limited, and the allottees. The Builder Group agrees to cooperate in executing such tripartite documentation on PNB's standard format, without prejudice to the liability confirmed herein.</w:t>
      </w:r>
    </w:p>
    <w:p>
      <w:pPr>
        <w:spacing w:after="160" w:line="276" w:lineRule="auto"/>
        <w:jc w:val="both"/>
      </w:pPr>
      <w:r>
        <w:rPr>
          <w:rFonts w:ascii="Times New Roman" w:hAnsi="Times New Roman" w:eastAsia="Times New Roman"/>
          <w:b/>
          <w:sz w:val="22"/>
        </w:rPr>
        <w:t xml:space="preserve">9. HRERA execution. </w:t>
      </w:r>
      <w:r>
        <w:rPr>
          <w:rFonts w:ascii="Times New Roman" w:hAnsi="Times New Roman" w:eastAsia="Times New Roman"/>
          <w:b w:val="0"/>
          <w:sz w:val="22"/>
        </w:rPr>
        <w:t>The allottees' rights under the HARERA order dated 18.04.2024 and pending execution proceedings remain fully reserved. This letter is without prejudice to coercive remedies before HARERA for any default.</w:t>
      </w:r>
    </w:p>
    <w:p>
      <w:pPr>
        <w:spacing w:after="160" w:line="276" w:lineRule="auto"/>
        <w:jc w:val="both"/>
      </w:pPr>
      <w:r>
        <w:rPr>
          <w:rFonts w:ascii="Times New Roman" w:hAnsi="Times New Roman" w:eastAsia="Times New Roman"/>
          <w:b w:val="0"/>
          <w:sz w:val="22"/>
        </w:rPr>
        <w:t>We request PNB Housing Finance Limited to note this irrevocable undertaking on the loan account, acknowledge receipt of this letter, and confirm in writing to the allottees (CC) that pre-EMI during the subvention period is the Builder Group's obligation till lawful possession.</w:t>
      </w:r>
    </w:p>
    <w:p>
      <w:pPr>
        <w:spacing w:after="280" w:line="276" w:lineRule="auto"/>
        <w:jc w:val="both"/>
      </w:pPr>
      <w:r>
        <w:rPr>
          <w:rFonts w:ascii="Times New Roman" w:hAnsi="Times New Roman" w:eastAsia="Times New Roman"/>
          <w:b w:val="0"/>
          <w:sz w:val="22"/>
        </w:rPr>
        <w:t>Thanking you,</w:t>
      </w:r>
    </w:p>
    <w:p>
      <w:pPr>
        <w:spacing w:after="40" w:line="276" w:lineRule="auto"/>
        <w:jc w:val="left"/>
      </w:pPr>
      <w:r>
        <w:rPr>
          <w:rFonts w:ascii="Times New Roman" w:hAnsi="Times New Roman" w:eastAsia="Times New Roman"/>
          <w:b/>
          <w:sz w:val="22"/>
        </w:rPr>
        <w:t>For M/s ATS Realworth Pvt. Ltd.</w:t>
      </w:r>
    </w:p>
    <w:p>
      <w:pPr>
        <w:spacing w:after="40" w:line="276" w:lineRule="auto"/>
        <w:jc w:val="left"/>
      </w:pPr>
      <w:r>
        <w:rPr>
          <w:rFonts w:ascii="Times New Roman" w:hAnsi="Times New Roman" w:eastAsia="Times New Roman"/>
          <w:b w:val="0"/>
          <w:sz w:val="22"/>
        </w:rPr>
        <w:t>Name: _______________</w:t>
      </w:r>
    </w:p>
    <w:p>
      <w:pPr>
        <w:spacing w:after="40" w:line="276" w:lineRule="auto"/>
        <w:jc w:val="left"/>
      </w:pPr>
      <w:r>
        <w:rPr>
          <w:rFonts w:ascii="Times New Roman" w:hAnsi="Times New Roman" w:eastAsia="Times New Roman"/>
          <w:b w:val="0"/>
          <w:sz w:val="22"/>
        </w:rPr>
        <w:t>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Date: _______________</w:t>
      </w:r>
    </w:p>
    <w:p>
      <w:pPr>
        <w:spacing w:after="160" w:line="276" w:lineRule="auto"/>
        <w:jc w:val="left"/>
      </w:pPr>
      <w:r>
        <w:rPr>
          <w:rFonts w:ascii="Times New Roman" w:hAnsi="Times New Roman" w:eastAsia="Times New Roman"/>
          <w:b w:val="0"/>
          <w:sz w:val="22"/>
        </w:rPr>
      </w:r>
    </w:p>
    <w:p>
      <w:pPr>
        <w:spacing w:after="40" w:line="276" w:lineRule="auto"/>
        <w:jc w:val="left"/>
      </w:pPr>
      <w:r>
        <w:rPr>
          <w:rFonts w:ascii="Times New Roman" w:hAnsi="Times New Roman" w:eastAsia="Times New Roman"/>
          <w:b/>
          <w:sz w:val="22"/>
        </w:rPr>
        <w:t>For M/s Hasta Infrastructure Pvt. Ltd.</w:t>
      </w:r>
    </w:p>
    <w:p>
      <w:pPr>
        <w:spacing w:after="40" w:line="276" w:lineRule="auto"/>
        <w:jc w:val="left"/>
      </w:pPr>
      <w:r>
        <w:rPr>
          <w:rFonts w:ascii="Times New Roman" w:hAnsi="Times New Roman" w:eastAsia="Times New Roman"/>
          <w:b w:val="0"/>
          <w:sz w:val="22"/>
        </w:rPr>
        <w:t>Name: _______________</w:t>
      </w:r>
    </w:p>
    <w:p>
      <w:pPr>
        <w:spacing w:after="40" w:line="276" w:lineRule="auto"/>
        <w:jc w:val="left"/>
      </w:pPr>
      <w:r>
        <w:rPr>
          <w:rFonts w:ascii="Times New Roman" w:hAnsi="Times New Roman" w:eastAsia="Times New Roman"/>
          <w:b w:val="0"/>
          <w:sz w:val="22"/>
        </w:rPr>
        <w:t>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Date: _______________</w:t>
      </w:r>
    </w:p>
    <w:p>
      <w:pPr>
        <w:spacing w:after="160" w:line="276" w:lineRule="auto"/>
        <w:jc w:val="left"/>
      </w:pPr>
      <w:r>
        <w:rPr>
          <w:rFonts w:ascii="Times New Roman" w:hAnsi="Times New Roman" w:eastAsia="Times New Roman"/>
          <w:b w:val="0"/>
          <w:sz w:val="22"/>
        </w:rPr>
      </w:r>
    </w:p>
    <w:p>
      <w:pPr>
        <w:spacing w:after="40" w:line="276" w:lineRule="auto"/>
        <w:jc w:val="left"/>
      </w:pPr>
      <w:r>
        <w:rPr>
          <w:rFonts w:ascii="Times New Roman" w:hAnsi="Times New Roman" w:eastAsia="Times New Roman"/>
          <w:b/>
          <w:sz w:val="22"/>
        </w:rPr>
        <w:t>For M/s Homekraft Infra Pvt. Ltd.</w:t>
      </w:r>
    </w:p>
    <w:p>
      <w:pPr>
        <w:spacing w:after="40" w:line="276" w:lineRule="auto"/>
        <w:jc w:val="left"/>
      </w:pPr>
      <w:r>
        <w:rPr>
          <w:rFonts w:ascii="Times New Roman" w:hAnsi="Times New Roman" w:eastAsia="Times New Roman"/>
          <w:b w:val="0"/>
          <w:sz w:val="22"/>
        </w:rPr>
        <w:t>Name: _______________</w:t>
      </w:r>
    </w:p>
    <w:p>
      <w:pPr>
        <w:spacing w:after="40" w:line="276" w:lineRule="auto"/>
        <w:jc w:val="left"/>
      </w:pPr>
      <w:r>
        <w:rPr>
          <w:rFonts w:ascii="Times New Roman" w:hAnsi="Times New Roman" w:eastAsia="Times New Roman"/>
          <w:b w:val="0"/>
          <w:sz w:val="22"/>
        </w:rPr>
        <w:t>Designation: _______________</w:t>
      </w:r>
    </w:p>
    <w:p>
      <w:pPr>
        <w:spacing w:after="40" w:line="276" w:lineRule="auto"/>
        <w:jc w:val="left"/>
      </w:pPr>
      <w:r>
        <w:rPr>
          <w:rFonts w:ascii="Times New Roman" w:hAnsi="Times New Roman" w:eastAsia="Times New Roman"/>
          <w:b w:val="0"/>
          <w:sz w:val="22"/>
        </w:rPr>
        <w:t>Signature &amp; Company Seal: _______________</w:t>
      </w:r>
    </w:p>
    <w:p>
      <w:pPr>
        <w:spacing w:after="40" w:line="276" w:lineRule="auto"/>
        <w:jc w:val="left"/>
      </w:pPr>
      <w:r>
        <w:rPr>
          <w:rFonts w:ascii="Times New Roman" w:hAnsi="Times New Roman" w:eastAsia="Times New Roman"/>
          <w:b w:val="0"/>
          <w:sz w:val="22"/>
        </w:rPr>
        <w:t>Date: _______________</w:t>
      </w:r>
    </w:p>
    <w:p>
      <w:pPr>
        <w:spacing w:after="160" w:line="276" w:lineRule="auto"/>
        <w:jc w:val="left"/>
      </w:pPr>
      <w:r>
        <w:rPr>
          <w:rFonts w:ascii="Times New Roman" w:hAnsi="Times New Roman" w:eastAsia="Times New Roman"/>
          <w:b w:val="0"/>
          <w:sz w:val="22"/>
        </w:rPr>
      </w:r>
    </w:p>
    <w:p>
      <w:pPr>
        <w:spacing w:after="280" w:line="276" w:lineRule="auto"/>
        <w:jc w:val="both"/>
      </w:pPr>
      <w:r>
        <w:rPr>
          <w:rFonts w:ascii="Times New Roman" w:hAnsi="Times New Roman" w:eastAsia="Times New Roman"/>
          <w:b w:val="0"/>
          <w:sz w:val="22"/>
        </w:rPr>
        <w:t>Place: Gurugram / New Delhi</w:t>
      </w:r>
    </w:p>
    <w:p>
      <w:pPr>
        <w:spacing w:after="80" w:line="276" w:lineRule="auto"/>
        <w:jc w:val="both"/>
      </w:pPr>
      <w:r>
        <w:rPr>
          <w:rFonts w:ascii="Times New Roman" w:hAnsi="Times New Roman" w:eastAsia="Times New Roman"/>
          <w:b/>
          <w:sz w:val="22"/>
        </w:rPr>
        <w:t>Enclosures:</w:t>
      </w:r>
    </w:p>
    <w:p>
      <w:pPr>
        <w:pStyle w:val="ListBullet"/>
        <w:spacing w:after="40"/>
        <w:jc w:val="both"/>
      </w:pPr>
      <w:r>
        <w:rPr>
          <w:rFonts w:ascii="Times New Roman" w:hAnsi="Times New Roman" w:eastAsia="Times New Roman"/>
          <w:b w:val="0"/>
          <w:sz w:val="22"/>
        </w:rPr>
        <w:t>Copy of HARERA order dated 18.04.2024 (relevant extract — pre-EMI direction)</w:t>
      </w:r>
    </w:p>
    <w:sectPr w:rsidR="00FC693F" w:rsidRPr="0006063C" w:rsidSect="00034616">
      <w:pgSz w:w="12240" w:h="15840"/>
      <w:pgMar w:top="255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