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f7885291b44bc945c221df81e3d006750c3ebff"/>
    <w:p>
      <w:pPr>
        <w:pStyle w:val="Heading1"/>
        <w:spacing w:after="120" w:line="276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Composite Application in Pending Execution Proceedings</w:t>
      </w:r>
    </w:p>
    <w:p>
      <w:pPr>
        <w:pStyle w:val="FirstParagraph"/>
        <w:spacing w:after="120" w:line="276" w:lineRule="auto"/>
        <w:jc w:val="both"/>
      </w:pP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Before: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The Haryana Real Estate Regulatory Authority, Gurugram</w:t>
      </w:r>
      <w:r>
        <w:rPr>
          <w:rFonts w:ascii="Times New Roman" w:hAnsi="Times New Roman" w:eastAsia="Times New Roman"/>
          <w:color w:val="000000"/>
          <w:sz w:val="24"/>
        </w:rPr>
        <w:br/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In the matter of: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Complaint No. 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4463 of 2021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—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i/>
          <w:iCs/>
          <w:color w:val="000000"/>
          <w:sz w:val="24"/>
        </w:rPr>
        <w:t xml:space="preserve">Vijyant Agarwal &amp; Anr. v. ATS Realworth Pvt. Ltd.</w:t>
      </w:r>
      <w:r>
        <w:rPr>
          <w:rFonts w:ascii="Times New Roman" w:hAnsi="Times New Roman" w:eastAsia="Times New Roman"/>
          <w:color w:val="000000"/>
          <w:sz w:val="24"/>
        </w:rPr>
        <w:br/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Order sought to be executed: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HARERA order dated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18.04.2024</w:t>
      </w:r>
      <w:r>
        <w:rPr>
          <w:rFonts w:ascii="Times New Roman" w:hAnsi="Times New Roman" w:eastAsia="Times New Roman"/>
          <w:color w:val="000000"/>
          <w:sz w:val="24"/>
        </w:rPr>
        <w:t xml:space="preserve">, as rectified under Section 39 on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08.08.2024</w:t>
      </w:r>
      <w:r>
        <w:rPr>
          <w:rFonts w:ascii="Times New Roman" w:hAnsi="Times New Roman" w:eastAsia="Times New Roman"/>
          <w:color w:val="000000"/>
          <w:sz w:val="24"/>
        </w:rPr>
        <w:br/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Pending execution proceedings: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[● Execution Application No. / MA No. / diary number]</w:t>
      </w:r>
      <w:r>
        <w:rPr>
          <w:rFonts w:ascii="Times New Roman" w:hAnsi="Times New Roman" w:eastAsia="Times New Roman"/>
          <w:color w:val="000000"/>
          <w:sz w:val="24"/>
        </w:rPr>
        <w:br/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Execution filed on: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[● October 2024 — fill from E1/E2]</w:t>
      </w:r>
    </w:p>
    <w:p>
      <w:pPr>
        <w:pStyle w:val="BodyText"/>
        <w:spacing w:after="120" w:line="276" w:lineRule="auto"/>
        <w:jc w:val="both"/>
      </w:pP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Applicant / Decree-holder / Complainant:</w:t>
      </w:r>
      <w:r>
        <w:rPr>
          <w:rFonts w:ascii="Times New Roman" w:hAnsi="Times New Roman" w:eastAsia="Times New Roman"/>
          <w:color w:val="000000"/>
          <w:sz w:val="24"/>
        </w:rPr>
        <w:br/>
      </w:r>
      <w:r>
        <w:rPr>
          <w:rFonts w:ascii="Times New Roman" w:hAnsi="Times New Roman" w:eastAsia="Times New Roman"/>
          <w:color w:val="000000"/>
          <w:sz w:val="24"/>
        </w:rPr>
        <w:t xml:space="preserve">Mr. 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Vijyant Agarwal</w:t>
      </w:r>
      <w:r>
        <w:rPr>
          <w:rFonts w:ascii="Times New Roman" w:hAnsi="Times New Roman" w:eastAsia="Times New Roman"/>
          <w:color w:val="000000"/>
          <w:sz w:val="24"/>
        </w:rPr>
        <w:br/>
      </w:r>
      <w:r>
        <w:rPr>
          <w:rFonts w:ascii="Times New Roman" w:hAnsi="Times New Roman" w:eastAsia="Times New Roman"/>
          <w:color w:val="000000"/>
          <w:sz w:val="24"/>
        </w:rPr>
        <w:t xml:space="preserve">Co-allottee: Mrs. 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Vineeta Agarwal</w:t>
      </w:r>
      <w:r>
        <w:rPr>
          <w:rFonts w:ascii="Times New Roman" w:hAnsi="Times New Roman" w:eastAsia="Times New Roman"/>
          <w:color w:val="000000"/>
          <w:sz w:val="24"/>
        </w:rPr>
        <w:br/>
      </w:r>
      <w:r>
        <w:rPr>
          <w:rFonts w:ascii="Times New Roman" w:hAnsi="Times New Roman" w:eastAsia="Times New Roman"/>
          <w:color w:val="000000"/>
          <w:sz w:val="24"/>
        </w:rPr>
        <w:t xml:space="preserve">Unit No. 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3051</w:t>
      </w:r>
      <w:r>
        <w:rPr>
          <w:rFonts w:ascii="Times New Roman" w:hAnsi="Times New Roman" w:eastAsia="Times New Roman"/>
          <w:color w:val="000000"/>
          <w:sz w:val="24"/>
        </w:rPr>
        <w:t xml:space="preserve">, Tower No. 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03</w:t>
      </w:r>
      <w:r>
        <w:rPr>
          <w:rFonts w:ascii="Times New Roman" w:hAnsi="Times New Roman" w:eastAsia="Times New Roman"/>
          <w:color w:val="000000"/>
          <w:sz w:val="24"/>
        </w:rPr>
        <w:t xml:space="preserve">, Type-D</w:t>
      </w:r>
      <w:r>
        <w:rPr>
          <w:rFonts w:ascii="Times New Roman" w:hAnsi="Times New Roman" w:eastAsia="Times New Roman"/>
          <w:color w:val="000000"/>
          <w:sz w:val="24"/>
        </w:rPr>
        <w:br/>
      </w:r>
      <w:r>
        <w:rPr>
          <w:rFonts w:ascii="Times New Roman" w:hAnsi="Times New Roman" w:eastAsia="Times New Roman"/>
          <w:color w:val="000000"/>
          <w:sz w:val="24"/>
        </w:rPr>
        <w:t xml:space="preserve">ATS Grandstand Phase-I, Sector 99A, Gurugram</w:t>
      </w:r>
    </w:p>
    <w:p>
      <w:pPr>
        <w:pStyle w:val="BodyText"/>
        <w:spacing w:after="120" w:line="276" w:lineRule="auto"/>
        <w:jc w:val="both"/>
      </w:pP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Respondents / Judgment-debtors:</w:t>
      </w:r>
      <w:r>
        <w:rPr>
          <w:rFonts w:ascii="Times New Roman" w:hAnsi="Times New Roman" w:eastAsia="Times New Roman"/>
          <w:color w:val="000000"/>
          <w:sz w:val="24"/>
        </w:rPr>
        <w:br/>
      </w:r>
      <w:r>
        <w:rPr>
          <w:rFonts w:ascii="Times New Roman" w:hAnsi="Times New Roman" w:eastAsia="Times New Roman"/>
          <w:color w:val="000000"/>
          <w:sz w:val="24"/>
        </w:rPr>
        <w:t xml:space="preserve">1. M/s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ATS Realworth Pvt. Ltd.</w:t>
      </w:r>
      <w:r>
        <w:rPr>
          <w:rFonts w:ascii="Times New Roman" w:hAnsi="Times New Roman" w:eastAsia="Times New Roman"/>
          <w:color w:val="000000"/>
          <w:sz w:val="24"/>
        </w:rPr>
        <w:br/>
      </w:r>
      <w:r>
        <w:rPr>
          <w:rFonts w:ascii="Times New Roman" w:hAnsi="Times New Roman" w:eastAsia="Times New Roman"/>
          <w:color w:val="000000"/>
          <w:sz w:val="24"/>
        </w:rPr>
        <w:t xml:space="preserve">2. M/s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Hasta Infrastructure Pvt. Ltd.</w:t>
      </w:r>
      <w:r>
        <w:rPr>
          <w:rFonts w:ascii="Times New Roman" w:hAnsi="Times New Roman" w:eastAsia="Times New Roman"/>
          <w:color w:val="000000"/>
          <w:sz w:val="24"/>
        </w:rPr>
        <w:br/>
      </w:r>
      <w:r>
        <w:rPr>
          <w:rFonts w:ascii="Times New Roman" w:hAnsi="Times New Roman" w:eastAsia="Times New Roman"/>
          <w:color w:val="000000"/>
          <w:sz w:val="24"/>
        </w:rPr>
        <w:t xml:space="preserve">3. M/s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Homekraft Infra Pvt. Ltd.</w:t>
      </w:r>
    </w:p>
    <w:p>
      <w:pPr>
        <w:pStyle w:val="BodyText"/>
        <w:spacing w:after="120" w:line="276" w:lineRule="auto"/>
        <w:jc w:val="both"/>
      </w:pP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Date: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15.06.2026</w:t>
      </w:r>
      <w:r>
        <w:rPr>
          <w:rFonts w:ascii="Times New Roman" w:hAnsi="Times New Roman" w:eastAsia="Times New Roman"/>
          <w:color w:val="000000"/>
          <w:sz w:val="24"/>
        </w:rPr>
        <w:br/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Place: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New Delhi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pict>
          <v:rect style="width:0;height:1.5pt" o:hralign="center" o:hrstd="t" o:hr="t"/>
        </w:pict>
      </w:r>
    </w:p>
    <w:bookmarkStart w:id="9" w:name="subject"/>
    <w:p>
      <w:pPr>
        <w:pStyle w:val="Heading2"/>
        <w:spacing w:after="120" w:line="276" w:lineRule="auto"/>
        <w:jc w:val="left"/>
      </w:pPr>
      <w:r>
        <w:rPr>
          <w:rFonts w:ascii="Times New Roman" w:hAnsi="Times New Roman" w:eastAsia="Times New Roman"/>
          <w:b/>
          <w:color w:val="000000"/>
          <w:sz w:val="26"/>
        </w:rPr>
        <w:t xml:space="preserve">Subject</w:t>
      </w:r>
    </w:p>
    <w:p>
      <w:pPr>
        <w:pStyle w:val="FirstParagraph"/>
        <w:spacing w:after="120" w:line="276" w:lineRule="auto"/>
        <w:jc w:val="both"/>
      </w:pP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Composite application in pending execution proceedings for (i) directions regarding DTCP revised plan, change of developer, and joint affidavit dated 08.06.2026; (ii) rejection of alleged compliance through generic DTCP affidavit; (iii) impleadment of Hasta and Homekraft; (iv) conditional-approval safeguards; and (v) further directions for execution of the HARERA order dated 18.04.2024 in respect of Unit No. 3051.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pict>
          <v:rect style="width:0;height:1.5pt" o:hralign="center" o:hrstd="t" o:hr="t"/>
        </w:pict>
      </w:r>
    </w:p>
    <w:bookmarkEnd w:id="9"/>
    <w:bookmarkStart w:id="15" w:name="most-respectfully-submitted"/>
    <w:p>
      <w:pPr>
        <w:pStyle w:val="Heading2"/>
        <w:spacing w:after="120" w:line="276" w:lineRule="auto"/>
        <w:jc w:val="left"/>
      </w:pPr>
      <w:r>
        <w:rPr>
          <w:rFonts w:ascii="Times New Roman" w:hAnsi="Times New Roman" w:eastAsia="Times New Roman"/>
          <w:b/>
          <w:color w:val="000000"/>
          <w:sz w:val="26"/>
        </w:rPr>
        <w:t xml:space="preserve">Most Respectfully Submitted</w:t>
      </w:r>
    </w:p>
    <w:bookmarkStart w:id="10" w:name="a.-preliminary"/>
    <w:p>
      <w:pPr>
        <w:pStyle w:val="Heading3"/>
        <w:spacing w:after="120" w:line="276" w:lineRule="auto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A. Preliminary</w:t>
      </w:r>
    </w:p>
    <w:p>
      <w:pPr>
        <w:numPr>
          <w:ilvl w:val="0"/>
          <w:numId w:val="1001"/>
        </w:num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 xml:space="preserve">The applicant is the decree-holder / complainant in Complaint No. 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4463 of 2021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in respect of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Unit No. 3051, Tower No. 03, Type-D, ATS Grandstand Phase-I, Sector 99A, Gurugram</w:t>
      </w:r>
      <w:r>
        <w:rPr>
          <w:rFonts w:ascii="Times New Roman" w:hAnsi="Times New Roman" w:eastAsia="Times New Roman"/>
          <w:color w:val="000000"/>
          <w:sz w:val="24"/>
        </w:rPr>
        <w:t xml:space="preserve">.</w:t>
      </w:r>
    </w:p>
    <w:p>
      <w:pPr>
        <w:numPr>
          <w:ilvl w:val="0"/>
          <w:numId w:val="1001"/>
        </w:num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 xml:space="preserve">The Hon’ble Authority passed a binding order dated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18.04.2024</w:t>
      </w:r>
      <w:r>
        <w:rPr>
          <w:rFonts w:ascii="Times New Roman" w:hAnsi="Times New Roman" w:eastAsia="Times New Roman"/>
          <w:color w:val="000000"/>
          <w:sz w:val="24"/>
        </w:rPr>
        <w:t xml:space="preserve">, rectified under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Section 39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on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08.08.2024</w:t>
      </w:r>
      <w:r>
        <w:rPr>
          <w:rFonts w:ascii="Times New Roman" w:hAnsi="Times New Roman" w:eastAsia="Times New Roman"/>
          <w:color w:val="000000"/>
          <w:sz w:val="24"/>
        </w:rPr>
        <w:t xml:space="preserve">, inter alia directing:</w:t>
      </w:r>
    </w:p>
    <w:p>
      <w:pPr>
        <w:pStyle w:val="Compact"/>
        <w:numPr>
          <w:ilvl w:val="1"/>
          <w:numId w:val="1002"/>
        </w:num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 xml:space="preserve">return of pre-EMI already paid by the complainants to the financial institution;</w:t>
      </w:r>
    </w:p>
    <w:p>
      <w:pPr>
        <w:pStyle w:val="Compact"/>
        <w:numPr>
          <w:ilvl w:val="1"/>
          <w:numId w:val="1002"/>
        </w:num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 xml:space="preserve">further payment of pre-EMI/EMI till offer of possession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directly to the financial institution</w:t>
      </w:r>
      <w:r>
        <w:rPr>
          <w:rFonts w:ascii="Times New Roman" w:hAnsi="Times New Roman" w:eastAsia="Times New Roman"/>
          <w:color w:val="000000"/>
          <w:sz w:val="24"/>
        </w:rPr>
        <w:t xml:space="preserve">;</w:t>
      </w:r>
    </w:p>
    <w:p>
      <w:pPr>
        <w:pStyle w:val="Compact"/>
        <w:numPr>
          <w:ilvl w:val="1"/>
          <w:numId w:val="1002"/>
        </w:num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 xml:space="preserve">disclosure of completion-certificate status, date of physical possession, and escrow account details within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30 days</w:t>
      </w:r>
      <w:r>
        <w:rPr>
          <w:rFonts w:ascii="Times New Roman" w:hAnsi="Times New Roman" w:eastAsia="Times New Roman"/>
          <w:color w:val="000000"/>
          <w:sz w:val="24"/>
        </w:rPr>
        <w:t xml:space="preserve">;</w:t>
      </w:r>
    </w:p>
    <w:p>
      <w:pPr>
        <w:pStyle w:val="Compact"/>
        <w:numPr>
          <w:ilvl w:val="1"/>
          <w:numId w:val="1002"/>
        </w:num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 xml:space="preserve">full compliance within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90 days</w:t>
      </w:r>
      <w:r>
        <w:rPr>
          <w:rFonts w:ascii="Times New Roman" w:hAnsi="Times New Roman" w:eastAsia="Times New Roman"/>
          <w:color w:val="000000"/>
          <w:sz w:val="24"/>
        </w:rPr>
        <w:t xml:space="preserve">;</w:t>
      </w:r>
    </w:p>
    <w:p>
      <w:pPr>
        <w:pStyle w:val="Compact"/>
        <w:numPr>
          <w:ilvl w:val="1"/>
          <w:numId w:val="1002"/>
        </w:num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 xml:space="preserve">handover of physical possession after obtaining occupation certificate;</w:t>
      </w:r>
    </w:p>
    <w:p>
      <w:pPr>
        <w:pStyle w:val="Compact"/>
        <w:numPr>
          <w:ilvl w:val="1"/>
          <w:numId w:val="1002"/>
        </w:num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 xml:space="preserve">planning-branch action in case of violation.</w:t>
      </w:r>
    </w:p>
    <w:p>
      <w:pPr>
        <w:numPr>
          <w:ilvl w:val="0"/>
          <w:numId w:val="1001"/>
        </w:num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 xml:space="preserve">The applicant filed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execution proceedings in October 2024</w:t>
      </w:r>
      <w:r>
        <w:rPr>
          <w:rFonts w:ascii="Times New Roman" w:hAnsi="Times New Roman" w:eastAsia="Times New Roman"/>
          <w:color w:val="000000"/>
          <w:sz w:val="24"/>
        </w:rPr>
        <w:t xml:space="preserve">, which are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pending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before this Hon’ble Authority. The present application is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not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a fresh complaint or fresh execution, but a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composite application in the pending execution proceedings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arising from subsequent events and continued non-compliance.</w:t>
      </w:r>
    </w:p>
    <w:p>
      <w:pPr>
        <w:numPr>
          <w:ilvl w:val="0"/>
          <w:numId w:val="1001"/>
        </w:num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 xml:space="preserve">The applicant has already filed an additional submission / rejoinder dated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01.06.2026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(</w:t>
      </w:r>
      <w:r>
        <w:rPr>
          <w:rStyle w:val="VerbatimChar"/>
          <w:rFonts w:ascii="Times New Roman" w:hAnsi="Times New Roman" w:eastAsia="Times New Roman"/>
          <w:color w:val="000000"/>
          <w:sz w:val="24"/>
        </w:rPr>
        <w:t xml:space="preserve">01062026_Rejoinder_ATS_REPLY</w:t>
      </w:r>
      <w:r>
        <w:rPr>
          <w:rFonts w:ascii="Times New Roman" w:hAnsi="Times New Roman" w:eastAsia="Times New Roman"/>
          <w:color w:val="000000"/>
          <w:sz w:val="24"/>
        </w:rPr>
        <w:t xml:space="preserve">) and related annexures. The present composite application incorporates and builds upon the detailed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Gap Analysis / Objection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(</w:t>
      </w:r>
      <w:r>
        <w:rPr>
          <w:rStyle w:val="VerbatimChar"/>
          <w:rFonts w:ascii="Times New Roman" w:hAnsi="Times New Roman" w:eastAsia="Times New Roman"/>
          <w:color w:val="000000"/>
          <w:sz w:val="24"/>
        </w:rPr>
        <w:t xml:space="preserve">Gap_Affidavit_080626_Analysis_ATS_DTCP_Unit_3051</w:t>
      </w:r>
      <w:r>
        <w:rPr>
          <w:rFonts w:ascii="Times New Roman" w:hAnsi="Times New Roman" w:eastAsia="Times New Roman"/>
          <w:color w:val="000000"/>
          <w:sz w:val="24"/>
        </w:rPr>
        <w:t xml:space="preserve">) and the safeguards sought in the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Covering Note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(</w:t>
      </w:r>
      <w:r>
        <w:rPr>
          <w:rStyle w:val="VerbatimChar"/>
          <w:rFonts w:ascii="Times New Roman" w:hAnsi="Times New Roman" w:eastAsia="Times New Roman"/>
          <w:color w:val="000000"/>
          <w:sz w:val="24"/>
        </w:rPr>
        <w:t xml:space="preserve">13062026_Covering_Note_Government_Authorities_Conditional_Approval</w:t>
      </w:r>
      <w:r>
        <w:rPr>
          <w:rFonts w:ascii="Times New Roman" w:hAnsi="Times New Roman" w:eastAsia="Times New Roman"/>
          <w:color w:val="000000"/>
          <w:sz w:val="24"/>
        </w:rPr>
        <w:t xml:space="preserve">).</w:t>
      </w:r>
    </w:p>
    <w:p>
      <w:pPr>
        <w:numPr>
          <w:ilvl w:val="0"/>
          <w:numId w:val="1001"/>
        </w:num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 xml:space="preserve">The applicant does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not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seek to split the dispute unnecessarily. All grievances arising from non-compliance of the HARERA order, the ATS reply dated May 2026, DTCP revised plan approval, change-of-developer process, and the impugned joint affidavit dated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08.06.2026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are being raised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in the pending execution itself</w:t>
      </w:r>
      <w:r>
        <w:rPr>
          <w:rFonts w:ascii="Times New Roman" w:hAnsi="Times New Roman" w:eastAsia="Times New Roman"/>
          <w:color w:val="000000"/>
          <w:sz w:val="24"/>
        </w:rPr>
        <w:t xml:space="preserve">.</w:t>
      </w:r>
    </w:p>
    <w:p>
      <w:pPr>
        <w:numPr>
          <w:ilvl w:val="0"/>
          <w:numId w:val="1001"/>
        </w:num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 xml:space="preserve">This application is filed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without prejudice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to all other remedies available in law, including proceedings before the Adjudicating Officer under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Section 71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and any other competent forum, strictly in accordance with applicable law and facts.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pict>
          <v:rect style="width:0;height:1.5pt" o:hralign="center" o:hrstd="t" o:hr="t"/>
        </w:pict>
      </w:r>
    </w:p>
    <w:bookmarkEnd w:id="10"/>
    <w:bookmarkStart w:id="11" w:name="Xbb398d2e3ae573c6978c6881000cb91f688fb8f"/>
    <w:p>
      <w:pPr>
        <w:pStyle w:val="Heading3"/>
        <w:spacing w:after="120" w:line="276" w:lineRule="auto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B. Chronology of material events after the HARERA order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 xml:space="preserve">S. No.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 xml:space="preserve">Date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 xml:space="preserve">Event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 xml:space="preserve">Significance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1.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b/>
                <w:bCs/>
                <w:color w:val="000000"/>
                <w:sz w:val="22"/>
              </w:rPr>
              <w:t xml:space="preserve">18.04.2024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HARERA order in Complaint 4463/2021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Binding executable directions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2.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b/>
                <w:bCs/>
                <w:color w:val="000000"/>
                <w:sz w:val="22"/>
              </w:rPr>
              <w:t xml:space="preserve">~18.05.2024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30-day disclosure period expired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CC/OC, possession date, escrow disclosure due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3.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b/>
                <w:bCs/>
                <w:color w:val="000000"/>
                <w:sz w:val="22"/>
              </w:rPr>
              <w:t xml:space="preserve">~17.07.2024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90-day compliance period expired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Full compliance due; consequences triggered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4.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b/>
                <w:bCs/>
                <w:color w:val="000000"/>
                <w:sz w:val="22"/>
              </w:rPr>
              <w:t xml:space="preserve">08.08.2024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Section 39 rectification allowed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Pre-EMI liability on bank-funded amount confirmed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5.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b/>
                <w:bCs/>
                <w:color w:val="000000"/>
                <w:sz w:val="22"/>
              </w:rPr>
              <w:t xml:space="preserve">October 2024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Execution filed by applicant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Pending enforcement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6.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b/>
                <w:bCs/>
                <w:color w:val="000000"/>
                <w:sz w:val="22"/>
              </w:rPr>
              <w:t xml:space="preserve">10.12.2025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DTCP in-principle change-of-developer approval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Hasta to Homekraft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7.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b/>
                <w:bCs/>
                <w:color w:val="000000"/>
                <w:sz w:val="22"/>
              </w:rPr>
              <w:t xml:space="preserve">04.05.2026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DTCP revised plan approval (ZP-938-II)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Regulatory benefit after prolonged default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8.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b/>
                <w:bCs/>
                <w:color w:val="000000"/>
                <w:sz w:val="22"/>
              </w:rPr>
              <w:t xml:space="preserve">17.05.2026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Applicant’s representation / objection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Individual objection by Unit 3051 allottee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9.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b/>
                <w:bCs/>
                <w:color w:val="000000"/>
                <w:sz w:val="22"/>
              </w:rPr>
              <w:t xml:space="preserve">May 2026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ATS reply to applicant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HARERA compliance treated as unrelated; possession projected</w:t>
            </w: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bCs/>
                <w:color w:val="000000"/>
                <w:sz w:val="22"/>
              </w:rPr>
              <w:t xml:space="preserve">30.06.2031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10.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b/>
                <w:bCs/>
                <w:color w:val="000000"/>
                <w:sz w:val="22"/>
              </w:rPr>
              <w:t xml:space="preserve">08.06.2026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Joint affidavit-cum-undertaking before DTCP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Generic undertaking; not HARERA compliance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11.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b/>
                <w:bCs/>
                <w:color w:val="000000"/>
                <w:sz w:val="22"/>
              </w:rPr>
              <w:t xml:space="preserve">11.06.2026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Notarisation of certified copy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Attestation of affidavit</w:t>
            </w:r>
          </w:p>
        </w:tc>
      </w:tr>
    </w:tbl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pict>
          <v:rect style="width:0;height:1.5pt" o:hralign="center" o:hrstd="t" o:hr="t"/>
        </w:pict>
      </w:r>
    </w:p>
    <w:bookmarkEnd w:id="11"/>
    <w:bookmarkStart w:id="12" w:name="X7ce5ad02ab424c8a06e441eee21df86dc3aa09d"/>
    <w:p>
      <w:pPr>
        <w:pStyle w:val="Heading3"/>
        <w:spacing w:after="120" w:line="276" w:lineRule="auto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C. New events requiring directions in execution</w:t>
      </w:r>
    </w:p>
    <w:p>
      <w:pPr>
        <w:numPr>
          <w:ilvl w:val="0"/>
          <w:numId w:val="1003"/>
        </w:num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 xml:space="preserve">After filing of execution, the respondents have not brought the HARERA order into compliance. Instead, they have pursued regulatory benefits relating to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revised building plan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and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change of developer</w:t>
      </w:r>
      <w:r>
        <w:rPr>
          <w:rFonts w:ascii="Times New Roman" w:hAnsi="Times New Roman" w:eastAsia="Times New Roman"/>
          <w:color w:val="000000"/>
          <w:sz w:val="24"/>
        </w:rPr>
        <w:t xml:space="preserve">, while continuing default under the executable order.</w:t>
      </w:r>
    </w:p>
    <w:p>
      <w:pPr>
        <w:numPr>
          <w:ilvl w:val="0"/>
          <w:numId w:val="1003"/>
        </w:num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 xml:space="preserve">M/s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ATS Realworth Pvt. Ltd.</w:t>
      </w:r>
      <w:r>
        <w:rPr>
          <w:rFonts w:ascii="Times New Roman" w:hAnsi="Times New Roman" w:eastAsia="Times New Roman"/>
          <w:color w:val="000000"/>
          <w:sz w:val="24"/>
        </w:rPr>
        <w:t xml:space="preserve">,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Hasta Infrastructure Pvt. Ltd.</w:t>
      </w:r>
      <w:r>
        <w:rPr>
          <w:rFonts w:ascii="Times New Roman" w:hAnsi="Times New Roman" w:eastAsia="Times New Roman"/>
          <w:color w:val="000000"/>
          <w:sz w:val="24"/>
        </w:rPr>
        <w:t xml:space="preserve">, and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Homekraft Infra Pvt. Ltd.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have tendered a joint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affidavit-cum-undertaking dated 08.06.2026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(notarised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11.06.2026</w:t>
      </w:r>
      <w:r>
        <w:rPr>
          <w:rFonts w:ascii="Times New Roman" w:hAnsi="Times New Roman" w:eastAsia="Times New Roman"/>
          <w:color w:val="000000"/>
          <w:sz w:val="24"/>
        </w:rPr>
        <w:t xml:space="preserve">) before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DTCP</w:t>
      </w:r>
      <w:r>
        <w:rPr>
          <w:rFonts w:ascii="Times New Roman" w:hAnsi="Times New Roman" w:eastAsia="Times New Roman"/>
          <w:color w:val="000000"/>
          <w:sz w:val="24"/>
        </w:rPr>
        <w:t xml:space="preserve">. The said document is only a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generic regulatory undertaking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filed before another authority. It is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not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a compliance affidavit in the pending HARERA execution.</w:t>
      </w:r>
    </w:p>
    <w:p>
      <w:pPr>
        <w:numPr>
          <w:ilvl w:val="0"/>
          <w:numId w:val="1003"/>
        </w:num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 xml:space="preserve">The impugned affidavit does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not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constitute compliance because, inter alia:</w:t>
      </w:r>
    </w:p>
    <w:p>
      <w:pPr>
        <w:pStyle w:val="Compact"/>
        <w:numPr>
          <w:ilvl w:val="1"/>
          <w:numId w:val="1004"/>
        </w:num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 xml:space="preserve">it uses generic language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“Decree Holder(s)”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and does not identify the applicant, co-allottee, Unit No. 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3051</w:t>
      </w:r>
      <w:r>
        <w:rPr>
          <w:rFonts w:ascii="Times New Roman" w:hAnsi="Times New Roman" w:eastAsia="Times New Roman"/>
          <w:color w:val="000000"/>
          <w:sz w:val="24"/>
        </w:rPr>
        <w:t xml:space="preserve">, Complaint No. 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4463/2021</w:t>
      </w:r>
      <w:r>
        <w:rPr>
          <w:rFonts w:ascii="Times New Roman" w:hAnsi="Times New Roman" w:eastAsia="Times New Roman"/>
          <w:color w:val="000000"/>
          <w:sz w:val="24"/>
        </w:rPr>
        <w:t xml:space="preserve">, or the pending execution;</w:t>
      </w:r>
    </w:p>
    <w:p>
      <w:pPr>
        <w:pStyle w:val="Compact"/>
        <w:numPr>
          <w:ilvl w:val="1"/>
          <w:numId w:val="1004"/>
        </w:num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 xml:space="preserve">it does not confirm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direct payment of pre-EMI to the financial institution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as directed by the HARERA order;</w:t>
      </w:r>
    </w:p>
    <w:p>
      <w:pPr>
        <w:pStyle w:val="Compact"/>
        <w:numPr>
          <w:ilvl w:val="1"/>
          <w:numId w:val="1004"/>
        </w:num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 xml:space="preserve">it contains a reservation that obligations are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“subject to attainment of finality in pending appeal, if any”</w:t>
      </w:r>
      <w:r>
        <w:rPr>
          <w:rFonts w:ascii="Times New Roman" w:hAnsi="Times New Roman" w:eastAsia="Times New Roman"/>
          <w:color w:val="000000"/>
          <w:sz w:val="24"/>
        </w:rPr>
        <w:t xml:space="preserve">, which is inconsistent with immediate executability and pending execution;</w:t>
      </w:r>
    </w:p>
    <w:p>
      <w:pPr>
        <w:pStyle w:val="Compact"/>
        <w:numPr>
          <w:ilvl w:val="1"/>
          <w:numId w:val="1004"/>
        </w:num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 xml:space="preserve">it does not disclose escrow account details, lawful possession date, construction progress, or binding compliance proof;</w:t>
      </w:r>
    </w:p>
    <w:p>
      <w:pPr>
        <w:pStyle w:val="Compact"/>
        <w:numPr>
          <w:ilvl w:val="1"/>
          <w:numId w:val="1004"/>
        </w:num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 xml:space="preserve">it does not reject ATS’s projected possession date of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30.06.2031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as against the BBA/HARERA due date of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30.06.2023</w:t>
      </w:r>
      <w:r>
        <w:rPr>
          <w:rFonts w:ascii="Times New Roman" w:hAnsi="Times New Roman" w:eastAsia="Times New Roman"/>
          <w:color w:val="000000"/>
          <w:sz w:val="24"/>
        </w:rPr>
        <w:t xml:space="preserve">;</w:t>
      </w:r>
    </w:p>
    <w:p>
      <w:pPr>
        <w:pStyle w:val="Compact"/>
        <w:numPr>
          <w:ilvl w:val="1"/>
          <w:numId w:val="1004"/>
        </w:num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 xml:space="preserve">it does not address prejudice from the revised plan, including increased density and reduced parking/green area;</w:t>
      </w:r>
    </w:p>
    <w:p>
      <w:pPr>
        <w:pStyle w:val="Compact"/>
        <w:numPr>
          <w:ilvl w:val="1"/>
          <w:numId w:val="1004"/>
        </w:num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 xml:space="preserve">it does not undertake that paper possession shall not terminate pre-EMI/EMI liability.</w:t>
      </w:r>
    </w:p>
    <w:p>
      <w:pPr>
        <w:numPr>
          <w:ilvl w:val="0"/>
          <w:numId w:val="1003"/>
        </w:num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 xml:space="preserve">ATS’s reply dated May 2026 and revised-plan documents likewise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do not constitute compliance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with the order dated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18.04.2024</w:t>
      </w:r>
      <w:r>
        <w:rPr>
          <w:rFonts w:ascii="Times New Roman" w:hAnsi="Times New Roman" w:eastAsia="Times New Roman"/>
          <w:color w:val="000000"/>
          <w:sz w:val="24"/>
        </w:rPr>
        <w:t xml:space="preserve">. Supply of plan documents is not the same as compliance with binding monetary, disclosure, and possession directions.</w:t>
      </w:r>
    </w:p>
    <w:p>
      <w:pPr>
        <w:numPr>
          <w:ilvl w:val="0"/>
          <w:numId w:val="1003"/>
        </w:num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 xml:space="preserve">The applicant respectfully submits that the respondents are seeking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DTCP / regulatory advantage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without first executing the HARERA order in favour of the applicant. A promoter cannot be permitted to obtain revised-plan or change-of-developer benefit while remaining in default of an existing executable order in favour of the same allottee.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pict>
          <v:rect style="width:0;height:1.5pt" o:hralign="center" o:hrstd="t" o:hr="t"/>
        </w:pict>
      </w:r>
    </w:p>
    <w:bookmarkEnd w:id="12"/>
    <w:bookmarkStart w:id="13" w:name="Xd2ffdc1ecdd9bdc7699f767c23a6961557ce536"/>
    <w:p>
      <w:pPr>
        <w:pStyle w:val="Heading3"/>
        <w:spacing w:after="120" w:line="276" w:lineRule="auto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D. Application for impleadment of Hasta Infrastructure Pvt. Ltd. and Homekraft Infra Pvt. Ltd.</w:t>
      </w:r>
    </w:p>
    <w:p>
      <w:pPr>
        <w:numPr>
          <w:ilvl w:val="0"/>
          <w:numId w:val="1005"/>
        </w:num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 xml:space="preserve">In the change-of-developer and revised-plan process,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Hasta Infrastructure Pvt. Ltd.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and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Homekraft Infra Pvt. Ltd.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have become directly relevant and necessary parties to the execution proceedings.</w:t>
      </w:r>
    </w:p>
    <w:p>
      <w:pPr>
        <w:numPr>
          <w:ilvl w:val="0"/>
          <w:numId w:val="1005"/>
        </w:num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 xml:space="preserve">The impugned affidavit is deposed on behalf of ATS/Hasta/Homekraft. The DTCP in-principle approval dated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10.12.2025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and subsequent regulatory steps concern transfer of project responsibility from Hasta to Homekraft.</w:t>
      </w:r>
    </w:p>
    <w:p>
      <w:pPr>
        <w:numPr>
          <w:ilvl w:val="0"/>
          <w:numId w:val="1005"/>
        </w:num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 xml:space="preserve">The applicant therefore prays that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Hasta Infrastructure Pvt. Ltd.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and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Homekraft Infra Pvt. Ltd.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be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impleaded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as respondents / judgment-debtors in the pending execution proceedings and be directed to remain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jointly and severally liable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for compliance of the HARERA order dated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18.04.2024</w:t>
      </w:r>
      <w:r>
        <w:rPr>
          <w:rFonts w:ascii="Times New Roman" w:hAnsi="Times New Roman" w:eastAsia="Times New Roman"/>
          <w:color w:val="000000"/>
          <w:sz w:val="24"/>
        </w:rPr>
        <w:t xml:space="preserve">, without prejudice to the applicant’s rights against ATS Realworth Pvt. Ltd.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pict>
          <v:rect style="width:0;height:1.5pt" o:hralign="center" o:hrstd="t" o:hr="t"/>
        </w:pict>
      </w:r>
    </w:p>
    <w:bookmarkEnd w:id="13"/>
    <w:bookmarkStart w:id="14" w:name="e.-legal-submissions"/>
    <w:p>
      <w:pPr>
        <w:pStyle w:val="Heading3"/>
        <w:spacing w:after="120" w:line="276" w:lineRule="auto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E. Legal submissions</w:t>
      </w:r>
    </w:p>
    <w:p>
      <w:pPr>
        <w:numPr>
          <w:ilvl w:val="0"/>
          <w:numId w:val="1006"/>
        </w:numPr>
        <w:spacing w:after="120" w:line="276" w:lineRule="auto"/>
        <w:jc w:val="both"/>
      </w:pP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Compliance requires performance, not promise.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A binding order cannot be satisfied by a generic future undertaking filed before DTCP.</w:t>
      </w:r>
    </w:p>
    <w:p>
      <w:pPr>
        <w:numPr>
          <w:ilvl w:val="0"/>
          <w:numId w:val="1006"/>
        </w:numPr>
        <w:spacing w:after="120" w:line="276" w:lineRule="auto"/>
        <w:jc w:val="both"/>
      </w:pP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A regulatory affidavit cannot substitute execution.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DTCP proceedings for revised plan / change of developer do not replace HARERA execution or discharge executable liabilities.</w:t>
      </w:r>
    </w:p>
    <w:p>
      <w:pPr>
        <w:numPr>
          <w:ilvl w:val="0"/>
          <w:numId w:val="1006"/>
        </w:numPr>
        <w:spacing w:after="120" w:line="276" w:lineRule="auto"/>
        <w:jc w:val="both"/>
      </w:pP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The impugned affidavit is conditional, not unconditional.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The phrase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“subject to finality in pending appeal, if any”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cannot defer compliance unless a specific stay order from a competent forum is produced on record.</w:t>
      </w:r>
    </w:p>
    <w:p>
      <w:pPr>
        <w:numPr>
          <w:ilvl w:val="0"/>
          <w:numId w:val="1006"/>
        </w:numPr>
        <w:spacing w:after="120" w:line="276" w:lineRule="auto"/>
        <w:jc w:val="both"/>
      </w:pP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No deemed consent or waiver can be inferred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against the applicant from silence, public notice, website upload, general intimation, or a generic affidavit.</w:t>
      </w:r>
    </w:p>
    <w:p>
      <w:pPr>
        <w:numPr>
          <w:ilvl w:val="0"/>
          <w:numId w:val="1006"/>
        </w:numPr>
        <w:spacing w:after="120" w:line="276" w:lineRule="auto"/>
        <w:jc w:val="both"/>
      </w:pP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Revised plan / change-of-developer approval must not prejudice vested rights.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Any regulatory benefit must remain expressly subject to full execution of the HARERA order and protection of the applicant’s BBA and RERA rights.</w:t>
      </w:r>
    </w:p>
    <w:p>
      <w:pPr>
        <w:numPr>
          <w:ilvl w:val="0"/>
          <w:numId w:val="1006"/>
        </w:numPr>
        <w:spacing w:after="120" w:line="276" w:lineRule="auto"/>
        <w:jc w:val="both"/>
      </w:pP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The applicant’s rights are crystallised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under the BBA, the HARERA order dated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18.04.2024</w:t>
      </w:r>
      <w:r>
        <w:rPr>
          <w:rFonts w:ascii="Times New Roman" w:hAnsi="Times New Roman" w:eastAsia="Times New Roman"/>
          <w:color w:val="000000"/>
          <w:sz w:val="24"/>
        </w:rPr>
        <w:t xml:space="preserve">, and the certified copy dated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08.08.2024</w:t>
      </w:r>
      <w:r>
        <w:rPr>
          <w:rFonts w:ascii="Times New Roman" w:hAnsi="Times New Roman" w:eastAsia="Times New Roman"/>
          <w:color w:val="000000"/>
          <w:sz w:val="24"/>
        </w:rPr>
        <w:t xml:space="preserve">. These rights cannot be diluted by revised plans, increased FAR/density, change of developer, or internal restructuring.</w:t>
      </w:r>
    </w:p>
    <w:p>
      <w:pPr>
        <w:numPr>
          <w:ilvl w:val="0"/>
          <w:numId w:val="1006"/>
        </w:num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 xml:space="preserve">The applicant reserves liberty to pursue delay compensation and other reliefs separately before the competent Adjudicating Officer under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Section 71</w:t>
      </w:r>
      <w:r>
        <w:rPr>
          <w:rFonts w:ascii="Times New Roman" w:hAnsi="Times New Roman" w:eastAsia="Times New Roman"/>
          <w:color w:val="000000"/>
          <w:sz w:val="24"/>
        </w:rPr>
        <w:t xml:space="preserve">, without abandoning the present execution.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pict>
          <v:rect style="width:0;height:1.5pt" o:hralign="center" o:hrstd="t" o:hr="t"/>
        </w:pict>
      </w:r>
    </w:p>
    <w:bookmarkEnd w:id="14"/>
    <w:bookmarkEnd w:id="15"/>
    <w:bookmarkStart w:id="21" w:name="prayer"/>
    <w:p>
      <w:pPr>
        <w:pStyle w:val="Heading2"/>
        <w:spacing w:after="120" w:line="276" w:lineRule="auto"/>
        <w:jc w:val="left"/>
      </w:pPr>
      <w:r>
        <w:rPr>
          <w:rFonts w:ascii="Times New Roman" w:hAnsi="Times New Roman" w:eastAsia="Times New Roman"/>
          <w:b/>
          <w:color w:val="000000"/>
          <w:sz w:val="26"/>
        </w:rPr>
        <w:t xml:space="preserve">Prayer</w:t>
      </w:r>
    </w:p>
    <w:p>
      <w:pPr>
        <w:pStyle w:val="FirstParagraph"/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 xml:space="preserve">It is therefore most respectfully prayed that this Hon’ble Authority may be pleased to:</w:t>
      </w:r>
    </w:p>
    <w:bookmarkStart w:id="16" w:name="i.-on-record-procedural-directions"/>
    <w:p>
      <w:pPr>
        <w:pStyle w:val="Heading3"/>
        <w:spacing w:after="120" w:line="276" w:lineRule="auto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I. On record / procedural directions</w:t>
      </w:r>
    </w:p>
    <w:p>
      <w:pPr>
        <w:numPr>
          <w:ilvl w:val="0"/>
          <w:numId w:val="1007"/>
        </w:numPr>
        <w:spacing w:after="120" w:line="276" w:lineRule="auto"/>
        <w:jc w:val="both"/>
      </w:pP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Take on record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the present composite application along with the Gap Analysis (</w:t>
      </w:r>
      <w:r>
        <w:rPr>
          <w:rStyle w:val="VerbatimChar"/>
          <w:rFonts w:ascii="Times New Roman" w:hAnsi="Times New Roman" w:eastAsia="Times New Roman"/>
          <w:color w:val="000000"/>
          <w:sz w:val="24"/>
        </w:rPr>
        <w:t xml:space="preserve">Gap_Affidavit_080626_Analysis_ATS_DTCP_Unit_3051</w:t>
      </w:r>
      <w:r>
        <w:rPr>
          <w:rFonts w:ascii="Times New Roman" w:hAnsi="Times New Roman" w:eastAsia="Times New Roman"/>
          <w:color w:val="000000"/>
          <w:sz w:val="24"/>
        </w:rPr>
        <w:t xml:space="preserve">) and Covering Note (</w:t>
      </w:r>
      <w:r>
        <w:rPr>
          <w:rStyle w:val="VerbatimChar"/>
          <w:rFonts w:ascii="Times New Roman" w:hAnsi="Times New Roman" w:eastAsia="Times New Roman"/>
          <w:color w:val="000000"/>
          <w:sz w:val="24"/>
        </w:rPr>
        <w:t xml:space="preserve">13062026_Covering_Note_Government_Authorities_Conditional_Approval</w:t>
      </w:r>
      <w:r>
        <w:rPr>
          <w:rFonts w:ascii="Times New Roman" w:hAnsi="Times New Roman" w:eastAsia="Times New Roman"/>
          <w:color w:val="000000"/>
          <w:sz w:val="24"/>
        </w:rPr>
        <w:t xml:space="preserve">), if not already on record.</w:t>
      </w:r>
    </w:p>
    <w:p>
      <w:pPr>
        <w:numPr>
          <w:ilvl w:val="0"/>
          <w:numId w:val="1007"/>
        </w:numPr>
        <w:spacing w:after="120" w:line="276" w:lineRule="auto"/>
        <w:jc w:val="both"/>
      </w:pP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Take on record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the rejoinder dated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01.06.2026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(</w:t>
      </w:r>
      <w:r>
        <w:rPr>
          <w:rStyle w:val="VerbatimChar"/>
          <w:rFonts w:ascii="Times New Roman" w:hAnsi="Times New Roman" w:eastAsia="Times New Roman"/>
          <w:color w:val="000000"/>
          <w:sz w:val="24"/>
        </w:rPr>
        <w:t xml:space="preserve">01062026_Rejoinder_ATS_REPLY</w:t>
      </w:r>
      <w:r>
        <w:rPr>
          <w:rFonts w:ascii="Times New Roman" w:hAnsi="Times New Roman" w:eastAsia="Times New Roman"/>
          <w:color w:val="000000"/>
          <w:sz w:val="24"/>
        </w:rPr>
        <w:t xml:space="preserve">), ATS reply dated May 2026, impugned affidavit dated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08.06.2026</w:t>
      </w:r>
      <w:r>
        <w:rPr>
          <w:rFonts w:ascii="Times New Roman" w:hAnsi="Times New Roman" w:eastAsia="Times New Roman"/>
          <w:color w:val="000000"/>
          <w:sz w:val="24"/>
        </w:rPr>
        <w:t xml:space="preserve">, DTCP revised plan approval dated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04.05.2026</w:t>
      </w:r>
      <w:r>
        <w:rPr>
          <w:rFonts w:ascii="Times New Roman" w:hAnsi="Times New Roman" w:eastAsia="Times New Roman"/>
          <w:color w:val="000000"/>
          <w:sz w:val="24"/>
        </w:rPr>
        <w:t xml:space="preserve">, DTCP in-principle change-of-developer approval dated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10.12.2025</w:t>
      </w:r>
      <w:r>
        <w:rPr>
          <w:rFonts w:ascii="Times New Roman" w:hAnsi="Times New Roman" w:eastAsia="Times New Roman"/>
          <w:color w:val="000000"/>
          <w:sz w:val="24"/>
        </w:rPr>
        <w:t xml:space="preserve">, and the applicant’s representation dated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17.05.2026</w:t>
      </w:r>
      <w:r>
        <w:rPr>
          <w:rFonts w:ascii="Times New Roman" w:hAnsi="Times New Roman" w:eastAsia="Times New Roman"/>
          <w:color w:val="000000"/>
          <w:sz w:val="24"/>
        </w:rPr>
        <w:t xml:space="preserve">.</w:t>
      </w:r>
    </w:p>
    <w:p>
      <w:pPr>
        <w:numPr>
          <w:ilvl w:val="0"/>
          <w:numId w:val="1007"/>
        </w:numPr>
        <w:spacing w:after="120" w:line="276" w:lineRule="auto"/>
        <w:jc w:val="both"/>
      </w:pP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Implead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M/s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Hasta Infrastructure Pvt. Ltd.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and M/s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Homekraft Infra Pvt. Ltd.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as respondents / judgment-debtors in the pending execution proceedings.</w:t>
      </w:r>
    </w:p>
    <w:bookmarkEnd w:id="16"/>
    <w:bookmarkStart w:id="17" w:name="ii.-rejection-of-alleged-compliance"/>
    <w:p>
      <w:pPr>
        <w:pStyle w:val="Heading3"/>
        <w:spacing w:after="120" w:line="276" w:lineRule="auto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II. Rejection of alleged compliance</w:t>
      </w:r>
    </w:p>
    <w:p>
      <w:pPr>
        <w:numPr>
          <w:ilvl w:val="0"/>
          <w:numId w:val="1008"/>
        </w:numPr>
        <w:spacing w:after="120" w:line="276" w:lineRule="auto"/>
        <w:jc w:val="both"/>
      </w:pP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Reject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the contention that the joint affidavit-cum-undertaking dated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08.06.2026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before DTCP constitutes compliance or substantial compliance of the HARERA order dated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18.04.2024</w:t>
      </w:r>
      <w:r>
        <w:rPr>
          <w:rFonts w:ascii="Times New Roman" w:hAnsi="Times New Roman" w:eastAsia="Times New Roman"/>
          <w:color w:val="000000"/>
          <w:sz w:val="24"/>
        </w:rPr>
        <w:t xml:space="preserve">.</w:t>
      </w:r>
    </w:p>
    <w:p>
      <w:pPr>
        <w:numPr>
          <w:ilvl w:val="0"/>
          <w:numId w:val="1008"/>
        </w:numPr>
        <w:spacing w:after="120" w:line="276" w:lineRule="auto"/>
        <w:jc w:val="both"/>
      </w:pP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Reject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the contention that supply of revised-plan documents, comparative chart, website upload, or ATS reply dated May 2026 amounts to compliance with the order dated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18.04.2024</w:t>
      </w:r>
      <w:r>
        <w:rPr>
          <w:rFonts w:ascii="Times New Roman" w:hAnsi="Times New Roman" w:eastAsia="Times New Roman"/>
          <w:color w:val="000000"/>
          <w:sz w:val="24"/>
        </w:rPr>
        <w:t xml:space="preserve">.</w:t>
      </w:r>
    </w:p>
    <w:bookmarkEnd w:id="17"/>
    <w:bookmarkStart w:id="18" w:name="iii.-compliance-directions"/>
    <w:p>
      <w:pPr>
        <w:pStyle w:val="Heading3"/>
        <w:spacing w:after="120" w:line="276" w:lineRule="auto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III. Compliance directions</w:t>
      </w:r>
    </w:p>
    <w:p>
      <w:pPr>
        <w:numPr>
          <w:ilvl w:val="0"/>
          <w:numId w:val="1009"/>
        </w:numPr>
        <w:spacing w:after="120" w:line="276" w:lineRule="auto"/>
        <w:jc w:val="both"/>
      </w:pP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Direct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ATS Realworth Pvt. Ltd., Hasta Infrastructure Pvt. Ltd., and Homekraft Infra Pvt. Ltd.,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jointly and severally</w:t>
      </w:r>
      <w:r>
        <w:rPr>
          <w:rFonts w:ascii="Times New Roman" w:hAnsi="Times New Roman" w:eastAsia="Times New Roman"/>
          <w:color w:val="000000"/>
          <w:sz w:val="24"/>
        </w:rPr>
        <w:t xml:space="preserve">, to file a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compliance affidavit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within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7 days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in respect of Unit No. 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3051</w:t>
      </w:r>
      <w:r>
        <w:rPr>
          <w:rFonts w:ascii="Times New Roman" w:hAnsi="Times New Roman" w:eastAsia="Times New Roman"/>
          <w:color w:val="000000"/>
          <w:sz w:val="24"/>
        </w:rPr>
        <w:t xml:space="preserve">, Tower No. 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03</w:t>
      </w:r>
      <w:r>
        <w:rPr>
          <w:rFonts w:ascii="Times New Roman" w:hAnsi="Times New Roman" w:eastAsia="Times New Roman"/>
          <w:color w:val="000000"/>
          <w:sz w:val="24"/>
        </w:rPr>
        <w:t xml:space="preserve">, supported by documentary proof of:</w:t>
      </w:r>
    </w:p>
    <w:p>
      <w:pPr>
        <w:pStyle w:val="Compact"/>
        <w:numPr>
          <w:ilvl w:val="1"/>
          <w:numId w:val="1010"/>
        </w:num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 xml:space="preserve">direct bank-payment arrangement for pre-EMI/EMI with the financial institution till lawful possession;</w:t>
      </w:r>
    </w:p>
    <w:p>
      <w:pPr>
        <w:pStyle w:val="Compact"/>
        <w:numPr>
          <w:ilvl w:val="1"/>
          <w:numId w:val="1010"/>
        </w:num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 xml:space="preserve">escrow account statement and fund utilisation record;</w:t>
      </w:r>
    </w:p>
    <w:p>
      <w:pPr>
        <w:pStyle w:val="Compact"/>
        <w:numPr>
          <w:ilvl w:val="1"/>
          <w:numId w:val="1010"/>
        </w:num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 xml:space="preserve">construction-status certificate for Tower No. 03 / Unit No. 3051;</w:t>
      </w:r>
    </w:p>
    <w:p>
      <w:pPr>
        <w:pStyle w:val="Compact"/>
        <w:numPr>
          <w:ilvl w:val="1"/>
          <w:numId w:val="1010"/>
        </w:num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 xml:space="preserve">date-wise possession milestone plan;</w:t>
      </w:r>
    </w:p>
    <w:p>
      <w:pPr>
        <w:pStyle w:val="Compact"/>
        <w:numPr>
          <w:ilvl w:val="1"/>
          <w:numId w:val="1010"/>
        </w:num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 xml:space="preserve">revised-plan comparison affecting Unit No. 3051;</w:t>
      </w:r>
    </w:p>
    <w:p>
      <w:pPr>
        <w:pStyle w:val="Compact"/>
        <w:numPr>
          <w:ilvl w:val="1"/>
          <w:numId w:val="1010"/>
        </w:num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 xml:space="preserve">status of appeal and any stay order, if any.</w:t>
      </w:r>
    </w:p>
    <w:p>
      <w:pPr>
        <w:numPr>
          <w:ilvl w:val="0"/>
          <w:numId w:val="1009"/>
        </w:numPr>
        <w:spacing w:after="120" w:line="276" w:lineRule="auto"/>
        <w:jc w:val="both"/>
      </w:pP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Direct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the respondents to confirm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direct payment of pre-EMI to the financial institution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as required by the HARERA order dated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18.04.2024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and letter dated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23.10.2018</w:t>
      </w:r>
      <w:r>
        <w:rPr>
          <w:rFonts w:ascii="Times New Roman" w:hAnsi="Times New Roman" w:eastAsia="Times New Roman"/>
          <w:color w:val="000000"/>
          <w:sz w:val="24"/>
        </w:rPr>
        <w:t xml:space="preserve">.</w:t>
      </w:r>
    </w:p>
    <w:p>
      <w:pPr>
        <w:numPr>
          <w:ilvl w:val="0"/>
          <w:numId w:val="1009"/>
        </w:numPr>
        <w:spacing w:after="120" w:line="276" w:lineRule="auto"/>
        <w:jc w:val="both"/>
      </w:pP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Direct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that the respondents shall not offer or treat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paper possession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or incomplete possession as terminating pre-EMI/EMI liability.</w:t>
      </w:r>
    </w:p>
    <w:p>
      <w:pPr>
        <w:numPr>
          <w:ilvl w:val="0"/>
          <w:numId w:val="1009"/>
        </w:numPr>
        <w:spacing w:after="120" w:line="276" w:lineRule="auto"/>
        <w:jc w:val="both"/>
      </w:pP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Direct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the respondents to continue all pre-EMI/EMI liabilities until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lawful physical possession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is delivered with OC/CC, essential services, parking, access, safety approvals, and BBA/HARERA-compliant facilities.</w:t>
      </w:r>
    </w:p>
    <w:bookmarkEnd w:id="18"/>
    <w:bookmarkStart w:id="19" w:name="X726a04db355da68475030b85f79635dc254857b"/>
    <w:p>
      <w:pPr>
        <w:pStyle w:val="Heading3"/>
        <w:spacing w:after="120" w:line="276" w:lineRule="auto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IV. Conditional-approval / buyer-safeguard directions</w:t>
      </w:r>
    </w:p>
    <w:p>
      <w:pPr>
        <w:numPr>
          <w:ilvl w:val="0"/>
          <w:numId w:val="1011"/>
        </w:numPr>
        <w:spacing w:after="120" w:line="276" w:lineRule="auto"/>
        <w:jc w:val="both"/>
      </w:pP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Record and direct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that any DTCP / HARERA permission relating to revised plan, change of developer, COD, licence benefit, registration amendment, or other regulatory benefit shall remain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strictly conditional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on prior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full execution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of the HARERA order dated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18.04.2024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and shall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not prejudice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the applicant’s vested rights.</w:t>
      </w:r>
    </w:p>
    <w:p>
      <w:pPr>
        <w:numPr>
          <w:ilvl w:val="0"/>
          <w:numId w:val="1011"/>
        </w:numPr>
        <w:spacing w:after="120" w:line="276" w:lineRule="auto"/>
        <w:jc w:val="both"/>
      </w:pP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Declare / record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that the phrase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“subject to finality in pending appeal, if any”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in the impugned affidavit shall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not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defer or suspend compliance unless a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specific stay order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from a competent appellate forum is produced on record.</w:t>
      </w:r>
    </w:p>
    <w:p>
      <w:pPr>
        <w:numPr>
          <w:ilvl w:val="0"/>
          <w:numId w:val="1011"/>
        </w:numPr>
        <w:spacing w:after="120" w:line="276" w:lineRule="auto"/>
        <w:jc w:val="both"/>
      </w:pP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Direct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that no deemed consent, waiver, acquiescence, or acceptance shall be inferred against the applicant on the basis of public notice, website upload, silence, general intimation, or a generic affidavit.</w:t>
      </w:r>
    </w:p>
    <w:p>
      <w:pPr>
        <w:numPr>
          <w:ilvl w:val="0"/>
          <w:numId w:val="1011"/>
        </w:numPr>
        <w:spacing w:after="120" w:line="276" w:lineRule="auto"/>
        <w:jc w:val="both"/>
      </w:pP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Direct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that no extra burden, additional charge, adverse layout change, reduced amenity, reduced parking right, delayed possession, or inferior specification shall be imposed upon the applicant due to revised plan / change of developer.</w:t>
      </w:r>
    </w:p>
    <w:p>
      <w:pPr>
        <w:numPr>
          <w:ilvl w:val="0"/>
          <w:numId w:val="1011"/>
        </w:numPr>
        <w:spacing w:after="120" w:line="276" w:lineRule="auto"/>
        <w:jc w:val="both"/>
      </w:pP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Reject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ATS’s projected possession date of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30.06.2031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as inconsistent with the BBA and HARERA-recorded due date of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30.06.2023</w:t>
      </w:r>
      <w:r>
        <w:rPr>
          <w:rFonts w:ascii="Times New Roman" w:hAnsi="Times New Roman" w:eastAsia="Times New Roman"/>
          <w:color w:val="000000"/>
          <w:sz w:val="24"/>
        </w:rPr>
        <w:t xml:space="preserve">, unless lawfully varied by this Hon’ble Authority after full compliance and hearing.</w:t>
      </w:r>
    </w:p>
    <w:p>
      <w:pPr>
        <w:numPr>
          <w:ilvl w:val="0"/>
          <w:numId w:val="1011"/>
        </w:numPr>
        <w:spacing w:after="120" w:line="276" w:lineRule="auto"/>
        <w:jc w:val="both"/>
      </w:pP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Direct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the respondents to furnish a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speaking compliance statement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explaining continued non-compliance since expiry of the 30-day and 90-day periods under the order dated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18.04.2024</w:t>
      </w:r>
      <w:r>
        <w:rPr>
          <w:rFonts w:ascii="Times New Roman" w:hAnsi="Times New Roman" w:eastAsia="Times New Roman"/>
          <w:color w:val="000000"/>
          <w:sz w:val="24"/>
        </w:rPr>
        <w:t xml:space="preserve">.</w:t>
      </w:r>
    </w:p>
    <w:bookmarkEnd w:id="19"/>
    <w:bookmarkStart w:id="20" w:name="v.-execution-recovery-and-further-relief"/>
    <w:p>
      <w:pPr>
        <w:pStyle w:val="Heading3"/>
        <w:spacing w:after="120" w:line="276" w:lineRule="auto"/>
        <w:jc w:val="left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V. Execution, recovery, and further relief</w:t>
      </w:r>
    </w:p>
    <w:p>
      <w:pPr>
        <w:numPr>
          <w:ilvl w:val="0"/>
          <w:numId w:val="1012"/>
        </w:numPr>
        <w:spacing w:after="120" w:line="276" w:lineRule="auto"/>
        <w:jc w:val="both"/>
      </w:pP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Initiate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appropriate execution, recovery, penal, and other consequences for continued non-compliance, including under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Section 40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of the Real Estate (Regulation and Development) Act, 2016, if applicable.</w:t>
      </w:r>
    </w:p>
    <w:p>
      <w:pPr>
        <w:numPr>
          <w:ilvl w:val="0"/>
          <w:numId w:val="1012"/>
        </w:numPr>
        <w:spacing w:after="120" w:line="276" w:lineRule="auto"/>
        <w:jc w:val="both"/>
      </w:pP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Direct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coordination with the planning branch, as contemplated in the order dated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18.04.2024</w:t>
      </w:r>
      <w:r>
        <w:rPr>
          <w:rFonts w:ascii="Times New Roman" w:hAnsi="Times New Roman" w:eastAsia="Times New Roman"/>
          <w:color w:val="000000"/>
          <w:sz w:val="24"/>
        </w:rPr>
        <w:t xml:space="preserve">, in case of continued violation of the Act.</w:t>
      </w:r>
    </w:p>
    <w:p>
      <w:pPr>
        <w:numPr>
          <w:ilvl w:val="0"/>
          <w:numId w:val="1012"/>
        </w:numPr>
        <w:spacing w:after="120" w:line="276" w:lineRule="auto"/>
        <w:jc w:val="both"/>
      </w:pP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Award costs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of representation, correspondence, legal consultation, and proceedings, if permissible in law.</w:t>
      </w:r>
    </w:p>
    <w:p>
      <w:pPr>
        <w:numPr>
          <w:ilvl w:val="0"/>
          <w:numId w:val="1012"/>
        </w:numPr>
        <w:spacing w:after="120" w:line="276" w:lineRule="auto"/>
        <w:jc w:val="both"/>
      </w:pP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Pass such further order(s)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in the pending execution as may be necessary to protect and enforce the applicant’s crystallised rights under the BBA and the HARERA order dated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18.04.2024</w:t>
      </w:r>
      <w:r>
        <w:rPr>
          <w:rFonts w:ascii="Times New Roman" w:hAnsi="Times New Roman" w:eastAsia="Times New Roman"/>
          <w:color w:val="000000"/>
          <w:sz w:val="24"/>
        </w:rPr>
        <w:t xml:space="preserve">.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pict>
          <v:rect style="width:0;height:1.5pt" o:hralign="center" o:hrstd="t" o:hr="t"/>
        </w:pict>
      </w:r>
    </w:p>
    <w:bookmarkEnd w:id="20"/>
    <w:bookmarkEnd w:id="21"/>
    <w:bookmarkStart w:id="22" w:name="enclosures-annexures"/>
    <w:p>
      <w:pPr>
        <w:pStyle w:val="Heading2"/>
        <w:spacing w:after="120" w:line="276" w:lineRule="auto"/>
        <w:jc w:val="left"/>
      </w:pPr>
      <w:r>
        <w:rPr>
          <w:rFonts w:ascii="Times New Roman" w:hAnsi="Times New Roman" w:eastAsia="Times New Roman"/>
          <w:b/>
          <w:color w:val="000000"/>
          <w:sz w:val="26"/>
        </w:rPr>
        <w:t xml:space="preserve">Enclosures / Annexures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 xml:space="preserve">S. No.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 xml:space="preserve">Annexure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 xml:space="preserve">Document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1.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HARERA order dated</w:t>
            </w: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bCs/>
                <w:color w:val="000000"/>
                <w:sz w:val="22"/>
              </w:rPr>
              <w:t xml:space="preserve">18.04.2024</w:t>
            </w: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— Complaint No. </w:t>
            </w:r>
            <w:r>
              <w:rPr>
                <w:rFonts w:ascii="Times New Roman" w:hAnsi="Times New Roman" w:eastAsia="Times New Roman"/>
                <w:b/>
                <w:bCs/>
                <w:color w:val="000000"/>
                <w:sz w:val="22"/>
              </w:rPr>
              <w:t xml:space="preserve">4463 of 2021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2.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B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Certified copy / Section 39 rectification order dated</w:t>
            </w: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bCs/>
                <w:color w:val="000000"/>
                <w:sz w:val="22"/>
              </w:rPr>
              <w:t xml:space="preserve">08.08.2024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3.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C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Execution papers filed in October 2024 (</w:t>
            </w:r>
            <w:r>
              <w:rPr>
                <w:rStyle w:val="VerbatimChar"/>
                <w:rFonts w:ascii="Times New Roman" w:hAnsi="Times New Roman" w:eastAsia="Times New Roman"/>
                <w:color w:val="000000"/>
                <w:sz w:val="22"/>
              </w:rPr>
              <w:t xml:space="preserve">E1</w:t>
            </w: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–</w:t>
            </w:r>
            <w:r>
              <w:rPr>
                <w:rStyle w:val="VerbatimChar"/>
                <w:rFonts w:ascii="Times New Roman" w:hAnsi="Times New Roman" w:eastAsia="Times New Roman"/>
                <w:color w:val="000000"/>
                <w:sz w:val="22"/>
              </w:rPr>
              <w:t xml:space="preserve">E5</w:t>
            </w: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4.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Gap Analysis —</w:t>
            </w: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color w:val="000000"/>
                <w:sz w:val="22"/>
              </w:rPr>
              <w:t xml:space="preserve">Gap_Affidavit_080626_Analysis_ATS_DTCP_Unit_3051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5.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Covering Note —</w:t>
            </w: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color w:val="000000"/>
                <w:sz w:val="22"/>
              </w:rPr>
              <w:t xml:space="preserve">13062026_Covering_Note_Government_Authorities_Conditional_Approval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6.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F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Rejoinder —</w:t>
            </w: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color w:val="000000"/>
                <w:sz w:val="22"/>
              </w:rPr>
              <w:t xml:space="preserve">01062026_Rejoinder_ATS_REPLY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7.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G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Impugned joint affidavit dated</w:t>
            </w: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bCs/>
                <w:color w:val="000000"/>
                <w:sz w:val="22"/>
              </w:rPr>
              <w:t xml:space="preserve">08.06.2026</w:t>
            </w: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(notarised</w:t>
            </w: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bCs/>
                <w:color w:val="000000"/>
                <w:sz w:val="22"/>
              </w:rPr>
              <w:t xml:space="preserve">11.06.2026</w:t>
            </w: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)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8.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H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ATS reply dated May 2026 and revised-plan documents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9.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I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Applicant representation dated</w:t>
            </w: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bCs/>
                <w:color w:val="000000"/>
                <w:sz w:val="22"/>
              </w:rPr>
              <w:t xml:space="preserve">17.05.2026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10.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J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DTCP revised plan approval dated</w:t>
            </w: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bCs/>
                <w:color w:val="000000"/>
                <w:sz w:val="22"/>
              </w:rPr>
              <w:t xml:space="preserve">04.05.2026</w:t>
            </w: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/ ZP-938-II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11.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K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DTCP in-principle change-of-developer approval dated</w:t>
            </w: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bCs/>
                <w:color w:val="000000"/>
                <w:sz w:val="22"/>
              </w:rPr>
              <w:t xml:space="preserve">10.12.2025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12.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Bank / PNB Housing Finance and pre-EMI records</w:t>
            </w:r>
          </w:p>
        </w:tc>
      </w:tr>
      <w:t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13.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M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pStyle w:val="Compact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2"/>
              </w:rPr>
              <w:t xml:space="preserve">BBA / allotment documents for Unit No. </w:t>
            </w:r>
            <w:r>
              <w:rPr>
                <w:rFonts w:ascii="Times New Roman" w:hAnsi="Times New Roman" w:eastAsia="Times New Roman"/>
                <w:b/>
                <w:bCs/>
                <w:color w:val="000000"/>
                <w:sz w:val="22"/>
              </w:rPr>
              <w:t xml:space="preserve">3051</w:t>
            </w:r>
          </w:p>
        </w:tc>
      </w:tr>
    </w:tbl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pict>
          <v:rect style="width:0;height:1.5pt" o:hralign="center" o:hrstd="t" o:hr="t"/>
        </w:pict>
      </w:r>
    </w:p>
    <w:p>
      <w:pPr>
        <w:pStyle w:val="FirstParagraph"/>
        <w:spacing w:after="120" w:line="276" w:lineRule="auto"/>
        <w:jc w:val="both"/>
      </w:pP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Applicant / Decree-holder</w:t>
      </w:r>
      <w:r>
        <w:rPr>
          <w:rFonts w:ascii="Times New Roman" w:hAnsi="Times New Roman" w:eastAsia="Times New Roman"/>
          <w:color w:val="000000"/>
          <w:sz w:val="24"/>
        </w:rPr>
        <w:br/>
      </w:r>
      <w:r>
        <w:rPr>
          <w:rFonts w:ascii="Times New Roman" w:hAnsi="Times New Roman" w:eastAsia="Times New Roman"/>
          <w:color w:val="000000"/>
          <w:sz w:val="24"/>
        </w:rPr>
        <w:t xml:space="preserve">Mr. 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Vijyant Agarwal</w:t>
      </w:r>
      <w:r>
        <w:rPr>
          <w:rFonts w:ascii="Times New Roman" w:hAnsi="Times New Roman" w:eastAsia="Times New Roman"/>
          <w:color w:val="000000"/>
          <w:sz w:val="24"/>
        </w:rPr>
        <w:br/>
      </w:r>
      <w:r>
        <w:rPr>
          <w:rFonts w:ascii="Times New Roman" w:hAnsi="Times New Roman" w:eastAsia="Times New Roman"/>
          <w:color w:val="000000"/>
          <w:sz w:val="24"/>
        </w:rPr>
        <w:t xml:space="preserve">Unit No. 3051, Tower No. 03, Type-D</w:t>
      </w:r>
      <w:r>
        <w:rPr>
          <w:rFonts w:ascii="Times New Roman" w:hAnsi="Times New Roman" w:eastAsia="Times New Roman"/>
          <w:color w:val="000000"/>
          <w:sz w:val="24"/>
        </w:rPr>
        <w:br/>
      </w:r>
      <w:r>
        <w:rPr>
          <w:rFonts w:ascii="Times New Roman" w:hAnsi="Times New Roman" w:eastAsia="Times New Roman"/>
          <w:color w:val="000000"/>
          <w:sz w:val="24"/>
        </w:rPr>
        <w:t xml:space="preserve">ATS Grandstand Phase-I, Sector 99A, Gurugram</w:t>
      </w:r>
    </w:p>
    <w:p>
      <w:pPr>
        <w:pStyle w:val="BodyText"/>
        <w:spacing w:after="120" w:line="276" w:lineRule="auto"/>
        <w:jc w:val="both"/>
      </w:pP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Co-allottee</w:t>
      </w:r>
      <w:r>
        <w:rPr>
          <w:rFonts w:ascii="Times New Roman" w:hAnsi="Times New Roman" w:eastAsia="Times New Roman"/>
          <w:color w:val="000000"/>
          <w:sz w:val="24"/>
        </w:rPr>
        <w:br/>
      </w:r>
      <w:r>
        <w:rPr>
          <w:rFonts w:ascii="Times New Roman" w:hAnsi="Times New Roman" w:eastAsia="Times New Roman"/>
          <w:color w:val="000000"/>
          <w:sz w:val="24"/>
        </w:rPr>
        <w:t xml:space="preserve">Mrs. </w:t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Vineeta Agarwal</w:t>
      </w:r>
    </w:p>
    <w:p>
      <w:pPr>
        <w:pStyle w:val="BodyText"/>
        <w:spacing w:after="120" w:line="276" w:lineRule="auto"/>
        <w:jc w:val="both"/>
      </w:pP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Place: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New Delhi</w:t>
      </w:r>
      <w:r>
        <w:rPr>
          <w:rFonts w:ascii="Times New Roman" w:hAnsi="Times New Roman" w:eastAsia="Times New Roman"/>
          <w:color w:val="000000"/>
          <w:sz w:val="24"/>
        </w:rPr>
        <w:br/>
      </w:r>
      <w:r>
        <w:rPr>
          <w:rFonts w:ascii="Times New Roman" w:hAnsi="Times New Roman" w:eastAsia="Times New Roman"/>
          <w:b/>
          <w:bCs/>
          <w:color w:val="000000"/>
          <w:sz w:val="24"/>
        </w:rPr>
        <w:t xml:space="preserve">Date:</w:t>
      </w:r>
      <w:r>
        <w:rPr>
          <w:rFonts w:ascii="Times New Roman" w:hAnsi="Times New Roman" w:eastAsia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</w:rPr>
        <w:t xml:space="preserve">15.06.2026</w:t>
      </w:r>
    </w:p>
    <w:p>
      <w:pPr>
        <w:spacing w:after="120" w:line="276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pict>
          <v:rect style="width:0;height:1.5pt" o:hralign="center" o:hrstd="t" o:hr="t"/>
        </w:pict>
      </w:r>
    </w:p>
    <w:p>
      <w:pPr>
        <w:pStyle w:val="FirstParagraph"/>
        <w:spacing w:after="120" w:line="276" w:lineRule="auto"/>
        <w:jc w:val="both"/>
      </w:pPr>
      <w:r>
        <w:rPr>
          <w:rFonts w:ascii="Times New Roman" w:hAnsi="Times New Roman" w:eastAsia="Times New Roman"/>
          <w:i/>
          <w:iCs/>
          <w:color w:val="000000"/>
          <w:sz w:val="24"/>
        </w:rPr>
        <w:t xml:space="preserve">Note: Fill in [●] execution number and exact filing date from annexure E1/E2 before dispatch.</w:t>
      </w:r>
    </w:p>
    <w:bookmarkEnd w:id="22"/>
    <w:bookmarkEnd w:id="23"/>
    <w:sectPr>
      <w:headerReference w:type="default" r:id="rId9"/>
      <w:footnotePr>
        <w:numRestart w:val="eachSect"/>
      </w:footnotePr>
      <w:pgMar w:top="1440" w:bottom="1440" w:left="1584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Times New Roman"/>
        <w:b/>
        <w:color w:val="404040"/>
        <w:sz w:val="18"/>
      </w:rPr>
      <w:t>Composite Execution Application | Complaint 4463/2021 | Unit 3051 | ATS Grandstand Sector 99A</w:t>
    </w:r>
  </w:p>
  <w:p>
    <w:pPr>
      <w:jc w:val="center"/>
    </w:pPr>
    <w:r>
      <w:rPr>
        <w:rFonts w:ascii="Times New Roman" w:hAnsi="Times New Roman"/>
        <w:b/>
        <w:color w:val="404040"/>
        <w:sz w:val="18"/>
      </w:rPr>
      <w:t xml:space="preserve">Page </w:t>
      <w:fldChar w:fldCharType="begin"/>
      <w:instrText xml:space="preserve">PAGE</w:instrText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1"/>
  </w:num>
  <w:num w:numId="100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6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1"/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/>
      <w:b/>
      <w:color w:val="000000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/>
      <w:b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/>
      <w:b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/>
      <w:b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2026-06-15T12:10:00Z</dcterms:created>
  <dcterms:modified xsi:type="dcterms:W3CDTF">2026-06-15T12:10:00Z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