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8d140067a64c220912a35c5469882f1965f9746"/>
    <w:p>
      <w:pPr>
        <w:pStyle w:val="Heading1"/>
      </w:pPr>
      <w:r>
        <w:t xml:space="preserve">Rejoinder / Further Representation — Inadequate Response to Objections on Plan Revision and Non-Compliance with HARERA Order</w:t>
      </w:r>
    </w:p>
    <w:p>
      <w:pPr>
        <w:pStyle w:val="FirstParagraph"/>
      </w:pPr>
      <w:r>
        <w:rPr>
          <w:b/>
          <w:bCs/>
        </w:rPr>
        <w:t xml:space="preserve">Document date:</w:t>
      </w:r>
      <w:r>
        <w:t xml:space="preserve"> </w:t>
      </w:r>
      <w:r>
        <w:t xml:space="preserve">31 May 2026</w:t>
      </w:r>
      <w:r>
        <w:br/>
      </w:r>
      <w:r>
        <w:rPr>
          <w:b/>
          <w:bCs/>
        </w:rPr>
        <w:t xml:space="preserve">File:</w:t>
      </w:r>
      <w:r>
        <w:t xml:space="preserve"> </w:t>
      </w:r>
      <w:r>
        <w:rPr>
          <w:rStyle w:val="VerbatimChar"/>
        </w:rPr>
        <w:t xml:space="preserve">6_Rejoinder_to_ATS_Reply_31-05-2026.md</w:t>
      </w:r>
    </w:p>
    <w:p>
      <w:r>
        <w:pict>
          <v:rect style="width:0;height:1.5pt" o:hralign="center" o:hrstd="t" o:hr="t"/>
        </w:pict>
      </w:r>
    </w:p>
    <w:p>
      <w:pPr>
        <w:pStyle w:val="FirstParagraph"/>
      </w:pPr>
      <w:r>
        <w:rPr>
          <w:b/>
          <w:bCs/>
        </w:rPr>
        <w:t xml:space="preserve">From:</w:t>
      </w:r>
      <w:r>
        <w:br/>
      </w:r>
      <w:r>
        <w:t xml:space="preserve">Mr. Vijyant Agarwal</w:t>
      </w:r>
      <w:r>
        <w:br/>
      </w:r>
      <w:r>
        <w:t xml:space="preserve">Allottee / Complainant</w:t>
      </w:r>
      <w:r>
        <w:br/>
      </w:r>
      <w:r>
        <w:t xml:space="preserve">Unit No. 3051, Tower No. 03, Type-D</w:t>
      </w:r>
      <w:r>
        <w:br/>
      </w:r>
      <w:r>
        <w:t xml:space="preserve">ATS Grandstand Phase-I, Sector 99A, Gurugram</w:t>
      </w:r>
      <w:r>
        <w:br/>
      </w:r>
      <w:r>
        <w:t xml:space="preserve">Co-allottee: Mrs. Vineeta Agarwal</w:t>
      </w:r>
      <w:r>
        <w:br/>
      </w:r>
      <w:r>
        <w:t xml:space="preserve">Address: House No. 07, Type V, Netaji Subhas University of Technology, Sector-03, Dwarka, New Delhi-110078</w:t>
      </w:r>
      <w:r>
        <w:br/>
      </w:r>
      <w:r>
        <w:t xml:space="preserve">Email: [●]</w:t>
      </w:r>
      <w:r>
        <w:br/>
      </w:r>
      <w:r>
        <w:t xml:space="preserve">Mobile: [●]</w:t>
      </w:r>
    </w:p>
    <w:p>
      <w:pPr>
        <w:pStyle w:val="BodyText"/>
      </w:pPr>
      <w:r>
        <w:rPr>
          <w:b/>
          <w:bCs/>
        </w:rPr>
        <w:t xml:space="preserve">Date:</w:t>
      </w:r>
      <w:r>
        <w:t xml:space="preserve"> </w:t>
      </w:r>
      <w:r>
        <w:t xml:space="preserve">31.05.2026</w:t>
      </w:r>
    </w:p>
    <w:p>
      <w:pPr>
        <w:pStyle w:val="BodyText"/>
      </w:pPr>
      <w:r>
        <w:rPr>
          <w:b/>
          <w:bCs/>
        </w:rPr>
        <w:t xml:space="preserve">To,</w:t>
      </w:r>
      <w:r>
        <w:br/>
      </w:r>
      <w:r>
        <w:t xml:space="preserve">The Authorised Signatory / Customer Relations Head</w:t>
      </w:r>
      <w:r>
        <w:br/>
      </w:r>
      <w:r>
        <w:t xml:space="preserve">M/s Hasta Infrastructure Pvt. Ltd. / ATS Realworth Pvt. Ltd. / Homekraft Infra Pvt. Ltd.</w:t>
      </w:r>
      <w:r>
        <w:br/>
      </w:r>
      <w:r>
        <w:t xml:space="preserve">ATS Tower, Plot No. 16, Sector-135, Noida</w:t>
      </w:r>
      <w:r>
        <w:br/>
      </w:r>
      <w:r>
        <w:t xml:space="preserve">Also at: Project Site Office, ATS Grandstand, Sector 99A, Gurugram</w:t>
      </w:r>
    </w:p>
    <w:p>
      <w:pPr>
        <w:pStyle w:val="BodyText"/>
      </w:pPr>
      <w:r>
        <w:rPr>
          <w:b/>
          <w:bCs/>
        </w:rPr>
        <w:t xml:space="preserve">CC:</w:t>
      </w:r>
      <w:r>
        <w:br/>
      </w:r>
      <w:r>
        <w:t xml:space="preserve">1. The Senior Town Planner, Gurugram, HSVP Complex, Sector-14, Gurugram, Haryana</w:t>
      </w:r>
      <w:r>
        <w:br/>
      </w:r>
      <w:r>
        <w:t xml:space="preserve">2. The Director, Town &amp; Country Planning, Haryana, Chandigarh</w:t>
      </w:r>
      <w:r>
        <w:br/>
      </w:r>
      <w:r>
        <w:t xml:space="preserve">3. Haryana Real Estate Regulatory Authority, Gurugram</w:t>
      </w:r>
      <w:r>
        <w:br/>
      </w:r>
      <w:r>
        <w:t xml:space="preserve">4. PNB Housing Finance Ltd.</w:t>
      </w:r>
    </w:p>
    <w:bookmarkStart w:id="9" w:name="subject"/>
    <w:p>
      <w:pPr>
        <w:pStyle w:val="Heading2"/>
      </w:pPr>
      <w:r>
        <w:t xml:space="preserve">Subject</w:t>
      </w:r>
    </w:p>
    <w:p>
      <w:pPr>
        <w:pStyle w:val="FirstParagraph"/>
      </w:pPr>
      <w:r>
        <w:rPr>
          <w:b/>
          <w:bCs/>
        </w:rPr>
        <w:t xml:space="preserve">Rejoinder to your email reply regarding non-service of individual notice, incomplete website disclosure, and reservation of objection/non-consent — ATS Grandstand Phase-I, Sector 99A, Gurugram, Unit No. 3051</w:t>
      </w:r>
    </w:p>
    <w:bookmarkEnd w:id="9"/>
    <w:bookmarkStart w:id="10" w:name="references"/>
    <w:p>
      <w:pPr>
        <w:pStyle w:val="Heading2"/>
      </w:pPr>
      <w:r>
        <w:t xml:space="preserve">References</w:t>
      </w:r>
    </w:p>
    <w:p>
      <w:pPr>
        <w:pStyle w:val="Compact"/>
        <w:numPr>
          <w:ilvl w:val="0"/>
          <w:numId w:val="1001"/>
        </w:numPr>
      </w:pPr>
      <w:r>
        <w:t xml:space="preserve">My Representation / Objection dated</w:t>
      </w:r>
      <w:r>
        <w:t xml:space="preserve"> </w:t>
      </w:r>
      <w:r>
        <w:rPr>
          <w:b/>
          <w:bCs/>
        </w:rPr>
        <w:t xml:space="preserve">17.05.2026</w:t>
      </w:r>
      <w:r>
        <w:t xml:space="preserve"> </w:t>
      </w:r>
      <w:r>
        <w:t xml:space="preserve">(earlier letter on the same subject).</w:t>
      </w:r>
      <w:r>
        <w:br/>
      </w:r>
    </w:p>
    <w:p>
      <w:pPr>
        <w:pStyle w:val="Compact"/>
        <w:numPr>
          <w:ilvl w:val="0"/>
          <w:numId w:val="1001"/>
        </w:numPr>
      </w:pPr>
      <w:r>
        <w:t xml:space="preserve">Your email reply in response to my email dated 17.05.2026, with enclosures from folder</w:t>
      </w:r>
      <w:r>
        <w:t xml:space="preserve"> </w:t>
      </w:r>
      <w:r>
        <w:rPr>
          <w:rStyle w:val="VerbatimChar"/>
        </w:rPr>
        <w:t xml:space="preserve">Reply by ATS</w:t>
      </w:r>
      <w:r>
        <w:t xml:space="preserve">.</w:t>
      </w:r>
      <w:r>
        <w:br/>
      </w:r>
    </w:p>
    <w:p>
      <w:pPr>
        <w:pStyle w:val="Compact"/>
        <w:numPr>
          <w:ilvl w:val="0"/>
          <w:numId w:val="1001"/>
        </w:numPr>
      </w:pPr>
      <w:r>
        <w:rPr>
          <w:b/>
          <w:bCs/>
        </w:rPr>
        <w:t xml:space="preserve">HARERA, Gurugram Order dated 18.04.2024</w:t>
      </w:r>
      <w:r>
        <w:t xml:space="preserve"> </w:t>
      </w:r>
      <w:r>
        <w:t xml:space="preserve">in Complaint No. 4463 of 2021,</w:t>
      </w:r>
      <w:r>
        <w:t xml:space="preserve"> </w:t>
      </w:r>
      <w:r>
        <w:rPr>
          <w:i/>
          <w:iCs/>
        </w:rPr>
        <w:t xml:space="preserve">Vijyant Agarwal &amp; Anr. v. ATS Realworth Pvt. Ltd.</w:t>
      </w:r>
      <w:r>
        <w:t xml:space="preserve"> </w:t>
      </w:r>
      <w:r>
        <w:t xml:space="preserve">(</w:t>
      </w:r>
      <w:r>
        <w:rPr>
          <w:rStyle w:val="VerbatimChar"/>
        </w:rPr>
        <w:t xml:space="preserve">9.ORDER APRIL 2024 RERA ATS .pdf</w:t>
      </w:r>
      <w:r>
        <w:t xml:space="preserve">).</w:t>
      </w:r>
      <w:r>
        <w:br/>
      </w:r>
    </w:p>
    <w:p>
      <w:pPr>
        <w:pStyle w:val="Compact"/>
        <w:numPr>
          <w:ilvl w:val="0"/>
          <w:numId w:val="1001"/>
        </w:numPr>
      </w:pPr>
      <w:r>
        <w:rPr>
          <w:b/>
          <w:bCs/>
        </w:rPr>
        <w:t xml:space="preserve">Certified copy of HARERA order</w:t>
      </w:r>
      <w:r>
        <w:t xml:space="preserve"> </w:t>
      </w:r>
      <w:r>
        <w:t xml:space="preserve">including rectification proceedings dated</w:t>
      </w:r>
      <w:r>
        <w:t xml:space="preserve"> </w:t>
      </w:r>
      <w:r>
        <w:rPr>
          <w:b/>
          <w:bCs/>
        </w:rPr>
        <w:t xml:space="preserve">08.08.2024</w:t>
      </w:r>
      <w:r>
        <w:t xml:space="preserve"> </w:t>
      </w:r>
      <w:r>
        <w:t xml:space="preserve">under Section 39 of the Act (</w:t>
      </w:r>
      <w:r>
        <w:rPr>
          <w:rStyle w:val="VerbatimChar"/>
        </w:rPr>
        <w:t xml:space="preserve">10.certified copy of order.pdf</w:t>
      </w:r>
      <w:r>
        <w:t xml:space="preserve">).</w:t>
      </w:r>
      <w:r>
        <w:br/>
      </w:r>
    </w:p>
    <w:p>
      <w:pPr>
        <w:pStyle w:val="Compact"/>
        <w:numPr>
          <w:ilvl w:val="0"/>
          <w:numId w:val="1001"/>
        </w:numPr>
      </w:pPr>
      <w:r>
        <w:t xml:space="preserve">DTCP in-principle approval Memo No. LC-2806/JE(AK)/2025/46794 dated 10.12.2025 (change of developer).</w:t>
      </w:r>
      <w:r>
        <w:br/>
      </w:r>
    </w:p>
    <w:p>
      <w:pPr>
        <w:pStyle w:val="Compact"/>
        <w:numPr>
          <w:ilvl w:val="0"/>
          <w:numId w:val="1001"/>
        </w:numPr>
      </w:pPr>
      <w:r>
        <w:t xml:space="preserve">DTCP permission Memo No. </w:t>
      </w:r>
      <w:r>
        <w:rPr>
          <w:b/>
          <w:bCs/>
        </w:rPr>
        <w:t xml:space="preserve">ZP-938-II/SD(RD)/2026/15567</w:t>
      </w:r>
      <w:r>
        <w:t xml:space="preserve"> </w:t>
      </w:r>
      <w:r>
        <w:t xml:space="preserve">dated 04.05.2026 (revision in building plans).</w:t>
      </w:r>
      <w:r>
        <w:br/>
      </w:r>
    </w:p>
    <w:p>
      <w:pPr>
        <w:pStyle w:val="Compact"/>
        <w:numPr>
          <w:ilvl w:val="0"/>
          <w:numId w:val="1001"/>
        </w:numPr>
      </w:pPr>
      <w:r>
        <w:t xml:space="preserve">Individual notice dated 07.05.2026 issued to another allottee (Unit 2101).</w:t>
      </w:r>
    </w:p>
    <w:p>
      <w:pPr>
        <w:pStyle w:val="FirstParagraph"/>
      </w:pPr>
      <w:r>
        <w:t xml:space="preserve">Respected Sir/Madam,</w:t>
      </w:r>
    </w:p>
    <w:p>
      <w:pPr>
        <w:pStyle w:val="BodyText"/>
      </w:pPr>
      <w:r>
        <w:t xml:space="preserve">I acknowledge receipt of your email reply and the documents enclosed therewith, including the response letter, DTCP permission dated 04.05.2026, earlier/revised site plans, comparative chart, and intimation material. However, your reply does</w:t>
      </w:r>
      <w:r>
        <w:t xml:space="preserve"> </w:t>
      </w:r>
      <w:r>
        <w:rPr>
          <w:b/>
          <w:bCs/>
        </w:rPr>
        <w:t xml:space="preserve">not</w:t>
      </w:r>
      <w:r>
        <w:t xml:space="preserve"> </w:t>
      </w:r>
      <w:r>
        <w:t xml:space="preserve">satisfactorily address my objections. Several responses are evasive, incomplete, or inconsistent with the statutory record. I hereby place my</w:t>
      </w:r>
      <w:r>
        <w:t xml:space="preserve"> </w:t>
      </w:r>
      <w:r>
        <w:rPr>
          <w:b/>
          <w:bCs/>
        </w:rPr>
        <w:t xml:space="preserve">point-wise rejoinder</w:t>
      </w:r>
      <w:r>
        <w:t xml:space="preserve"> </w:t>
      </w:r>
      <w:r>
        <w:t xml:space="preserve">on record.</w:t>
      </w:r>
    </w:p>
    <w:p>
      <w:r>
        <w:pict>
          <v:rect style="width:0;height:1.5pt" o:hralign="center" o:hrstd="t" o:hr="t"/>
        </w:pict>
      </w:r>
    </w:p>
    <w:bookmarkEnd w:id="10"/>
    <w:bookmarkStart w:id="11" w:name="X02ace4d89b21c7ecf5f29e605893200cdfb8d46"/>
    <w:p>
      <w:pPr>
        <w:pStyle w:val="Heading2"/>
      </w:pPr>
      <w:r>
        <w:t xml:space="preserve">A. Binding HARERA background (not outside scope)</w:t>
      </w:r>
    </w:p>
    <w:p>
      <w:pPr>
        <w:pStyle w:val="FirstParagraph"/>
      </w:pPr>
      <w:r>
        <w:t xml:space="preserve">Your reply treats my queries on pre-EMI, possession, construction status, and escrow account (Points 12 and 13) as unrelated to the plan-revision exercise. This position is</w:t>
      </w:r>
      <w:r>
        <w:t xml:space="preserve"> </w:t>
      </w:r>
      <w:r>
        <w:rPr>
          <w:b/>
          <w:bCs/>
        </w:rPr>
        <w:t xml:space="preserve">legally untenable</w:t>
      </w:r>
      <w:r>
        <w:t xml:space="preserve">.</w:t>
      </w:r>
    </w:p>
    <w:p>
      <w:pPr>
        <w:pStyle w:val="BodyText"/>
      </w:pPr>
      <w:r>
        <w:t xml:space="preserve">The HARERA Order dated</w:t>
      </w:r>
      <w:r>
        <w:t xml:space="preserve"> </w:t>
      </w:r>
      <w:r>
        <w:rPr>
          <w:b/>
          <w:bCs/>
        </w:rPr>
        <w:t xml:space="preserve">18.04.2024</w:t>
      </w:r>
      <w:r>
        <w:t xml:space="preserve"> </w:t>
      </w:r>
      <w:r>
        <w:t xml:space="preserve">in Complaint No. </w:t>
      </w:r>
      <w:r>
        <w:rPr>
          <w:b/>
          <w:bCs/>
        </w:rPr>
        <w:t xml:space="preserve">4463 of 2021</w:t>
      </w:r>
      <w:r>
        <w:t xml:space="preserve"> </w:t>
      </w:r>
      <w:r>
        <w:t xml:space="preserve">is a final authority order against ATS Realworth Pvt. Ltd. in respect of my unit. The</w:t>
      </w:r>
      <w:r>
        <w:t xml:space="preserve"> </w:t>
      </w:r>
      <w:r>
        <w:rPr>
          <w:b/>
          <w:bCs/>
        </w:rPr>
        <w:t xml:space="preserve">certified copy</w:t>
      </w:r>
      <w:r>
        <w:t xml:space="preserve"> </w:t>
      </w:r>
      <w:r>
        <w:t xml:space="preserve">further records that:</w:t>
      </w:r>
    </w:p>
    <w:p>
      <w:pPr>
        <w:pStyle w:val="Compact"/>
        <w:numPr>
          <w:ilvl w:val="0"/>
          <w:numId w:val="1002"/>
        </w:numPr>
      </w:pPr>
      <w:r>
        <w:t xml:space="preserve">rectification under Section 39 was</w:t>
      </w:r>
      <w:r>
        <w:t xml:space="preserve"> </w:t>
      </w:r>
      <w:r>
        <w:rPr>
          <w:b/>
          <w:bCs/>
        </w:rPr>
        <w:t xml:space="preserve">allowed</w:t>
      </w:r>
      <w:r>
        <w:t xml:space="preserve"> </w:t>
      </w:r>
      <w:r>
        <w:t xml:space="preserve">on 08.08.2024;</w:t>
      </w:r>
    </w:p>
    <w:p>
      <w:pPr>
        <w:pStyle w:val="Compact"/>
        <w:numPr>
          <w:ilvl w:val="0"/>
          <w:numId w:val="1002"/>
        </w:numPr>
      </w:pPr>
      <w:r>
        <w:t xml:space="preserve">Rs. 7,20,000/- is the booking amount and the balance was routed through PNB Housing Finance Ltd.;</w:t>
      </w:r>
    </w:p>
    <w:p>
      <w:pPr>
        <w:pStyle w:val="Compact"/>
        <w:numPr>
          <w:ilvl w:val="0"/>
          <w:numId w:val="1002"/>
        </w:numPr>
      </w:pPr>
      <w:r>
        <w:t xml:space="preserve">the respondent is bound to pay pre-EMI till offer of possession on the loan amount received from the financial institution;</w:t>
      </w:r>
    </w:p>
    <w:p>
      <w:pPr>
        <w:pStyle w:val="Compact"/>
        <w:numPr>
          <w:ilvl w:val="0"/>
          <w:numId w:val="1002"/>
        </w:numPr>
      </w:pPr>
      <w:r>
        <w:t xml:space="preserve">the respondent must disclose construction status, possession date, and escrow account details;</w:t>
      </w:r>
    </w:p>
    <w:p>
      <w:pPr>
        <w:pStyle w:val="Compact"/>
        <w:numPr>
          <w:ilvl w:val="0"/>
          <w:numId w:val="1002"/>
        </w:numPr>
      </w:pPr>
      <w:r>
        <w:t xml:space="preserve">the respondent’s defence was</w:t>
      </w:r>
      <w:r>
        <w:t xml:space="preserve"> </w:t>
      </w:r>
      <w:r>
        <w:rPr>
          <w:b/>
          <w:bCs/>
        </w:rPr>
        <w:t xml:space="preserve">struck off</w:t>
      </w:r>
      <w:r>
        <w:t xml:space="preserve"> </w:t>
      </w:r>
      <w:r>
        <w:t xml:space="preserve">for failure to file written reply.</w:t>
      </w:r>
    </w:p>
    <w:p>
      <w:pPr>
        <w:pStyle w:val="FirstParagraph"/>
      </w:pPr>
      <w:r>
        <w:t xml:space="preserve">These obligations remain</w:t>
      </w:r>
      <w:r>
        <w:t xml:space="preserve"> </w:t>
      </w:r>
      <w:r>
        <w:rPr>
          <w:b/>
          <w:bCs/>
        </w:rPr>
        <w:t xml:space="preserve">fully binding</w:t>
      </w:r>
      <w:r>
        <w:t xml:space="preserve"> </w:t>
      </w:r>
      <w:r>
        <w:t xml:space="preserve">on the existing and proposed developer/promoter. Any revised plan, change of developer, or extended possession timeline cannot be used to override, dilute, or postpone compliance with the HARERA order.</w:t>
      </w:r>
    </w:p>
    <w:p>
      <w:r>
        <w:pict>
          <v:rect style="width:0;height:1.5pt" o:hralign="center" o:hrstd="t" o:hr="t"/>
        </w:pict>
      </w:r>
    </w:p>
    <w:bookmarkEnd w:id="11"/>
    <w:bookmarkStart w:id="12" w:name="b.-point-wise-rejoinder-to-your-reply"/>
    <w:p>
      <w:pPr>
        <w:pStyle w:val="Heading2"/>
      </w:pPr>
      <w:r>
        <w:t xml:space="preserve">B. Point-wise rejoinder to your reply</w:t>
      </w:r>
    </w:p>
    <w:tbl>
      <w:tblPr>
        <w:tblStyle w:val="Table"/>
        <w:tblW w:type="pct" w:w="5000"/>
        <w:tblLayout w:type="fixed"/>
        <w:tblLook w:firstRow="1" w:lastRow="0" w:firstColumn="0" w:lastColumn="0" w:noHBand="0" w:noVBand="0" w:val="0020"/>
      </w:tblPr>
      <w:tblGrid>
        <w:gridCol w:w="848"/>
        <w:gridCol w:w="1555"/>
        <w:gridCol w:w="3535"/>
        <w:gridCol w:w="1980"/>
      </w:tblGrid>
      <w:tr>
        <w:trPr>
          <w:tblHeader w:val="on"/>
        </w:trPr>
        <w:tc>
          <w:tcPr/>
          <w:p>
            <w:pPr>
              <w:pStyle w:val="Compact"/>
            </w:pPr>
            <w:r>
              <w:t xml:space="preserve">S.No.</w:t>
            </w:r>
          </w:p>
        </w:tc>
        <w:tc>
          <w:tcPr/>
          <w:p>
            <w:pPr>
              <w:pStyle w:val="Compact"/>
            </w:pPr>
            <w:r>
              <w:t xml:space="preserve">My demand</w:t>
            </w:r>
          </w:p>
        </w:tc>
        <w:tc>
          <w:tcPr/>
          <w:p>
            <w:pPr>
              <w:pStyle w:val="Compact"/>
            </w:pPr>
            <w:r>
              <w:t xml:space="preserve">Your response (summary)</w:t>
            </w:r>
          </w:p>
        </w:tc>
        <w:tc>
          <w:tcPr/>
          <w:p>
            <w:pPr>
              <w:pStyle w:val="Compact"/>
            </w:pPr>
            <w:r>
              <w:t xml:space="preserve">My rejoinder</w:t>
            </w:r>
          </w:p>
        </w:tc>
      </w:tr>
      <w:tr>
        <w:tc>
          <w:tcPr/>
          <w:p>
            <w:pPr>
              <w:pStyle w:val="Compact"/>
            </w:pPr>
            <w:r>
              <w:rPr>
                <w:b/>
                <w:bCs/>
              </w:rPr>
              <w:t xml:space="preserve">1</w:t>
            </w:r>
          </w:p>
        </w:tc>
        <w:tc>
          <w:tcPr/>
          <w:p>
            <w:pPr>
              <w:pStyle w:val="Compact"/>
            </w:pPr>
            <w:r>
              <w:t xml:space="preserve">Copy of DTCP permission ZP-938-II/SD(RD)/2026/15567 dated 04.05.2026</w:t>
            </w:r>
          </w:p>
        </w:tc>
        <w:tc>
          <w:tcPr/>
          <w:p>
            <w:pPr>
              <w:pStyle w:val="Compact"/>
            </w:pPr>
            <w:r>
              <w:t xml:space="preserve">Enclosed; also uploaded on website</w:t>
            </w:r>
          </w:p>
        </w:tc>
        <w:tc>
          <w:tcPr/>
          <w:p>
            <w:pPr>
              <w:pStyle w:val="Compact"/>
            </w:pPr>
            <w:r>
              <w:t xml:space="preserve">Accepted only as partial compliance. Your reply itself misspells the memo number as</w:t>
            </w:r>
            <w:r>
              <w:t xml:space="preserve"> </w:t>
            </w:r>
            <w:r>
              <w:rPr>
                <w:b/>
                <w:bCs/>
              </w:rPr>
              <w:t xml:space="preserve">ZP-983-II</w:t>
            </w:r>
            <w:r>
              <w:t xml:space="preserve"> </w:t>
            </w:r>
            <w:r>
              <w:t xml:space="preserve">instead of</w:t>
            </w:r>
            <w:r>
              <w:t xml:space="preserve"> </w:t>
            </w:r>
            <w:r>
              <w:rPr>
                <w:b/>
                <w:bCs/>
              </w:rPr>
              <w:t xml:space="preserve">ZP-938-II</w:t>
            </w:r>
            <w:r>
              <w:t xml:space="preserve">, which raises concern about accuracy. I reserve right to verify authenticity with DTCP/STP Gurugram.</w:t>
            </w:r>
          </w:p>
        </w:tc>
      </w:tr>
      <w:tr>
        <w:tc>
          <w:tcPr/>
          <w:p>
            <w:pPr>
              <w:pStyle w:val="Compact"/>
            </w:pPr>
            <w:r>
              <w:rPr>
                <w:b/>
                <w:bCs/>
              </w:rPr>
              <w:t xml:space="preserve">2</w:t>
            </w:r>
          </w:p>
        </w:tc>
        <w:tc>
          <w:tcPr/>
          <w:p>
            <w:pPr>
              <w:pStyle w:val="Compact"/>
            </w:pPr>
            <w:r>
              <w:t xml:space="preserve">Earlier sanctioned building/layout plans</w:t>
            </w:r>
          </w:p>
        </w:tc>
        <w:tc>
          <w:tcPr/>
          <w:p>
            <w:pPr>
              <w:pStyle w:val="Compact"/>
            </w:pPr>
            <w:r>
              <w:t xml:space="preserve">Enclosed site plan; also on website</w:t>
            </w:r>
          </w:p>
        </w:tc>
        <w:tc>
          <w:tcPr/>
          <w:p>
            <w:pPr>
              <w:pStyle w:val="Compact"/>
            </w:pPr>
            <w:r>
              <w:t xml:space="preserve">Enclosure noted. However, website still does not provide complete, downloadable, tower-wise and unit-wise plan set in usable form. Partial upload cannot substitute individual supply.</w:t>
            </w:r>
          </w:p>
        </w:tc>
      </w:tr>
      <w:tr>
        <w:tc>
          <w:tcPr/>
          <w:p>
            <w:pPr>
              <w:pStyle w:val="Compact"/>
            </w:pPr>
            <w:r>
              <w:rPr>
                <w:b/>
                <w:bCs/>
              </w:rPr>
              <w:t xml:space="preserve">3</w:t>
            </w:r>
          </w:p>
        </w:tc>
        <w:tc>
          <w:tcPr/>
          <w:p>
            <w:pPr>
              <w:pStyle w:val="Compact"/>
            </w:pPr>
            <w:r>
              <w:t xml:space="preserve">Revised plans showing all changes</w:t>
            </w:r>
          </w:p>
        </w:tc>
        <w:tc>
          <w:tcPr/>
          <w:p>
            <w:pPr>
              <w:pStyle w:val="Compact"/>
            </w:pPr>
            <w:r>
              <w:t xml:space="preserve">Enclosed overall site plans</w:t>
            </w:r>
          </w:p>
        </w:tc>
        <w:tc>
          <w:tcPr/>
          <w:p>
            <w:pPr>
              <w:pStyle w:val="Compact"/>
            </w:pPr>
            <w:r>
              <w:t xml:space="preserve">Overall site plans alone are insufficient. I require</w:t>
            </w:r>
            <w:r>
              <w:t xml:space="preserve"> </w:t>
            </w:r>
            <w:r>
              <w:rPr>
                <w:b/>
                <w:bCs/>
              </w:rPr>
              <w:t xml:space="preserve">tower-wise, floor-wise, and unit-wise</w:t>
            </w:r>
            <w:r>
              <w:t xml:space="preserve"> </w:t>
            </w:r>
            <w:r>
              <w:t xml:space="preserve">revised drawings for Tower 03 and Unit 3051.</w:t>
            </w:r>
          </w:p>
        </w:tc>
      </w:tr>
      <w:tr>
        <w:tc>
          <w:tcPr/>
          <w:p>
            <w:pPr>
              <w:pStyle w:val="Compact"/>
            </w:pPr>
            <w:r>
              <w:rPr>
                <w:b/>
                <w:bCs/>
              </w:rPr>
              <w:t xml:space="preserve">4</w:t>
            </w:r>
          </w:p>
        </w:tc>
        <w:tc>
          <w:tcPr/>
          <w:p>
            <w:pPr>
              <w:pStyle w:val="Compact"/>
            </w:pPr>
            <w:r>
              <w:t xml:space="preserve">Item-wise comparative statement</w:t>
            </w:r>
          </w:p>
        </w:tc>
        <w:tc>
          <w:tcPr/>
          <w:p>
            <w:pPr>
              <w:pStyle w:val="Compact"/>
            </w:pPr>
            <w:r>
              <w:t xml:space="preserve">Comparative chart enclosed</w:t>
            </w:r>
          </w:p>
        </w:tc>
        <w:tc>
          <w:tcPr/>
          <w:p>
            <w:pPr>
              <w:pStyle w:val="Compact"/>
            </w:pPr>
            <w:r>
              <w:t xml:space="preserve">Reviewed. The chart itself shows material adverse changes, including increase in total main units from</w:t>
            </w:r>
            <w:r>
              <w:t xml:space="preserve"> </w:t>
            </w:r>
            <w:r>
              <w:rPr>
                <w:b/>
                <w:bCs/>
              </w:rPr>
              <w:t xml:space="preserve">522 to 734</w:t>
            </w:r>
            <w:r>
              <w:t xml:space="preserve">, reduction in ECS parking from</w:t>
            </w:r>
            <w:r>
              <w:t xml:space="preserve"> </w:t>
            </w:r>
            <w:r>
              <w:rPr>
                <w:b/>
                <w:bCs/>
              </w:rPr>
              <w:t xml:space="preserve">999 to 957</w:t>
            </w:r>
            <w:r>
              <w:t xml:space="preserve">, reduction in open/green area from</w:t>
            </w:r>
            <w:r>
              <w:t xml:space="preserve"> </w:t>
            </w:r>
            <w:r>
              <w:rPr>
                <w:b/>
                <w:bCs/>
              </w:rPr>
              <w:t xml:space="preserve">14345.86 sqm to 10934.25 sqm</w:t>
            </w:r>
            <w:r>
              <w:t xml:space="preserve">, and increase in proposed density. These changes require explicit allottee-specific impact disclosure, not a summary chart alone.</w:t>
            </w:r>
          </w:p>
        </w:tc>
      </w:tr>
      <w:tr>
        <w:tc>
          <w:tcPr/>
          <w:p>
            <w:pPr>
              <w:pStyle w:val="Compact"/>
            </w:pPr>
            <w:r>
              <w:rPr>
                <w:b/>
                <w:bCs/>
              </w:rPr>
              <w:t xml:space="preserve">5</w:t>
            </w:r>
          </w:p>
        </w:tc>
        <w:tc>
          <w:tcPr/>
          <w:p>
            <w:pPr>
              <w:pStyle w:val="Compact"/>
            </w:pPr>
            <w:r>
              <w:t xml:space="preserve">Tower-wise/unit-wise impact note for Tower 03 / Unit 3051</w:t>
            </w:r>
          </w:p>
        </w:tc>
        <w:tc>
          <w:tcPr/>
          <w:p>
            <w:pPr>
              <w:pStyle w:val="Compact"/>
            </w:pPr>
            <w:r>
              <w:t xml:space="preserve">Refer comparative chart</w:t>
            </w:r>
          </w:p>
        </w:tc>
        <w:tc>
          <w:tcPr/>
          <w:p>
            <w:pPr>
              <w:pStyle w:val="Compact"/>
            </w:pPr>
            <w:r>
              <w:rPr>
                <w:b/>
                <w:bCs/>
              </w:rPr>
              <w:t xml:space="preserve">Unacceptable.</w:t>
            </w:r>
            <w:r>
              <w:t xml:space="preserve"> </w:t>
            </w:r>
            <w:r>
              <w:t xml:space="preserve">Your chart shows for Tower 03 alone: carpet area change, balcony shape revision,</w:t>
            </w:r>
            <w:r>
              <w:t xml:space="preserve"> </w:t>
            </w:r>
            <w:r>
              <w:rPr>
                <w:b/>
                <w:bCs/>
              </w:rPr>
              <w:t xml:space="preserve">two podium levels added</w:t>
            </w:r>
            <w:r>
              <w:t xml:space="preserve">, lifts increased from 3 to 4, height increased from</w:t>
            </w:r>
            <w:r>
              <w:t xml:space="preserve"> </w:t>
            </w:r>
            <w:r>
              <w:rPr>
                <w:b/>
                <w:bCs/>
              </w:rPr>
              <w:t xml:space="preserve">96.95 m to 101.05 m</w:t>
            </w:r>
            <w:r>
              <w:t xml:space="preserve">, floors changed from</w:t>
            </w:r>
            <w:r>
              <w:t xml:space="preserve"> </w:t>
            </w:r>
            <w:r>
              <w:rPr>
                <w:b/>
                <w:bCs/>
              </w:rPr>
              <w:t xml:space="preserve">G+29 to S1+S2+30</w:t>
            </w:r>
            <w:r>
              <w:t xml:space="preserve">. These are major changes directly affecting my unit and must be explained in a dedicated impact note.</w:t>
            </w:r>
          </w:p>
        </w:tc>
      </w:tr>
      <w:tr>
        <w:tc>
          <w:tcPr/>
          <w:p>
            <w:pPr>
              <w:pStyle w:val="Compact"/>
            </w:pPr>
            <w:r>
              <w:rPr>
                <w:b/>
                <w:bCs/>
              </w:rPr>
              <w:t xml:space="preserve">6</w:t>
            </w:r>
          </w:p>
        </w:tc>
        <w:tc>
          <w:tcPr/>
          <w:p>
            <w:pPr>
              <w:pStyle w:val="Compact"/>
            </w:pPr>
            <w:r>
              <w:t xml:space="preserve">Details of FAR, density, parking, club, etc.</w:t>
            </w:r>
          </w:p>
        </w:tc>
        <w:tc>
          <w:tcPr/>
          <w:p>
            <w:pPr>
              <w:pStyle w:val="Compact"/>
            </w:pPr>
            <w:r>
              <w:t xml:space="preserve">Refer comparative chart</w:t>
            </w:r>
          </w:p>
        </w:tc>
        <w:tc>
          <w:tcPr/>
          <w:p>
            <w:pPr>
              <w:pStyle w:val="Compact"/>
            </w:pPr>
            <w:r>
              <w:t xml:space="preserve">Chart confirms increase in FAR proposed, increase in density proposed, reduction in parking ECS, and change in green area. These are not minor internal improvements. I</w:t>
            </w:r>
            <w:r>
              <w:t xml:space="preserve"> </w:t>
            </w:r>
            <w:r>
              <w:rPr>
                <w:b/>
                <w:bCs/>
              </w:rPr>
              <w:t xml:space="preserve">do not consent</w:t>
            </w:r>
            <w:r>
              <w:t xml:space="preserve"> </w:t>
            </w:r>
            <w:r>
              <w:t xml:space="preserve">to changes that increase project intensity while reducing parking/green area without full disclosure and informed consent.</w:t>
            </w:r>
          </w:p>
        </w:tc>
      </w:tr>
      <w:tr>
        <w:tc>
          <w:tcPr/>
          <w:p>
            <w:pPr>
              <w:pStyle w:val="Compact"/>
            </w:pPr>
            <w:r>
              <w:rPr>
                <w:b/>
                <w:bCs/>
              </w:rPr>
              <w:t xml:space="preserve">7</w:t>
            </w:r>
          </w:p>
        </w:tc>
        <w:tc>
          <w:tcPr/>
          <w:p>
            <w:pPr>
              <w:pStyle w:val="Compact"/>
            </w:pPr>
            <w:r>
              <w:t xml:space="preserve">Fire safety, approach road, lifts, possession, OC/CC</w:t>
            </w:r>
          </w:p>
        </w:tc>
        <w:tc>
          <w:tcPr/>
          <w:p>
            <w:pPr>
              <w:pStyle w:val="Compact"/>
            </w:pPr>
            <w:r>
              <w:t xml:space="preserve">Generic assurances; possession stated as</w:t>
            </w:r>
            <w:r>
              <w:t xml:space="preserve"> </w:t>
            </w:r>
            <w:r>
              <w:rPr>
                <w:b/>
                <w:bCs/>
              </w:rPr>
              <w:t xml:space="preserve">30.06.2031</w:t>
            </w:r>
          </w:p>
        </w:tc>
        <w:tc>
          <w:tcPr/>
          <w:p>
            <w:pPr>
              <w:pStyle w:val="Compact"/>
            </w:pPr>
            <w:r>
              <w:t xml:space="preserve">This is a</w:t>
            </w:r>
            <w:r>
              <w:t xml:space="preserve"> </w:t>
            </w:r>
            <w:r>
              <w:rPr>
                <w:b/>
                <w:bCs/>
              </w:rPr>
              <w:t xml:space="preserve">critical admission</w:t>
            </w:r>
            <w:r>
              <w:t xml:space="preserve">. Original agreement possession date was</w:t>
            </w:r>
            <w:r>
              <w:t xml:space="preserve"> </w:t>
            </w:r>
            <w:r>
              <w:rPr>
                <w:b/>
                <w:bCs/>
              </w:rPr>
              <w:t xml:space="preserve">30.06.2023</w:t>
            </w:r>
            <w:r>
              <w:t xml:space="preserve">. HARERA order directed possession as per buyer’s agreement after OC. Your reply now proposes possession only by</w:t>
            </w:r>
            <w:r>
              <w:t xml:space="preserve"> </w:t>
            </w:r>
            <w:r>
              <w:rPr>
                <w:b/>
                <w:bCs/>
              </w:rPr>
              <w:t xml:space="preserve">30.06.2031</w:t>
            </w:r>
            <w:r>
              <w:t xml:space="preserve"> </w:t>
            </w:r>
            <w:r>
              <w:t xml:space="preserve">— an extension of</w:t>
            </w:r>
            <w:r>
              <w:t xml:space="preserve"> </w:t>
            </w:r>
            <w:r>
              <w:rPr>
                <w:b/>
                <w:bCs/>
              </w:rPr>
              <w:t xml:space="preserve">8 years</w:t>
            </w:r>
            <w:r>
              <w:t xml:space="preserve"> </w:t>
            </w:r>
            <w:r>
              <w:t xml:space="preserve">beyond the contractual and HARERA-recognised date. This confirms material prejudice. Mere reference to HRERA timeline does not cure breach of existing contractual and judicial obligations.</w:t>
            </w:r>
          </w:p>
        </w:tc>
      </w:tr>
      <w:tr>
        <w:tc>
          <w:tcPr/>
          <w:p>
            <w:pPr>
              <w:pStyle w:val="Compact"/>
            </w:pPr>
            <w:r>
              <w:rPr>
                <w:b/>
                <w:bCs/>
              </w:rPr>
              <w:t xml:space="preserve">8</w:t>
            </w:r>
          </w:p>
        </w:tc>
        <w:tc>
          <w:tcPr/>
          <w:p>
            <w:pPr>
              <w:pStyle w:val="Compact"/>
            </w:pPr>
            <w:r>
              <w:t xml:space="preserve">Copies of applications/undertakings/affidavits</w:t>
            </w:r>
          </w:p>
        </w:tc>
        <w:tc>
          <w:tcPr/>
          <w:p>
            <w:pPr>
              <w:pStyle w:val="Compact"/>
            </w:pPr>
            <w:r>
              <w:t xml:space="preserve">Inspect at Noida office or approach STP/HARERA</w:t>
            </w:r>
          </w:p>
        </w:tc>
        <w:tc>
          <w:tcPr/>
          <w:p>
            <w:pPr>
              <w:pStyle w:val="Compact"/>
            </w:pPr>
            <w:r>
              <w:rPr>
                <w:b/>
                <w:bCs/>
              </w:rPr>
              <w:t xml:space="preserve">Non-compliance.</w:t>
            </w:r>
            <w:r>
              <w:t xml:space="preserve"> </w:t>
            </w:r>
            <w:r>
              <w:t xml:space="preserve">Statutory and fair-disclosure obligations require actual supply of relevant documents to the affected allottee, not conditional office inspection.</w:t>
            </w:r>
          </w:p>
        </w:tc>
      </w:tr>
      <w:tr>
        <w:tc>
          <w:tcPr/>
          <w:p>
            <w:pPr>
              <w:pStyle w:val="Compact"/>
            </w:pPr>
            <w:r>
              <w:rPr>
                <w:b/>
                <w:bCs/>
              </w:rPr>
              <w:t xml:space="preserve">9</w:t>
            </w:r>
          </w:p>
        </w:tc>
        <w:tc>
          <w:tcPr/>
          <w:p>
            <w:pPr>
              <w:pStyle w:val="Compact"/>
            </w:pPr>
            <w:r>
              <w:t xml:space="preserve">Proof of individual notice to me</w:t>
            </w:r>
          </w:p>
        </w:tc>
        <w:tc>
          <w:tcPr/>
          <w:p>
            <w:pPr>
              <w:pStyle w:val="Compact"/>
            </w:pPr>
            <w:r>
              <w:t xml:space="preserve">Public notices and communications to allottees enclosed</w:t>
            </w:r>
          </w:p>
        </w:tc>
        <w:tc>
          <w:tcPr/>
          <w:p>
            <w:pPr>
              <w:pStyle w:val="Compact"/>
            </w:pPr>
            <w:r>
              <w:rPr>
                <w:b/>
                <w:bCs/>
              </w:rPr>
              <w:t xml:space="preserve">Not answered.</w:t>
            </w:r>
            <w:r>
              <w:t xml:space="preserve"> </w:t>
            </w:r>
            <w:r>
              <w:t xml:space="preserve">You have not produced email delivery record, postal/courier receipt, or any proof of individual service on me. Publication to another allottee or general newspaper notice does not constitute service on Unit 3051.</w:t>
            </w:r>
          </w:p>
        </w:tc>
      </w:tr>
      <w:tr>
        <w:tc>
          <w:tcPr/>
          <w:p>
            <w:pPr>
              <w:pStyle w:val="Compact"/>
            </w:pPr>
            <w:r>
              <w:rPr>
                <w:b/>
                <w:bCs/>
              </w:rPr>
              <w:t xml:space="preserve">10</w:t>
            </w:r>
          </w:p>
        </w:tc>
        <w:tc>
          <w:tcPr/>
          <w:p>
            <w:pPr>
              <w:pStyle w:val="Compact"/>
            </w:pPr>
            <w:r>
              <w:t xml:space="preserve">Confirmation that silence shall not be treated as consent</w:t>
            </w:r>
          </w:p>
        </w:tc>
        <w:tc>
          <w:tcPr/>
          <w:p>
            <w:pPr>
              <w:pStyle w:val="Compact"/>
            </w:pPr>
            <w:r>
              <w:t xml:space="preserve">Request for my consent instead</w:t>
            </w:r>
          </w:p>
        </w:tc>
        <w:tc>
          <w:tcPr/>
          <w:p>
            <w:pPr>
              <w:pStyle w:val="Compact"/>
            </w:pPr>
            <w:r>
              <w:rPr>
                <w:b/>
                <w:bCs/>
              </w:rPr>
              <w:t xml:space="preserve">Rejected.</w:t>
            </w:r>
            <w:r>
              <w:t xml:space="preserve"> </w:t>
            </w:r>
            <w:r>
              <w:t xml:space="preserve">This is a direct refusal to give the confirmation sought. Silence/non-response cannot be treated as consent, especially when complete documents were not individually supplied.</w:t>
            </w:r>
          </w:p>
        </w:tc>
      </w:tr>
      <w:tr>
        <w:tc>
          <w:tcPr/>
          <w:p>
            <w:pPr>
              <w:pStyle w:val="Compact"/>
            </w:pPr>
            <w:r>
              <w:rPr>
                <w:b/>
                <w:bCs/>
              </w:rPr>
              <w:t xml:space="preserve">11</w:t>
            </w:r>
          </w:p>
        </w:tc>
        <w:tc>
          <w:tcPr/>
          <w:p>
            <w:pPr>
              <w:pStyle w:val="Compact"/>
            </w:pPr>
            <w:r>
              <w:t xml:space="preserve">Fresh 30-day objection period from actual individual supply</w:t>
            </w:r>
          </w:p>
        </w:tc>
        <w:tc>
          <w:tcPr/>
          <w:p>
            <w:pPr>
              <w:pStyle w:val="Compact"/>
            </w:pPr>
            <w:r>
              <w:t xml:space="preserve">Policy compliance asserted; office visit offered</w:t>
            </w:r>
          </w:p>
        </w:tc>
        <w:tc>
          <w:tcPr/>
          <w:p>
            <w:pPr>
              <w:pStyle w:val="Compact"/>
            </w:pPr>
            <w:r>
              <w:rPr>
                <w:b/>
                <w:bCs/>
              </w:rPr>
              <w:t xml:space="preserve">Rejected.</w:t>
            </w:r>
            <w:r>
              <w:t xml:space="preserve"> </w:t>
            </w:r>
            <w:r>
              <w:t xml:space="preserve">A fresh objection period must run from the date of complete individual supply. Partial enclosures with evasive answers do not start any valid consent clock.</w:t>
            </w:r>
          </w:p>
        </w:tc>
      </w:tr>
      <w:tr>
        <w:tc>
          <w:tcPr/>
          <w:p>
            <w:pPr>
              <w:pStyle w:val="Compact"/>
            </w:pPr>
            <w:r>
              <w:rPr>
                <w:b/>
                <w:bCs/>
              </w:rPr>
              <w:t xml:space="preserve">12</w:t>
            </w:r>
          </w:p>
        </w:tc>
        <w:tc>
          <w:tcPr/>
          <w:p>
            <w:pPr>
              <w:pStyle w:val="Compact"/>
            </w:pPr>
            <w:r>
              <w:t xml:space="preserve">Confirmation that HARERA order obligations remain binding</w:t>
            </w:r>
          </w:p>
        </w:tc>
        <w:tc>
          <w:tcPr/>
          <w:p>
            <w:pPr>
              <w:pStyle w:val="Compact"/>
            </w:pPr>
            <w:r>
              <w:t xml:space="preserve">Evasive answer that query is unrelated; vague promise to comply if order is final</w:t>
            </w:r>
          </w:p>
        </w:tc>
        <w:tc>
          <w:tcPr/>
          <w:p>
            <w:pPr>
              <w:pStyle w:val="Compact"/>
            </w:pPr>
            <w:r>
              <w:rPr>
                <w:b/>
                <w:bCs/>
              </w:rPr>
              <w:t xml:space="preserve">Rejected.</w:t>
            </w:r>
            <w:r>
              <w:t xml:space="preserve"> </w:t>
            </w:r>
            <w:r>
              <w:t xml:space="preserve">The HARERA order dated 18.04.2024 is already a binding authority order. Certified copy confirms enforceability. Change of developer and plan revision do not extinguish pre-EMI, possession, disclosure, and escrow obligations.</w:t>
            </w:r>
          </w:p>
        </w:tc>
      </w:tr>
      <w:tr>
        <w:tc>
          <w:tcPr/>
          <w:p>
            <w:pPr>
              <w:pStyle w:val="Compact"/>
            </w:pPr>
            <w:r>
              <w:rPr>
                <w:b/>
                <w:bCs/>
              </w:rPr>
              <w:t xml:space="preserve">13</w:t>
            </w:r>
          </w:p>
        </w:tc>
        <w:tc>
          <w:tcPr/>
          <w:p>
            <w:pPr>
              <w:pStyle w:val="Compact"/>
            </w:pPr>
            <w:r>
              <w:t xml:space="preserve">Updated construction status, OC/CC status, possession date, escrow details</w:t>
            </w:r>
          </w:p>
        </w:tc>
        <w:tc>
          <w:tcPr/>
          <w:p>
            <w:pPr>
              <w:pStyle w:val="Compact"/>
            </w:pPr>
            <w:r>
              <w:t xml:space="preserve">Referred back to Point 12</w:t>
            </w:r>
          </w:p>
        </w:tc>
        <w:tc>
          <w:tcPr/>
          <w:p>
            <w:pPr>
              <w:pStyle w:val="Compact"/>
            </w:pPr>
            <w:r>
              <w:rPr>
                <w:b/>
                <w:bCs/>
              </w:rPr>
              <w:t xml:space="preserve">Rejected.</w:t>
            </w:r>
            <w:r>
              <w:t xml:space="preserve"> </w:t>
            </w:r>
            <w:r>
              <w:t xml:space="preserve">This is continuing non-compliance with the HARERA order itself, which directed disclosure within 30 days of 18.04.2024. Your reply still fails to provide escrow statement, construction status, or OC position.</w:t>
            </w:r>
          </w:p>
        </w:tc>
      </w:tr>
    </w:tbl>
    <w:p>
      <w:r>
        <w:pict>
          <v:rect style="width:0;height:1.5pt" o:hralign="center" o:hrstd="t" o:hr="t"/>
        </w:pict>
      </w:r>
    </w:p>
    <w:bookmarkEnd w:id="12"/>
    <w:bookmarkStart w:id="13" w:name="X2069c645c974e37dae5c40b75c4822608c3cda7"/>
    <w:p>
      <w:pPr>
        <w:pStyle w:val="Heading2"/>
      </w:pPr>
      <w:r>
        <w:t xml:space="preserve">C. Specific objections arising from your own comparative chart</w:t>
      </w:r>
    </w:p>
    <w:p>
      <w:pPr>
        <w:pStyle w:val="FirstParagraph"/>
      </w:pPr>
      <w:r>
        <w:t xml:space="preserve">From the comparative chart enclosed by you, the following changes are specifically noted and objected to:</w:t>
      </w:r>
    </w:p>
    <w:p>
      <w:pPr>
        <w:pStyle w:val="Compact"/>
        <w:numPr>
          <w:ilvl w:val="0"/>
          <w:numId w:val="1003"/>
        </w:numPr>
      </w:pPr>
      <w:r>
        <w:rPr>
          <w:b/>
          <w:bCs/>
        </w:rPr>
        <w:t xml:space="preserve">Project intensity increased:</w:t>
      </w:r>
      <w:r>
        <w:t xml:space="preserve"> </w:t>
      </w:r>
      <w:r>
        <w:t xml:space="preserve">main units proposed increased from 522 to 734.</w:t>
      </w:r>
      <w:r>
        <w:br/>
      </w:r>
    </w:p>
    <w:p>
      <w:pPr>
        <w:pStyle w:val="Compact"/>
        <w:numPr>
          <w:ilvl w:val="0"/>
          <w:numId w:val="1003"/>
        </w:numPr>
      </w:pPr>
      <w:r>
        <w:rPr>
          <w:b/>
          <w:bCs/>
        </w:rPr>
        <w:t xml:space="preserve">Parking reduced:</w:t>
      </w:r>
      <w:r>
        <w:t xml:space="preserve"> </w:t>
      </w:r>
      <w:r>
        <w:t xml:space="preserve">ECS reduced from 999 to 957 despite higher unit count.</w:t>
      </w:r>
      <w:r>
        <w:br/>
      </w:r>
    </w:p>
    <w:p>
      <w:pPr>
        <w:pStyle w:val="Compact"/>
        <w:numPr>
          <w:ilvl w:val="0"/>
          <w:numId w:val="1003"/>
        </w:numPr>
      </w:pPr>
      <w:r>
        <w:rPr>
          <w:b/>
          <w:bCs/>
        </w:rPr>
        <w:t xml:space="preserve">Green/open area reduced:</w:t>
      </w:r>
      <w:r>
        <w:t xml:space="preserve"> </w:t>
      </w:r>
      <w:r>
        <w:t xml:space="preserve">from 14345.86 sqm to 10934.25 sqm.</w:t>
      </w:r>
      <w:r>
        <w:br/>
      </w:r>
    </w:p>
    <w:p>
      <w:pPr>
        <w:pStyle w:val="Compact"/>
        <w:numPr>
          <w:ilvl w:val="0"/>
          <w:numId w:val="1003"/>
        </w:numPr>
      </w:pPr>
      <w:r>
        <w:rPr>
          <w:b/>
          <w:bCs/>
        </w:rPr>
        <w:t xml:space="preserve">Tower 03 materially altered:</w:t>
      </w:r>
      <w:r>
        <w:t xml:space="preserve"> </w:t>
      </w:r>
      <w:r>
        <w:t xml:space="preserve">additional podium levels, increased height, revised floor stack (S1+S2+30), revised staircase/lift configuration, and changed balcony design.</w:t>
      </w:r>
      <w:r>
        <w:br/>
      </w:r>
    </w:p>
    <w:p>
      <w:pPr>
        <w:pStyle w:val="Compact"/>
        <w:numPr>
          <w:ilvl w:val="0"/>
          <w:numId w:val="1003"/>
        </w:numPr>
      </w:pPr>
      <w:r>
        <w:rPr>
          <w:b/>
          <w:bCs/>
        </w:rPr>
        <w:t xml:space="preserve">Possession deferred to 30.06.2031</w:t>
      </w:r>
      <w:r>
        <w:t xml:space="preserve"> </w:t>
      </w:r>
      <w:r>
        <w:t xml:space="preserve">for Phase-I, contrary to buyer agreement date of 30.06.2023 and HARERA order.</w:t>
      </w:r>
    </w:p>
    <w:p>
      <w:pPr>
        <w:pStyle w:val="FirstParagraph"/>
      </w:pPr>
      <w:r>
        <w:t xml:space="preserve">These changes are</w:t>
      </w:r>
      <w:r>
        <w:t xml:space="preserve"> </w:t>
      </w:r>
      <w:r>
        <w:rPr>
          <w:b/>
          <w:bCs/>
        </w:rPr>
        <w:t xml:space="preserve">not</w:t>
      </w:r>
      <w:r>
        <w:t xml:space="preserve"> </w:t>
      </w:r>
      <w:r>
        <w:t xml:space="preserve">mere “improvements” as described in your reply. They affect density, parking, common areas, vertical development, and possession timeline, and therefore require lawful individual notice, complete disclosure, and informed consent.</w:t>
      </w:r>
    </w:p>
    <w:p>
      <w:r>
        <w:pict>
          <v:rect style="width:0;height:1.5pt" o:hralign="center" o:hrstd="t" o:hr="t"/>
        </w:pict>
      </w:r>
    </w:p>
    <w:bookmarkEnd w:id="13"/>
    <w:bookmarkStart w:id="14" w:name="d.-what-remains-outstanding"/>
    <w:p>
      <w:pPr>
        <w:pStyle w:val="Heading2"/>
      </w:pPr>
      <w:r>
        <w:t xml:space="preserve">D. What remains outstanding</w:t>
      </w:r>
    </w:p>
    <w:p>
      <w:pPr>
        <w:pStyle w:val="FirstParagraph"/>
      </w:pPr>
      <w:r>
        <w:t xml:space="preserve">Despite your email reply, the following remain unsatisfied:</w:t>
      </w:r>
    </w:p>
    <w:p>
      <w:pPr>
        <w:pStyle w:val="Compact"/>
        <w:numPr>
          <w:ilvl w:val="0"/>
          <w:numId w:val="1004"/>
        </w:numPr>
      </w:pPr>
      <w:r>
        <w:t xml:space="preserve">Proof of</w:t>
      </w:r>
      <w:r>
        <w:t xml:space="preserve"> </w:t>
      </w:r>
      <w:r>
        <w:rPr>
          <w:b/>
          <w:bCs/>
        </w:rPr>
        <w:t xml:space="preserve">individual notice</w:t>
      </w:r>
      <w:r>
        <w:t xml:space="preserve"> </w:t>
      </w:r>
      <w:r>
        <w:t xml:space="preserve">served on me for plan revision and/or change of developer.</w:t>
      </w:r>
      <w:r>
        <w:br/>
      </w:r>
    </w:p>
    <w:p>
      <w:pPr>
        <w:pStyle w:val="Compact"/>
        <w:numPr>
          <w:ilvl w:val="0"/>
          <w:numId w:val="1004"/>
        </w:numPr>
      </w:pPr>
      <w:r>
        <w:t xml:space="preserve">Complete</w:t>
      </w:r>
      <w:r>
        <w:t xml:space="preserve"> </w:t>
      </w:r>
      <w:r>
        <w:rPr>
          <w:b/>
          <w:bCs/>
        </w:rPr>
        <w:t xml:space="preserve">tower-wise and unit-wise</w:t>
      </w:r>
      <w:r>
        <w:t xml:space="preserve"> </w:t>
      </w:r>
      <w:r>
        <w:t xml:space="preserve">revised drawings and impact note for Tower 03 / Unit 3051.</w:t>
      </w:r>
      <w:r>
        <w:br/>
      </w:r>
    </w:p>
    <w:p>
      <w:pPr>
        <w:pStyle w:val="Compact"/>
        <w:numPr>
          <w:ilvl w:val="0"/>
          <w:numId w:val="1004"/>
        </w:numPr>
      </w:pPr>
      <w:r>
        <w:t xml:space="preserve">Written confirmation that</w:t>
      </w:r>
      <w:r>
        <w:t xml:space="preserve"> </w:t>
      </w:r>
      <w:r>
        <w:rPr>
          <w:b/>
          <w:bCs/>
        </w:rPr>
        <w:t xml:space="preserve">silence shall not be deemed consent</w:t>
      </w:r>
      <w:r>
        <w:t xml:space="preserve">.</w:t>
      </w:r>
      <w:r>
        <w:br/>
      </w:r>
    </w:p>
    <w:p>
      <w:pPr>
        <w:pStyle w:val="Compact"/>
        <w:numPr>
          <w:ilvl w:val="0"/>
          <w:numId w:val="1004"/>
        </w:numPr>
      </w:pPr>
      <w:r>
        <w:t xml:space="preserve">Written confirmation that a</w:t>
      </w:r>
      <w:r>
        <w:t xml:space="preserve"> </w:t>
      </w:r>
      <w:r>
        <w:rPr>
          <w:b/>
          <w:bCs/>
        </w:rPr>
        <w:t xml:space="preserve">fresh 30-day objection period</w:t>
      </w:r>
      <w:r>
        <w:t xml:space="preserve"> </w:t>
      </w:r>
      <w:r>
        <w:t xml:space="preserve">shall run from complete individual supply.</w:t>
      </w:r>
      <w:r>
        <w:br/>
      </w:r>
    </w:p>
    <w:p>
      <w:pPr>
        <w:pStyle w:val="Compact"/>
        <w:numPr>
          <w:ilvl w:val="0"/>
          <w:numId w:val="1004"/>
        </w:numPr>
      </w:pPr>
      <w:r>
        <w:t xml:space="preserve">Written confirmation that all obligations under the</w:t>
      </w:r>
      <w:r>
        <w:t xml:space="preserve"> </w:t>
      </w:r>
      <w:r>
        <w:rPr>
          <w:b/>
          <w:bCs/>
        </w:rPr>
        <w:t xml:space="preserve">HARERA Order dated 18.04.2024</w:t>
      </w:r>
      <w:r>
        <w:t xml:space="preserve"> </w:t>
      </w:r>
      <w:r>
        <w:t xml:space="preserve">and certified copy dated</w:t>
      </w:r>
      <w:r>
        <w:t xml:space="preserve"> </w:t>
      </w:r>
      <w:r>
        <w:rPr>
          <w:b/>
          <w:bCs/>
        </w:rPr>
        <w:t xml:space="preserve">08.08.2024</w:t>
      </w:r>
      <w:r>
        <w:t xml:space="preserve"> </w:t>
      </w:r>
      <w:r>
        <w:t xml:space="preserve">remain binding on existing and proposed developer.</w:t>
      </w:r>
      <w:r>
        <w:br/>
      </w:r>
    </w:p>
    <w:p>
      <w:pPr>
        <w:pStyle w:val="Compact"/>
        <w:numPr>
          <w:ilvl w:val="0"/>
          <w:numId w:val="1004"/>
        </w:numPr>
      </w:pPr>
      <w:r>
        <w:t xml:space="preserve">Actual compliance with HARERA directions on</w:t>
      </w:r>
      <w:r>
        <w:t xml:space="preserve"> </w:t>
      </w:r>
      <w:r>
        <w:rPr>
          <w:b/>
          <w:bCs/>
        </w:rPr>
        <w:t xml:space="preserve">pre-EMI</w:t>
      </w:r>
      <w:r>
        <w:t xml:space="preserve">,</w:t>
      </w:r>
      <w:r>
        <w:t xml:space="preserve"> </w:t>
      </w:r>
      <w:r>
        <w:rPr>
          <w:b/>
          <w:bCs/>
        </w:rPr>
        <w:t xml:space="preserve">construction status</w:t>
      </w:r>
      <w:r>
        <w:t xml:space="preserve">,</w:t>
      </w:r>
      <w:r>
        <w:t xml:space="preserve"> </w:t>
      </w:r>
      <w:r>
        <w:rPr>
          <w:b/>
          <w:bCs/>
        </w:rPr>
        <w:t xml:space="preserve">possession date</w:t>
      </w:r>
      <w:r>
        <w:t xml:space="preserve">, and</w:t>
      </w:r>
      <w:r>
        <w:t xml:space="preserve"> </w:t>
      </w:r>
      <w:r>
        <w:rPr>
          <w:b/>
          <w:bCs/>
        </w:rPr>
        <w:t xml:space="preserve">escrow account disclosure</w:t>
      </w:r>
      <w:r>
        <w:t xml:space="preserve">.</w:t>
      </w:r>
      <w:r>
        <w:br/>
      </w:r>
    </w:p>
    <w:p>
      <w:pPr>
        <w:pStyle w:val="Compact"/>
        <w:numPr>
          <w:ilvl w:val="0"/>
          <w:numId w:val="1004"/>
        </w:numPr>
      </w:pPr>
      <w:r>
        <w:t xml:space="preserve">Complete, readable, downloadable document set on</w:t>
      </w:r>
      <w:r>
        <w:t xml:space="preserve"> </w:t>
      </w:r>
      <w:r>
        <w:rPr>
          <w:rStyle w:val="VerbatimChar"/>
        </w:rPr>
        <w:t xml:space="preserve">www.gurgaonsector99a.com</w:t>
      </w:r>
      <w:r>
        <w:t xml:space="preserve">, not merely selective uploads.</w:t>
      </w:r>
    </w:p>
    <w:p>
      <w:r>
        <w:pict>
          <v:rect style="width:0;height:1.5pt" o:hralign="center" o:hrstd="t" o:hr="t"/>
        </w:pict>
      </w:r>
    </w:p>
    <w:bookmarkEnd w:id="14"/>
    <w:bookmarkStart w:id="15" w:name="X61e20c8e326df18a4c34c5bac1527d229c66d55"/>
    <w:p>
      <w:pPr>
        <w:pStyle w:val="Heading2"/>
      </w:pPr>
      <w:r>
        <w:t xml:space="preserve">E. Reservation of objection and non-consent</w:t>
      </w:r>
    </w:p>
    <w:p>
      <w:pPr>
        <w:pStyle w:val="FirstParagraph"/>
      </w:pPr>
      <w:r>
        <w:t xml:space="preserve">Until the above is fully complied with:</w:t>
      </w:r>
    </w:p>
    <w:p>
      <w:pPr>
        <w:pStyle w:val="Compact"/>
        <w:numPr>
          <w:ilvl w:val="0"/>
          <w:numId w:val="1005"/>
        </w:numPr>
      </w:pPr>
      <w:r>
        <w:t xml:space="preserve">My</w:t>
      </w:r>
      <w:r>
        <w:t xml:space="preserve"> </w:t>
      </w:r>
      <w:r>
        <w:rPr>
          <w:b/>
          <w:bCs/>
        </w:rPr>
        <w:t xml:space="preserve">objection</w:t>
      </w:r>
      <w:r>
        <w:t xml:space="preserve"> </w:t>
      </w:r>
      <w:r>
        <w:t xml:space="preserve">to the proposed revision in building plans is hereby</w:t>
      </w:r>
      <w:r>
        <w:t xml:space="preserve"> </w:t>
      </w:r>
      <w:r>
        <w:rPr>
          <w:b/>
          <w:bCs/>
        </w:rPr>
        <w:t xml:space="preserve">reaffirmed</w:t>
      </w:r>
      <w:r>
        <w:t xml:space="preserve">.</w:t>
      </w:r>
      <w:r>
        <w:br/>
      </w:r>
    </w:p>
    <w:p>
      <w:pPr>
        <w:pStyle w:val="Compact"/>
        <w:numPr>
          <w:ilvl w:val="0"/>
          <w:numId w:val="1005"/>
        </w:numPr>
      </w:pPr>
      <w:r>
        <w:t xml:space="preserve">My</w:t>
      </w:r>
      <w:r>
        <w:t xml:space="preserve"> </w:t>
      </w:r>
      <w:r>
        <w:rPr>
          <w:b/>
          <w:bCs/>
        </w:rPr>
        <w:t xml:space="preserve">objection/reservation</w:t>
      </w:r>
      <w:r>
        <w:t xml:space="preserve"> </w:t>
      </w:r>
      <w:r>
        <w:t xml:space="preserve">to the proposed change of developer is also</w:t>
      </w:r>
      <w:r>
        <w:t xml:space="preserve"> </w:t>
      </w:r>
      <w:r>
        <w:rPr>
          <w:b/>
          <w:bCs/>
        </w:rPr>
        <w:t xml:space="preserve">reaffirmed</w:t>
      </w:r>
      <w:r>
        <w:t xml:space="preserve">.</w:t>
      </w:r>
      <w:r>
        <w:br/>
      </w:r>
    </w:p>
    <w:p>
      <w:pPr>
        <w:pStyle w:val="Compact"/>
        <w:numPr>
          <w:ilvl w:val="0"/>
          <w:numId w:val="1005"/>
        </w:numPr>
      </w:pPr>
      <w:r>
        <w:t xml:space="preserve">I</w:t>
      </w:r>
      <w:r>
        <w:t xml:space="preserve"> </w:t>
      </w:r>
      <w:r>
        <w:rPr>
          <w:b/>
          <w:bCs/>
        </w:rPr>
        <w:t xml:space="preserve">do not consent</w:t>
      </w:r>
      <w:r>
        <w:t xml:space="preserve"> </w:t>
      </w:r>
      <w:r>
        <w:t xml:space="preserve">and I</w:t>
      </w:r>
      <w:r>
        <w:t xml:space="preserve"> </w:t>
      </w:r>
      <w:r>
        <w:rPr>
          <w:b/>
          <w:bCs/>
        </w:rPr>
        <w:t xml:space="preserve">do not withdraw</w:t>
      </w:r>
      <w:r>
        <w:t xml:space="preserve"> </w:t>
      </w:r>
      <w:r>
        <w:t xml:space="preserve">my earlier objections.</w:t>
      </w:r>
      <w:r>
        <w:br/>
      </w:r>
    </w:p>
    <w:p>
      <w:pPr>
        <w:pStyle w:val="Compact"/>
        <w:numPr>
          <w:ilvl w:val="0"/>
          <w:numId w:val="1005"/>
        </w:numPr>
      </w:pPr>
      <w:r>
        <w:t xml:space="preserve">Any attempt to treat my non-response, partial review, or rejection of incomplete disclosure as consent/no-objection is</w:t>
      </w:r>
      <w:r>
        <w:t xml:space="preserve"> </w:t>
      </w:r>
      <w:r>
        <w:rPr>
          <w:b/>
          <w:bCs/>
        </w:rPr>
        <w:t xml:space="preserve">denied and disputed</w:t>
      </w:r>
      <w:r>
        <w:t xml:space="preserve">.</w:t>
      </w:r>
    </w:p>
    <w:p>
      <w:pPr>
        <w:pStyle w:val="FirstParagraph"/>
      </w:pPr>
      <w:r>
        <w:t xml:space="preserve">This rejoinder is issued without prejudice to all my rights under the Agreement to Sell dated 25.10.2018, the Real Estate (Regulation and Development) Act, 2016, the HARERA Order dated 18.04.2024, the certified copy proceedings dated 08.08.2024, DTCP approvals, and all other applicable laws.</w:t>
      </w:r>
    </w:p>
    <w:p>
      <w:pPr>
        <w:pStyle w:val="BodyText"/>
      </w:pPr>
      <w:r>
        <w:t xml:space="preserve">Yours faithfully,</w:t>
      </w:r>
    </w:p>
    <w:p>
      <w:pPr>
        <w:pStyle w:val="BodyText"/>
      </w:pPr>
      <w:r>
        <w:rPr>
          <w:b/>
          <w:bCs/>
        </w:rPr>
        <w:t xml:space="preserve">Vijyant Agarwal</w:t>
      </w:r>
      <w:r>
        <w:br/>
      </w:r>
      <w:r>
        <w:t xml:space="preserve">Allottee / Complainant</w:t>
      </w:r>
      <w:r>
        <w:br/>
      </w:r>
      <w:r>
        <w:t xml:space="preserve">Unit No. 3051, Tower No. 03, Type-D</w:t>
      </w:r>
      <w:r>
        <w:br/>
      </w:r>
      <w:r>
        <w:t xml:space="preserve">ATS Grandstand Phase-I, Sector 99A, Gurugram</w:t>
      </w:r>
    </w:p>
    <w:p>
      <w:pPr>
        <w:pStyle w:val="BodyText"/>
      </w:pPr>
      <w:r>
        <w:rPr>
          <w:b/>
          <w:bCs/>
        </w:rPr>
        <w:t xml:space="preserve">Enclosures:</w:t>
      </w:r>
      <w:r>
        <w:br/>
      </w:r>
      <w:r>
        <w:t xml:space="preserve">1. Copy of my earlier Representation / Objection dated</w:t>
      </w:r>
      <w:r>
        <w:t xml:space="preserve"> </w:t>
      </w:r>
      <w:r>
        <w:rPr>
          <w:b/>
          <w:bCs/>
        </w:rPr>
        <w:t xml:space="preserve">17.05.2026</w:t>
      </w:r>
      <w:r>
        <w:br/>
      </w:r>
      <w:r>
        <w:t xml:space="preserve">2. Copy / printout of your email reply with index of enclosures received</w:t>
      </w:r>
      <w:r>
        <w:br/>
      </w:r>
      <w:r>
        <w:t xml:space="preserve">3. Copy of</w:t>
      </w:r>
      <w:r>
        <w:t xml:space="preserve"> </w:t>
      </w:r>
      <w:r>
        <w:rPr>
          <w:b/>
          <w:bCs/>
        </w:rPr>
        <w:t xml:space="preserve">HARERA Order dated 18.04.2024</w:t>
      </w:r>
      <w:r>
        <w:t xml:space="preserve">, Complaint No. 4463 of 2021 (</w:t>
      </w:r>
      <w:r>
        <w:rPr>
          <w:rStyle w:val="VerbatimChar"/>
        </w:rPr>
        <w:t xml:space="preserve">9.ORDER APRIL 2024 RERA ATS .pdf</w:t>
      </w:r>
      <w:r>
        <w:t xml:space="preserve">)</w:t>
      </w:r>
      <w:r>
        <w:br/>
      </w:r>
      <w:r>
        <w:t xml:space="preserve">4. Copy of</w:t>
      </w:r>
      <w:r>
        <w:t xml:space="preserve"> </w:t>
      </w:r>
      <w:r>
        <w:rPr>
          <w:b/>
          <w:bCs/>
        </w:rPr>
        <w:t xml:space="preserve">Certified Copy of Order</w:t>
      </w:r>
      <w:r>
        <w:t xml:space="preserve"> </w:t>
      </w:r>
      <w:r>
        <w:t xml:space="preserve">including Section 39 proceedings dated 08.08.2024 (</w:t>
      </w:r>
      <w:r>
        <w:rPr>
          <w:rStyle w:val="VerbatimChar"/>
        </w:rPr>
        <w:t xml:space="preserve">10.certified copy of order.pdf</w:t>
      </w:r>
      <w:r>
        <w:t xml:space="preserve">)</w:t>
      </w:r>
      <w:r>
        <w:br/>
      </w:r>
      <w:r>
        <w:t xml:space="preserve">5. Extract / copy of your comparative chart (Tower 03 and overall planning changes)</w:t>
      </w:r>
      <w:r>
        <w:br/>
      </w:r>
      <w:r>
        <w:t xml:space="preserve">6. Copy of DTCP permission dated 04.05.2026 (as received from you)</w:t>
      </w:r>
      <w:r>
        <w:br/>
      </w:r>
      <w:r>
        <w:t xml:space="preserve">7. Copy of individual notice dated 07.05.2026 issued to another allottee (for contrast)</w:t>
      </w:r>
    </w:p>
    <w:p>
      <w:r>
        <w:pict>
          <v:rect style="width:0;height:1.5pt" o:hralign="center" o:hrstd="t" o:hr="t"/>
        </w:pict>
      </w:r>
    </w:p>
    <w:p>
      <w:pPr>
        <w:pStyle w:val="FirstParagraph"/>
      </w:pPr>
      <w:r>
        <w:rPr>
          <w:i/>
          <w:iCs/>
        </w:rPr>
        <w:t xml:space="preserve">Prepared on 31 May 2026. Fill in [●] for email and mobile before dispatch.</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2026-05-31T06:02:26Z</dcterms:created>
  <dcterms:modified xsi:type="dcterms:W3CDTF">2026-05-31T06:02:26Z</dcterms:modified>
</cp:coreProperties>
</file>

<file path=docProps/custom.xml><?xml version="1.0" encoding="utf-8"?>
<Properties xmlns="http://schemas.openxmlformats.org/officeDocument/2006/custom-properties" xmlns:vt="http://schemas.openxmlformats.org/officeDocument/2006/docPropsVTypes"/>
</file>