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 Submission for record — protective clarification on HARERA continuation proceedings (10.08.2026)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27.08.2026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The Secretary / Competent Authority, HARERA, Gurugram — </w:t>
      </w:r>
      <w:r>
        <w:rPr>
          <w:rFonts w:ascii="Arial" w:hAnsi="Arial" w:eastAsia="Arial"/>
          <w:b/>
          <w:i w:val="0"/>
          <w:sz w:val="24"/>
        </w:rPr>
        <w:t>rera@hareraggm.gov.in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CC: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Smt. Renuka Singh — Senior Town Planner (STP), Gurugram — </w:t>
      </w:r>
      <w:r>
        <w:rPr>
          <w:rFonts w:ascii="Arial" w:hAnsi="Arial" w:eastAsia="Arial"/>
          <w:b/>
          <w:i w:val="0"/>
          <w:sz w:val="24"/>
        </w:rPr>
        <w:t>stp4.gurugram.tcp@gmail.com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The Director, DTCP, Haryana — </w:t>
      </w:r>
      <w:r>
        <w:rPr>
          <w:rFonts w:ascii="Arial" w:hAnsi="Arial" w:eastAsia="Arial"/>
          <w:b/>
          <w:i w:val="0"/>
          <w:sz w:val="24"/>
        </w:rPr>
        <w:t>tcpharyana7@gmail.com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ATS Realworth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email@atsgreens.com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Hasta Infrastructure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udaivir.anand@atsgreen.com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Homekraft Infra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grandstand.customercare@homekraft.in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Submission for record</w:t>
      </w:r>
      <w:r>
        <w:rPr>
          <w:rFonts w:ascii="Arial" w:hAnsi="Arial" w:eastAsia="Arial"/>
          <w:b w:val="0"/>
          <w:i w:val="0"/>
          <w:sz w:val="24"/>
        </w:rPr>
        <w:t xml:space="preserve"> — protective clarifications on proceedings dated </w:t>
      </w:r>
      <w:r>
        <w:rPr>
          <w:rFonts w:ascii="Arial" w:hAnsi="Arial" w:eastAsia="Arial"/>
          <w:b/>
          <w:i w:val="0"/>
          <w:sz w:val="24"/>
        </w:rPr>
        <w:t>10.08.2026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/>
          <w:i w:val="0"/>
          <w:sz w:val="24"/>
        </w:rPr>
        <w:t>RERA-GRG-2264-2026</w:t>
      </w:r>
      <w:r>
        <w:rPr>
          <w:rFonts w:ascii="Arial" w:hAnsi="Arial" w:eastAsia="Arial"/>
          <w:b w:val="0"/>
          <w:i w:val="0"/>
          <w:sz w:val="24"/>
        </w:rPr>
        <w:t xml:space="preserve">)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Tower </w:t>
      </w:r>
      <w:r>
        <w:rPr>
          <w:rFonts w:ascii="Arial" w:hAnsi="Arial" w:eastAsia="Arial"/>
          <w:b/>
          <w:i w:val="0"/>
          <w:sz w:val="24"/>
        </w:rPr>
        <w:t>03</w:t>
      </w:r>
      <w:r>
        <w:rPr>
          <w:rFonts w:ascii="Arial" w:hAnsi="Arial" w:eastAsia="Arial"/>
          <w:b w:val="0"/>
          <w:i w:val="0"/>
          <w:sz w:val="24"/>
        </w:rPr>
        <w:t xml:space="preserve">, ATS Grandstand Phase-I — </w:t>
      </w:r>
      <w:r>
        <w:rPr>
          <w:rFonts w:ascii="Arial" w:hAnsi="Arial" w:eastAsia="Arial"/>
          <w:b/>
          <w:i w:val="0"/>
          <w:sz w:val="24"/>
        </w:rPr>
        <w:t>without prejudice</w:t>
      </w:r>
      <w:r>
        <w:rPr>
          <w:rFonts w:ascii="Arial" w:hAnsi="Arial" w:eastAsia="Arial"/>
          <w:b w:val="0"/>
          <w:i w:val="0"/>
          <w:sz w:val="24"/>
        </w:rPr>
        <w:t xml:space="preserve"> to 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 / execution </w:t>
      </w:r>
      <w:r>
        <w:rPr>
          <w:rFonts w:ascii="Arial" w:hAnsi="Arial" w:eastAsia="Arial"/>
          <w:b/>
          <w:i w:val="0"/>
          <w:sz w:val="24"/>
        </w:rPr>
        <w:t>RERA-GRG-5309-2024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माननीय महोदय / महोदया,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I, </w:t>
      </w:r>
      <w:r>
        <w:rPr>
          <w:rFonts w:ascii="Arial" w:hAnsi="Arial" w:eastAsia="Arial"/>
          <w:b/>
          <w:i w:val="0"/>
          <w:sz w:val="24"/>
        </w:rPr>
        <w:t>Prof. Vijyant Agarwal</w:t>
      </w:r>
      <w:r>
        <w:rPr>
          <w:rFonts w:ascii="Arial" w:hAnsi="Arial" w:eastAsia="Arial"/>
          <w:b w:val="0"/>
          <w:i w:val="0"/>
          <w:sz w:val="24"/>
        </w:rPr>
        <w:t xml:space="preserve">, Decree Holder / allottee of </w:t>
      </w:r>
      <w:r>
        <w:rPr>
          <w:rFonts w:ascii="Arial" w:hAnsi="Arial" w:eastAsia="Arial"/>
          <w:b/>
          <w:i w:val="0"/>
          <w:sz w:val="24"/>
        </w:rPr>
        <w:t>Unit No. 3051</w:t>
      </w:r>
      <w:r>
        <w:rPr>
          <w:rFonts w:ascii="Arial" w:hAnsi="Arial" w:eastAsia="Arial"/>
          <w:b w:val="0"/>
          <w:i w:val="0"/>
          <w:sz w:val="24"/>
        </w:rPr>
        <w:t xml:space="preserve">, Tower No. </w:t>
      </w:r>
      <w:r>
        <w:rPr>
          <w:rFonts w:ascii="Arial" w:hAnsi="Arial" w:eastAsia="Arial"/>
          <w:b/>
          <w:i w:val="0"/>
          <w:sz w:val="24"/>
        </w:rPr>
        <w:t>03</w:t>
      </w:r>
      <w:r>
        <w:rPr>
          <w:rFonts w:ascii="Arial" w:hAnsi="Arial" w:eastAsia="Arial"/>
          <w:b w:val="0"/>
          <w:i w:val="0"/>
          <w:sz w:val="24"/>
        </w:rPr>
        <w:t xml:space="preserve">, 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Gurugram, respectfully submit as under.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Background (no new issue)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1.1.</w:t>
      </w:r>
      <w:r>
        <w:rPr>
          <w:rFonts w:ascii="Arial" w:hAnsi="Arial" w:eastAsia="Arial"/>
          <w:b w:val="0"/>
          <w:i w:val="0"/>
          <w:sz w:val="24"/>
        </w:rPr>
        <w:t xml:space="preserve"> On </w:t>
      </w:r>
      <w:r>
        <w:rPr>
          <w:rFonts w:ascii="Arial" w:hAnsi="Arial" w:eastAsia="Arial"/>
          <w:b/>
          <w:i w:val="0"/>
          <w:sz w:val="24"/>
        </w:rPr>
        <w:t>25.06.2026</w:t>
      </w:r>
      <w:r>
        <w:rPr>
          <w:rFonts w:ascii="Arial" w:hAnsi="Arial" w:eastAsia="Arial"/>
          <w:b w:val="0"/>
          <w:i w:val="0"/>
          <w:sz w:val="24"/>
        </w:rPr>
        <w:t xml:space="preserve">, I furnished a </w:t>
      </w:r>
      <w:r>
        <w:rPr>
          <w:rFonts w:ascii="Arial" w:hAnsi="Arial" w:eastAsia="Arial"/>
          <w:b/>
          <w:i w:val="0"/>
          <w:sz w:val="24"/>
        </w:rPr>
        <w:t>consent letter</w:t>
      </w:r>
      <w:r>
        <w:rPr>
          <w:rFonts w:ascii="Arial" w:hAnsi="Arial" w:eastAsia="Arial"/>
          <w:b w:val="0"/>
          <w:i w:val="0"/>
          <w:sz w:val="24"/>
        </w:rPr>
        <w:t xml:space="preserve"> in respect of the revised building plan, </w:t>
      </w:r>
      <w:r>
        <w:rPr>
          <w:rFonts w:ascii="Arial" w:hAnsi="Arial" w:eastAsia="Arial"/>
          <w:b/>
          <w:i w:val="0"/>
          <w:sz w:val="24"/>
        </w:rPr>
        <w:t>in reliance upon</w:t>
      </w:r>
      <w:r>
        <w:rPr>
          <w:rFonts w:ascii="Arial" w:hAnsi="Arial" w:eastAsia="Arial"/>
          <w:b w:val="0"/>
          <w:i w:val="0"/>
          <w:sz w:val="24"/>
        </w:rPr>
        <w:t xml:space="preserve"> the colonizer’s </w:t>
      </w:r>
      <w:r>
        <w:rPr>
          <w:rFonts w:ascii="Arial" w:hAnsi="Arial" w:eastAsia="Arial"/>
          <w:b/>
          <w:i w:val="0"/>
          <w:sz w:val="24"/>
        </w:rPr>
        <w:t>unit-specific affidavit-cum-undertaking dated 25.06.2026</w:t>
      </w:r>
      <w:r>
        <w:rPr>
          <w:rFonts w:ascii="Arial" w:hAnsi="Arial" w:eastAsia="Arial"/>
          <w:b w:val="0"/>
          <w:i w:val="0"/>
          <w:sz w:val="24"/>
        </w:rPr>
        <w:t xml:space="preserve">, and placed both on record by my letter dated </w:t>
      </w:r>
      <w:r>
        <w:rPr>
          <w:rFonts w:ascii="Arial" w:hAnsi="Arial" w:eastAsia="Arial"/>
          <w:b/>
          <w:i w:val="0"/>
          <w:sz w:val="24"/>
        </w:rPr>
        <w:t>29.06.2026</w:t>
      </w:r>
      <w:r>
        <w:rPr>
          <w:rFonts w:ascii="Arial" w:hAnsi="Arial" w:eastAsia="Arial"/>
          <w:b w:val="0"/>
          <w:i w:val="0"/>
          <w:sz w:val="24"/>
        </w:rPr>
        <w:t xml:space="preserve">, to be </w:t>
      </w:r>
      <w:r>
        <w:rPr>
          <w:rFonts w:ascii="Arial" w:hAnsi="Arial" w:eastAsia="Arial"/>
          <w:b/>
          <w:i w:val="0"/>
          <w:sz w:val="24"/>
        </w:rPr>
        <w:t>read together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1.2.</w:t>
      </w:r>
      <w:r>
        <w:rPr>
          <w:rFonts w:ascii="Arial" w:hAnsi="Arial" w:eastAsia="Arial"/>
          <w:b w:val="0"/>
          <w:i w:val="0"/>
          <w:sz w:val="24"/>
        </w:rPr>
        <w:t xml:space="preserve"> I have since perused the HARERA proceedings / hearing brief culminating in the order dated </w:t>
      </w:r>
      <w:r>
        <w:rPr>
          <w:rFonts w:ascii="Arial" w:hAnsi="Arial" w:eastAsia="Arial"/>
          <w:b/>
          <w:i w:val="0"/>
          <w:sz w:val="24"/>
        </w:rPr>
        <w:t>10.08.2026</w:t>
      </w:r>
      <w:r>
        <w:rPr>
          <w:rFonts w:ascii="Arial" w:hAnsi="Arial" w:eastAsia="Arial"/>
          <w:b w:val="0"/>
          <w:i w:val="0"/>
          <w:sz w:val="24"/>
        </w:rPr>
        <w:t xml:space="preserve"> in </w:t>
      </w:r>
      <w:r>
        <w:rPr>
          <w:rFonts w:ascii="Arial" w:hAnsi="Arial" w:eastAsia="Arial"/>
          <w:b/>
          <w:i w:val="0"/>
          <w:sz w:val="24"/>
        </w:rPr>
        <w:t>RERA-GRG-2264-2026</w:t>
      </w:r>
      <w:r>
        <w:rPr>
          <w:rFonts w:ascii="Arial" w:hAnsi="Arial" w:eastAsia="Arial"/>
          <w:b w:val="0"/>
          <w:i w:val="0"/>
          <w:sz w:val="24"/>
        </w:rPr>
        <w:t xml:space="preserve"> (continuation of registration of </w:t>
      </w:r>
      <w:r>
        <w:rPr>
          <w:rFonts w:ascii="Arial" w:hAnsi="Arial" w:eastAsia="Arial"/>
          <w:b/>
          <w:i w:val="0"/>
          <w:sz w:val="24"/>
        </w:rPr>
        <w:t>ATS Grandstand Phase-I</w:t>
      </w:r>
      <w:r>
        <w:rPr>
          <w:rFonts w:ascii="Arial" w:hAnsi="Arial" w:eastAsia="Arial"/>
          <w:b w:val="0"/>
          <w:i w:val="0"/>
          <w:sz w:val="24"/>
        </w:rPr>
        <w:t xml:space="preserve">, RC No. </w:t>
      </w:r>
      <w:r>
        <w:rPr>
          <w:rFonts w:ascii="Arial" w:hAnsi="Arial" w:eastAsia="Arial"/>
          <w:b/>
          <w:i w:val="0"/>
          <w:sz w:val="24"/>
        </w:rPr>
        <w:t>06 of 2018</w:t>
      </w:r>
      <w:r>
        <w:rPr>
          <w:rFonts w:ascii="Arial" w:hAnsi="Arial" w:eastAsia="Arial"/>
          <w:b w:val="0"/>
          <w:i w:val="0"/>
          <w:sz w:val="24"/>
        </w:rPr>
        <w:t xml:space="preserve">, under Section </w:t>
      </w:r>
      <w:r>
        <w:rPr>
          <w:rFonts w:ascii="Arial" w:hAnsi="Arial" w:eastAsia="Arial"/>
          <w:b/>
          <w:i w:val="0"/>
          <w:sz w:val="24"/>
        </w:rPr>
        <w:t>7(3)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1.3.</w:t>
      </w:r>
      <w:r>
        <w:rPr>
          <w:rFonts w:ascii="Arial" w:hAnsi="Arial" w:eastAsia="Arial"/>
          <w:b w:val="0"/>
          <w:i w:val="0"/>
          <w:sz w:val="24"/>
        </w:rPr>
        <w:t xml:space="preserve"> By this note I </w:t>
      </w:r>
      <w:r>
        <w:rPr>
          <w:rFonts w:ascii="Arial" w:hAnsi="Arial" w:eastAsia="Arial"/>
          <w:b/>
          <w:i w:val="0"/>
          <w:sz w:val="24"/>
        </w:rPr>
        <w:t>do not</w:t>
      </w:r>
      <w:r>
        <w:rPr>
          <w:rFonts w:ascii="Arial" w:hAnsi="Arial" w:eastAsia="Arial"/>
          <w:b w:val="0"/>
          <w:i w:val="0"/>
          <w:sz w:val="24"/>
        </w:rPr>
        <w:t xml:space="preserve"> seek to reopen, expand, or raise any </w:t>
      </w:r>
      <w:r>
        <w:rPr>
          <w:rFonts w:ascii="Arial" w:hAnsi="Arial" w:eastAsia="Arial"/>
          <w:b/>
          <w:i w:val="0"/>
          <w:sz w:val="24"/>
        </w:rPr>
        <w:t>new</w:t>
      </w:r>
      <w:r>
        <w:rPr>
          <w:rFonts w:ascii="Arial" w:hAnsi="Arial" w:eastAsia="Arial"/>
          <w:b w:val="0"/>
          <w:i w:val="0"/>
          <w:sz w:val="24"/>
        </w:rPr>
        <w:t xml:space="preserve"> objection beyond placing the following clarifications </w:t>
      </w:r>
      <w:r>
        <w:rPr>
          <w:rFonts w:ascii="Arial" w:hAnsi="Arial" w:eastAsia="Arial"/>
          <w:b/>
          <w:i w:val="0"/>
          <w:sz w:val="24"/>
        </w:rPr>
        <w:t>on record</w:t>
      </w:r>
      <w:r>
        <w:rPr>
          <w:rFonts w:ascii="Arial" w:hAnsi="Arial" w:eastAsia="Arial"/>
          <w:b w:val="0"/>
          <w:i w:val="0"/>
          <w:sz w:val="24"/>
        </w:rPr>
        <w:t xml:space="preserve">, consistent with the Authority’s own direction that continuation is </w:t>
      </w:r>
      <w:r>
        <w:rPr>
          <w:rFonts w:ascii="Arial" w:hAnsi="Arial" w:eastAsia="Arial"/>
          <w:b/>
          <w:i w:val="0"/>
          <w:sz w:val="24"/>
        </w:rPr>
        <w:t>without prejudice to the rights of existing allottees under Section 18</w:t>
      </w:r>
      <w:r>
        <w:rPr>
          <w:rFonts w:ascii="Arial" w:hAnsi="Arial" w:eastAsia="Arial"/>
          <w:b w:val="0"/>
          <w:i w:val="0"/>
          <w:sz w:val="24"/>
        </w:rPr>
        <w:t xml:space="preserve"> of the Act, 2016.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Four clarifications for record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2.1. Phase-I registered area — 2.62 acres to 0.815 acre.</w:t>
      </w:r>
      <w:r>
        <w:rPr>
          <w:rFonts w:ascii="Arial" w:hAnsi="Arial" w:eastAsia="Arial"/>
          <w:b w:val="0"/>
          <w:i w:val="0"/>
          <w:sz w:val="24"/>
        </w:rPr>
        <w:t xml:space="preserve"> The proceedings record revision of Phase-I area from </w:t>
      </w:r>
      <w:r>
        <w:rPr>
          <w:rFonts w:ascii="Arial" w:hAnsi="Arial" w:eastAsia="Arial"/>
          <w:b/>
          <w:i w:val="0"/>
          <w:sz w:val="24"/>
        </w:rPr>
        <w:t>2.62 acres</w:t>
      </w:r>
      <w:r>
        <w:rPr>
          <w:rFonts w:ascii="Arial" w:hAnsi="Arial" w:eastAsia="Arial"/>
          <w:b w:val="0"/>
          <w:i w:val="0"/>
          <w:sz w:val="24"/>
        </w:rPr>
        <w:t xml:space="preserve"> to </w:t>
      </w:r>
      <w:r>
        <w:rPr>
          <w:rFonts w:ascii="Arial" w:hAnsi="Arial" w:eastAsia="Arial"/>
          <w:b/>
          <w:i w:val="0"/>
          <w:sz w:val="24"/>
        </w:rPr>
        <w:t>0.815 acre</w:t>
      </w:r>
      <w:r>
        <w:rPr>
          <w:rFonts w:ascii="Arial" w:hAnsi="Arial" w:eastAsia="Arial"/>
          <w:b w:val="0"/>
          <w:i w:val="0"/>
          <w:sz w:val="24"/>
        </w:rPr>
        <w:t xml:space="preserve"> pursuant to the approved phasing plan, while Towers </w:t>
      </w:r>
      <w:r>
        <w:rPr>
          <w:rFonts w:ascii="Arial" w:hAnsi="Arial" w:eastAsia="Arial"/>
          <w:b/>
          <w:i w:val="0"/>
          <w:sz w:val="24"/>
        </w:rPr>
        <w:t>2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3</w:t>
      </w:r>
      <w:r>
        <w:rPr>
          <w:rFonts w:ascii="Arial" w:hAnsi="Arial" w:eastAsia="Arial"/>
          <w:b w:val="0"/>
          <w:i w:val="0"/>
          <w:sz w:val="24"/>
        </w:rPr>
        <w:t xml:space="preserve"> remain in Phase-I. It is recorded that this </w:t>
      </w:r>
      <w:r>
        <w:rPr>
          <w:rFonts w:ascii="Arial" w:hAnsi="Arial" w:eastAsia="Arial"/>
          <w:b/>
          <w:i w:val="0"/>
          <w:sz w:val="24"/>
        </w:rPr>
        <w:t>phasing / area revision</w:t>
      </w:r>
      <w:r>
        <w:rPr>
          <w:rFonts w:ascii="Arial" w:hAnsi="Arial" w:eastAsia="Arial"/>
          <w:b w:val="0"/>
          <w:i w:val="0"/>
          <w:sz w:val="24"/>
        </w:rPr>
        <w:t xml:space="preserve"> shall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be treated as diminishing, deferring, or extinguishing the Decree Holder’s rights in respect of </w:t>
      </w:r>
      <w:r>
        <w:rPr>
          <w:rFonts w:ascii="Arial" w:hAnsi="Arial" w:eastAsia="Arial"/>
          <w:b/>
          <w:i w:val="0"/>
          <w:sz w:val="24"/>
        </w:rPr>
        <w:t>Unit 3051</w:t>
      </w:r>
      <w:r>
        <w:rPr>
          <w:rFonts w:ascii="Arial" w:hAnsi="Arial" w:eastAsia="Arial"/>
          <w:b w:val="0"/>
          <w:i w:val="0"/>
          <w:sz w:val="24"/>
        </w:rPr>
        <w:t xml:space="preserve">, including rights relating to </w:t>
      </w:r>
      <w:r>
        <w:rPr>
          <w:rFonts w:ascii="Arial" w:hAnsi="Arial" w:eastAsia="Arial"/>
          <w:b/>
          <w:i w:val="0"/>
          <w:sz w:val="24"/>
        </w:rPr>
        <w:t>parking, common areas, amenities, open spaces, and project specifications</w:t>
      </w:r>
      <w:r>
        <w:rPr>
          <w:rFonts w:ascii="Arial" w:hAnsi="Arial" w:eastAsia="Arial"/>
          <w:b w:val="0"/>
          <w:i w:val="0"/>
          <w:sz w:val="24"/>
        </w:rPr>
        <w:t xml:space="preserve"> appurtenant to the allotment / Builder Buyer Agreement, merely because such components may lie outside the reduced registered footprint of </w:t>
      </w:r>
      <w:r>
        <w:rPr>
          <w:rFonts w:ascii="Arial" w:hAnsi="Arial" w:eastAsia="Arial"/>
          <w:b/>
          <w:i w:val="0"/>
          <w:sz w:val="24"/>
        </w:rPr>
        <w:t>0.815 acre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2.2. Revised completion date — 31.03.2031 — does not wipe out accrued delay rights.</w:t>
      </w:r>
      <w:r>
        <w:rPr>
          <w:rFonts w:ascii="Arial" w:hAnsi="Arial" w:eastAsia="Arial"/>
          <w:b w:val="0"/>
          <w:i w:val="0"/>
          <w:sz w:val="24"/>
        </w:rPr>
        <w:t xml:space="preserve"> The proposed / recommended continuation up to </w:t>
      </w:r>
      <w:r>
        <w:rPr>
          <w:rFonts w:ascii="Arial" w:hAnsi="Arial" w:eastAsia="Arial"/>
          <w:b/>
          <w:i w:val="0"/>
          <w:sz w:val="24"/>
        </w:rPr>
        <w:t>31.03.2031</w:t>
      </w:r>
      <w:r>
        <w:rPr>
          <w:rFonts w:ascii="Arial" w:hAnsi="Arial" w:eastAsia="Arial"/>
          <w:b w:val="0"/>
          <w:i w:val="0"/>
          <w:sz w:val="24"/>
        </w:rPr>
        <w:t xml:space="preserve"> is noted. Accrued rights of the Decree Holder under </w:t>
      </w:r>
      <w:r>
        <w:rPr>
          <w:rFonts w:ascii="Arial" w:hAnsi="Arial" w:eastAsia="Arial"/>
          <w:b/>
          <w:i w:val="0"/>
          <w:sz w:val="24"/>
        </w:rPr>
        <w:t>Section 18</w:t>
      </w:r>
      <w:r>
        <w:rPr>
          <w:rFonts w:ascii="Arial" w:hAnsi="Arial" w:eastAsia="Arial"/>
          <w:b w:val="0"/>
          <w:i w:val="0"/>
          <w:sz w:val="24"/>
        </w:rPr>
        <w:t xml:space="preserve">, the </w:t>
      </w:r>
      <w:r>
        <w:rPr>
          <w:rFonts w:ascii="Arial" w:hAnsi="Arial" w:eastAsia="Arial"/>
          <w:b/>
          <w:i w:val="0"/>
          <w:sz w:val="24"/>
        </w:rPr>
        <w:t>order dated 18.04.2024</w:t>
      </w:r>
      <w:r>
        <w:rPr>
          <w:rFonts w:ascii="Arial" w:hAnsi="Arial" w:eastAsia="Arial"/>
          <w:b w:val="0"/>
          <w:i w:val="0"/>
          <w:sz w:val="24"/>
        </w:rPr>
        <w:t xml:space="preserve">, and pending </w:t>
      </w:r>
      <w:r>
        <w:rPr>
          <w:rFonts w:ascii="Arial" w:hAnsi="Arial" w:eastAsia="Arial"/>
          <w:b/>
          <w:i w:val="0"/>
          <w:sz w:val="24"/>
        </w:rPr>
        <w:t>execution</w:t>
      </w:r>
      <w:r>
        <w:rPr>
          <w:rFonts w:ascii="Arial" w:hAnsi="Arial" w:eastAsia="Arial"/>
          <w:b w:val="0"/>
          <w:i w:val="0"/>
          <w:sz w:val="24"/>
        </w:rPr>
        <w:t xml:space="preserve"> — including </w:t>
      </w:r>
      <w:r>
        <w:rPr>
          <w:rFonts w:ascii="Arial" w:hAnsi="Arial" w:eastAsia="Arial"/>
          <w:b/>
          <w:i w:val="0"/>
          <w:sz w:val="24"/>
        </w:rPr>
        <w:t>monetary claims</w:t>
      </w:r>
      <w:r>
        <w:rPr>
          <w:rFonts w:ascii="Arial" w:hAnsi="Arial" w:eastAsia="Arial"/>
          <w:b w:val="0"/>
          <w:i w:val="0"/>
          <w:sz w:val="24"/>
        </w:rPr>
        <w:t xml:space="preserve">, delay compensation, and Pre-EMI / EMI related claims — </w:t>
      </w:r>
      <w:r>
        <w:rPr>
          <w:rFonts w:ascii="Arial" w:hAnsi="Arial" w:eastAsia="Arial"/>
          <w:b/>
          <w:i w:val="0"/>
          <w:sz w:val="24"/>
        </w:rPr>
        <w:t>stand preserved</w:t>
      </w:r>
      <w:r>
        <w:rPr>
          <w:rFonts w:ascii="Arial" w:hAnsi="Arial" w:eastAsia="Arial"/>
          <w:b w:val="0"/>
          <w:i w:val="0"/>
          <w:sz w:val="24"/>
        </w:rPr>
        <w:t xml:space="preserve">. The revised completion timeline </w:t>
      </w:r>
      <w:r>
        <w:rPr>
          <w:rFonts w:ascii="Arial" w:hAnsi="Arial" w:eastAsia="Arial"/>
          <w:b/>
          <w:i w:val="0"/>
          <w:sz w:val="24"/>
        </w:rPr>
        <w:t>cannot</w:t>
      </w:r>
      <w:r>
        <w:rPr>
          <w:rFonts w:ascii="Arial" w:hAnsi="Arial" w:eastAsia="Arial"/>
          <w:b w:val="0"/>
          <w:i w:val="0"/>
          <w:sz w:val="24"/>
        </w:rPr>
        <w:t xml:space="preserve">, and is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understood to, reset, waive, or extinguish delay already accrued.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2.3. S. No. 51 deficiencies — promoter compliance.</w:t>
      </w:r>
      <w:r>
        <w:rPr>
          <w:rFonts w:ascii="Arial" w:hAnsi="Arial" w:eastAsia="Arial"/>
          <w:b w:val="0"/>
          <w:i w:val="0"/>
          <w:sz w:val="24"/>
        </w:rPr>
        <w:t xml:space="preserve"> Deficiencies recorded at </w:t>
      </w:r>
      <w:r>
        <w:rPr>
          <w:rFonts w:ascii="Arial" w:hAnsi="Arial" w:eastAsia="Arial"/>
          <w:b/>
          <w:i w:val="0"/>
          <w:sz w:val="24"/>
        </w:rPr>
        <w:t>S. No. 51</w:t>
      </w:r>
      <w:r>
        <w:rPr>
          <w:rFonts w:ascii="Arial" w:hAnsi="Arial" w:eastAsia="Arial"/>
          <w:b w:val="0"/>
          <w:i w:val="0"/>
          <w:sz w:val="24"/>
        </w:rPr>
        <w:t xml:space="preserve"> of the said proceedings (including, *inter alia*, revised DPI / project report as per amended area, marked plan changes, deficit fee, revised fire scheme, environment clearance, service plans and estimates, and related bank / Section </w:t>
      </w:r>
      <w:r>
        <w:rPr>
          <w:rFonts w:ascii="Arial" w:hAnsi="Arial" w:eastAsia="Arial"/>
          <w:b/>
          <w:i w:val="0"/>
          <w:sz w:val="24"/>
        </w:rPr>
        <w:t>4(2)(l)(D)</w:t>
      </w:r>
      <w:r>
        <w:rPr>
          <w:rFonts w:ascii="Arial" w:hAnsi="Arial" w:eastAsia="Arial"/>
          <w:b w:val="0"/>
          <w:i w:val="0"/>
          <w:sz w:val="24"/>
        </w:rPr>
        <w:t xml:space="preserve"> compliances) are </w:t>
      </w:r>
      <w:r>
        <w:rPr>
          <w:rFonts w:ascii="Arial" w:hAnsi="Arial" w:eastAsia="Arial"/>
          <w:b/>
          <w:i w:val="0"/>
          <w:sz w:val="24"/>
        </w:rPr>
        <w:t>obligations of the promoter</w:t>
      </w:r>
      <w:r>
        <w:rPr>
          <w:rFonts w:ascii="Arial" w:hAnsi="Arial" w:eastAsia="Arial"/>
          <w:b w:val="0"/>
          <w:i w:val="0"/>
          <w:sz w:val="24"/>
        </w:rPr>
        <w:t xml:space="preserve">. It is respectfully requested that the </w:t>
      </w:r>
      <w:r>
        <w:rPr>
          <w:rFonts w:ascii="Arial" w:hAnsi="Arial" w:eastAsia="Arial"/>
          <w:b/>
          <w:i w:val="0"/>
          <w:sz w:val="24"/>
        </w:rPr>
        <w:t>continuation certificate</w:t>
      </w:r>
      <w:r>
        <w:rPr>
          <w:rFonts w:ascii="Arial" w:hAnsi="Arial" w:eastAsia="Arial"/>
          <w:b w:val="0"/>
          <w:i w:val="0"/>
          <w:sz w:val="24"/>
        </w:rPr>
        <w:t xml:space="preserve"> be issued only upon due compliance as directed by the Authority, and that pending compliance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prejudice the Decree Holder’s existing rights.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2.4. No diminution of unit, parking, common areas, amenities or specifications.</w:t>
      </w:r>
      <w:r>
        <w:rPr>
          <w:rFonts w:ascii="Arial" w:hAnsi="Arial" w:eastAsia="Arial"/>
          <w:b w:val="0"/>
          <w:i w:val="0"/>
          <w:sz w:val="24"/>
        </w:rPr>
        <w:t xml:space="preserve"> My consent dated </w:t>
      </w:r>
      <w:r>
        <w:rPr>
          <w:rFonts w:ascii="Arial" w:hAnsi="Arial" w:eastAsia="Arial"/>
          <w:b/>
          <w:i w:val="0"/>
          <w:sz w:val="24"/>
        </w:rPr>
        <w:t>25.06.2026</w:t>
      </w:r>
      <w:r>
        <w:rPr>
          <w:rFonts w:ascii="Arial" w:hAnsi="Arial" w:eastAsia="Arial"/>
          <w:b w:val="0"/>
          <w:i w:val="0"/>
          <w:sz w:val="24"/>
        </w:rPr>
        <w:t xml:space="preserve">, read with the colonizer’s undertaking dated </w:t>
      </w:r>
      <w:r>
        <w:rPr>
          <w:rFonts w:ascii="Arial" w:hAnsi="Arial" w:eastAsia="Arial"/>
          <w:b/>
          <w:i w:val="0"/>
          <w:sz w:val="24"/>
        </w:rPr>
        <w:t>25.06.2026</w:t>
      </w:r>
      <w:r>
        <w:rPr>
          <w:rFonts w:ascii="Arial" w:hAnsi="Arial" w:eastAsia="Arial"/>
          <w:b w:val="0"/>
          <w:i w:val="0"/>
          <w:sz w:val="24"/>
        </w:rPr>
        <w:t xml:space="preserve"> and my clarification dated </w:t>
      </w:r>
      <w:r>
        <w:rPr>
          <w:rFonts w:ascii="Arial" w:hAnsi="Arial" w:eastAsia="Arial"/>
          <w:b/>
          <w:i w:val="0"/>
          <w:sz w:val="24"/>
        </w:rPr>
        <w:t>29.06.2026</w:t>
      </w:r>
      <w:r>
        <w:rPr>
          <w:rFonts w:ascii="Arial" w:hAnsi="Arial" w:eastAsia="Arial"/>
          <w:b w:val="0"/>
          <w:i w:val="0"/>
          <w:sz w:val="24"/>
        </w:rPr>
        <w:t xml:space="preserve">,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amount to acceptance of any </w:t>
      </w:r>
      <w:r>
        <w:rPr>
          <w:rFonts w:ascii="Arial" w:hAnsi="Arial" w:eastAsia="Arial"/>
          <w:b/>
          <w:i w:val="0"/>
          <w:sz w:val="24"/>
        </w:rPr>
        <w:t>diminution</w:t>
      </w:r>
      <w:r>
        <w:rPr>
          <w:rFonts w:ascii="Arial" w:hAnsi="Arial" w:eastAsia="Arial"/>
          <w:b w:val="0"/>
          <w:i w:val="0"/>
          <w:sz w:val="24"/>
        </w:rPr>
        <w:t xml:space="preserve"> in the allotted </w:t>
      </w:r>
      <w:r>
        <w:rPr>
          <w:rFonts w:ascii="Arial" w:hAnsi="Arial" w:eastAsia="Arial"/>
          <w:b/>
          <w:i w:val="0"/>
          <w:sz w:val="24"/>
        </w:rPr>
        <w:t>unit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parking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common areas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amenities</w:t>
      </w:r>
      <w:r>
        <w:rPr>
          <w:rFonts w:ascii="Arial" w:hAnsi="Arial" w:eastAsia="Arial"/>
          <w:b w:val="0"/>
          <w:i w:val="0"/>
          <w:sz w:val="24"/>
        </w:rPr>
        <w:t xml:space="preserve">, or </w:t>
      </w:r>
      <w:r>
        <w:rPr>
          <w:rFonts w:ascii="Arial" w:hAnsi="Arial" w:eastAsia="Arial"/>
          <w:b/>
          <w:i w:val="0"/>
          <w:sz w:val="24"/>
        </w:rPr>
        <w:t>specifications</w:t>
      </w:r>
      <w:r>
        <w:rPr>
          <w:rFonts w:ascii="Arial" w:hAnsi="Arial" w:eastAsia="Arial"/>
          <w:b w:val="0"/>
          <w:i w:val="0"/>
          <w:sz w:val="24"/>
        </w:rPr>
        <w:t xml:space="preserve">, nor to waiver of </w:t>
      </w:r>
      <w:r>
        <w:rPr>
          <w:rFonts w:ascii="Arial" w:hAnsi="Arial" w:eastAsia="Arial"/>
          <w:b/>
          <w:i w:val="0"/>
          <w:sz w:val="24"/>
        </w:rPr>
        <w:t>adequate and proportionate compensation, if any</w:t>
      </w:r>
      <w:r>
        <w:rPr>
          <w:rFonts w:ascii="Arial" w:hAnsi="Arial" w:eastAsia="Arial"/>
          <w:b w:val="0"/>
          <w:i w:val="0"/>
          <w:sz w:val="24"/>
        </w:rPr>
        <w:t xml:space="preserve">, for planning prejudice — consistent with the colonizer’s own assurance that revision of plans / change of developer shall </w:t>
      </w:r>
      <w:r>
        <w:rPr>
          <w:rFonts w:ascii="Arial" w:hAnsi="Arial" w:eastAsia="Arial"/>
          <w:b/>
          <w:i w:val="0"/>
          <w:sz w:val="24"/>
        </w:rPr>
        <w:t>not adversely affect</w:t>
      </w:r>
      <w:r>
        <w:rPr>
          <w:rFonts w:ascii="Arial" w:hAnsi="Arial" w:eastAsia="Arial"/>
          <w:b w:val="0"/>
          <w:i w:val="0"/>
          <w:sz w:val="24"/>
        </w:rPr>
        <w:t xml:space="preserve"> existing rights and claims, </w:t>
      </w:r>
      <w:r>
        <w:rPr>
          <w:rFonts w:ascii="Arial" w:hAnsi="Arial" w:eastAsia="Arial"/>
          <w:b/>
          <w:i w:val="0"/>
          <w:sz w:val="24"/>
        </w:rPr>
        <w:t>including monetary claims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 Prayer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It is respectfully prayed that your good office may kindly: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3.1.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Take this note on record</w:t>
      </w:r>
      <w:r>
        <w:rPr>
          <w:rFonts w:ascii="Arial" w:hAnsi="Arial" w:eastAsia="Arial"/>
          <w:b w:val="0"/>
          <w:i w:val="0"/>
          <w:sz w:val="24"/>
        </w:rPr>
        <w:t xml:space="preserve"> on file </w:t>
      </w:r>
      <w:r>
        <w:rPr>
          <w:rFonts w:ascii="Arial" w:hAnsi="Arial" w:eastAsia="Arial"/>
          <w:b/>
          <w:i w:val="0"/>
          <w:sz w:val="24"/>
        </w:rPr>
        <w:t>RERA-GRG-2264-2026</w:t>
      </w:r>
      <w:r>
        <w:rPr>
          <w:rFonts w:ascii="Arial" w:hAnsi="Arial" w:eastAsia="Arial"/>
          <w:b w:val="0"/>
          <w:i w:val="0"/>
          <w:sz w:val="24"/>
        </w:rPr>
        <w:t xml:space="preserve"> and on the execution file of 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 / </w:t>
      </w:r>
      <w:r>
        <w:rPr>
          <w:rFonts w:ascii="Arial" w:hAnsi="Arial" w:eastAsia="Arial"/>
          <w:b/>
          <w:i w:val="0"/>
          <w:sz w:val="24"/>
        </w:rPr>
        <w:t>RERA-GRG-5309-2024</w:t>
      </w:r>
      <w:r>
        <w:rPr>
          <w:rFonts w:ascii="Arial" w:hAnsi="Arial" w:eastAsia="Arial"/>
          <w:b w:val="0"/>
          <w:i w:val="0"/>
          <w:sz w:val="24"/>
        </w:rPr>
        <w:t xml:space="preserve"> (Unit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>); and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3.2.</w:t>
      </w:r>
      <w:r>
        <w:rPr>
          <w:rFonts w:ascii="Arial" w:hAnsi="Arial" w:eastAsia="Arial"/>
          <w:b w:val="0"/>
          <w:i w:val="0"/>
          <w:sz w:val="24"/>
        </w:rPr>
        <w:t xml:space="preserve"> Treat the clarifications in </w:t>
      </w:r>
      <w:r>
        <w:rPr>
          <w:rFonts w:ascii="Arial" w:hAnsi="Arial" w:eastAsia="Arial"/>
          <w:b/>
          <w:i w:val="0"/>
          <w:sz w:val="24"/>
        </w:rPr>
        <w:t>paras 2.1 to 2.4</w:t>
      </w:r>
      <w:r>
        <w:rPr>
          <w:rFonts w:ascii="Arial" w:hAnsi="Arial" w:eastAsia="Arial"/>
          <w:b w:val="0"/>
          <w:i w:val="0"/>
          <w:sz w:val="24"/>
        </w:rPr>
        <w:t xml:space="preserve"> as part of the </w:t>
      </w:r>
      <w:r>
        <w:rPr>
          <w:rFonts w:ascii="Arial" w:hAnsi="Arial" w:eastAsia="Arial"/>
          <w:b/>
          <w:i w:val="0"/>
          <w:sz w:val="24"/>
        </w:rPr>
        <w:t>same protective record</w:t>
      </w:r>
      <w:r>
        <w:rPr>
          <w:rFonts w:ascii="Arial" w:hAnsi="Arial" w:eastAsia="Arial"/>
          <w:b w:val="0"/>
          <w:i w:val="0"/>
          <w:sz w:val="24"/>
        </w:rPr>
        <w:t xml:space="preserve"> as my letters dated </w:t>
      </w:r>
      <w:r>
        <w:rPr>
          <w:rFonts w:ascii="Arial" w:hAnsi="Arial" w:eastAsia="Arial"/>
          <w:b/>
          <w:i w:val="0"/>
          <w:sz w:val="24"/>
        </w:rPr>
        <w:t>25.06.2026</w:t>
      </w:r>
      <w:r>
        <w:rPr>
          <w:rFonts w:ascii="Arial" w:hAnsi="Arial" w:eastAsia="Arial"/>
          <w:b w:val="0"/>
          <w:i w:val="0"/>
          <w:sz w:val="24"/>
        </w:rPr>
        <w:t xml:space="preserve"> / </w:t>
      </w:r>
      <w:r>
        <w:rPr>
          <w:rFonts w:ascii="Arial" w:hAnsi="Arial" w:eastAsia="Arial"/>
          <w:b/>
          <w:i w:val="0"/>
          <w:sz w:val="24"/>
        </w:rPr>
        <w:t>29.06.2026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without prejudice</w:t>
      </w:r>
      <w:r>
        <w:rPr>
          <w:rFonts w:ascii="Arial" w:hAnsi="Arial" w:eastAsia="Arial"/>
          <w:b w:val="0"/>
          <w:i w:val="0"/>
          <w:sz w:val="24"/>
        </w:rPr>
        <w:t xml:space="preserve"> to all rights under the </w:t>
      </w:r>
      <w:r>
        <w:rPr>
          <w:rFonts w:ascii="Arial" w:hAnsi="Arial" w:eastAsia="Arial"/>
          <w:b/>
          <w:i w:val="0"/>
          <w:sz w:val="24"/>
        </w:rPr>
        <w:t>Builder Buyer Agreement</w:t>
      </w:r>
      <w:r>
        <w:rPr>
          <w:rFonts w:ascii="Arial" w:hAnsi="Arial" w:eastAsia="Arial"/>
          <w:b w:val="0"/>
          <w:i w:val="0"/>
          <w:sz w:val="24"/>
        </w:rPr>
        <w:t xml:space="preserve">, the </w:t>
      </w:r>
      <w:r>
        <w:rPr>
          <w:rFonts w:ascii="Arial" w:hAnsi="Arial" w:eastAsia="Arial"/>
          <w:b/>
          <w:i w:val="0"/>
          <w:sz w:val="24"/>
        </w:rPr>
        <w:t>order dated 18.04.2024</w:t>
      </w:r>
      <w:r>
        <w:rPr>
          <w:rFonts w:ascii="Arial" w:hAnsi="Arial" w:eastAsia="Arial"/>
          <w:b w:val="0"/>
          <w:i w:val="0"/>
          <w:sz w:val="24"/>
        </w:rPr>
        <w:t xml:space="preserve">, and </w:t>
      </w:r>
      <w:r>
        <w:rPr>
          <w:rFonts w:ascii="Arial" w:hAnsi="Arial" w:eastAsia="Arial"/>
          <w:b/>
          <w:i w:val="0"/>
          <w:sz w:val="24"/>
        </w:rPr>
        <w:t>Section 18</w:t>
      </w:r>
      <w:r>
        <w:rPr>
          <w:rFonts w:ascii="Arial" w:hAnsi="Arial" w:eastAsia="Arial"/>
          <w:b w:val="0"/>
          <w:i w:val="0"/>
          <w:sz w:val="24"/>
        </w:rPr>
        <w:t xml:space="preserve"> of the Act, 2016.</w:t>
      </w:r>
    </w:p>
    <w:p>
      <w:pPr>
        <w:spacing w:after="80" w:line="276" w:lineRule="auto"/>
        <w:jc w:val="both"/>
      </w:pP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Place:</w:t>
      </w:r>
      <w:r>
        <w:rPr>
          <w:rFonts w:ascii="Arial" w:hAnsi="Arial" w:eastAsia="Arial"/>
          <w:b w:val="0"/>
          <w:i w:val="0"/>
          <w:sz w:val="24"/>
        </w:rPr>
        <w:t xml:space="preserve"> New Delhi</w:t>
      </w:r>
      <w:r>
        <w:br/>
      </w: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27.08.2026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(Prof. Vijyant Agarwal)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Decree Holder / Allottee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Tower </w:t>
      </w:r>
      <w:r>
        <w:rPr>
          <w:rFonts w:ascii="Arial" w:hAnsi="Arial" w:eastAsia="Arial"/>
          <w:b/>
          <w:i w:val="0"/>
          <w:sz w:val="24"/>
        </w:rPr>
        <w:t>03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prof.vijyant.agarwal@gmail.com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Enclosures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Encl.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Document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HARERA proceedings / order 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10.08.2026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— </w:t>
            </w:r>
            <w:r>
              <w:rPr>
                <w:rFonts w:ascii="Arial" w:hAnsi="Arial" w:eastAsia="Arial"/>
                <w:b/>
                <w:i w:val="0"/>
                <w:sz w:val="24"/>
              </w:rPr>
              <w:t>RERA-GRG-2264-2026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10082026_RERA_Approval_ATS_Grandstand_Phase_1.pdf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2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Allottee </w:t>
            </w:r>
            <w:r>
              <w:rPr>
                <w:rFonts w:ascii="Arial" w:hAnsi="Arial" w:eastAsia="Arial"/>
                <w:b/>
                <w:i w:val="0"/>
                <w:sz w:val="24"/>
              </w:rPr>
              <w:t>consent letter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25.06.2026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3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Colonizer </w:t>
            </w:r>
            <w:r>
              <w:rPr>
                <w:rFonts w:ascii="Arial" w:hAnsi="Arial" w:eastAsia="Arial"/>
                <w:b/>
                <w:i w:val="0"/>
                <w:sz w:val="24"/>
              </w:rPr>
              <w:t>affidavit-cum-undertaking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25.06.2026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(Unit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3051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4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Allottee clarification letter 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29.06.2026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(consent to be read with Encl.3)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