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eastAsia="Times New Roman"/>
          <w:b/>
          <w:i w:val="0"/>
          <w:sz w:val="20"/>
        </w:rPr>
        <w:t>Last updated:</w:t>
      </w:r>
      <w:r>
        <w:rPr>
          <w:rFonts w:ascii="Times New Roman" w:hAnsi="Times New Roman" w:eastAsia="Times New Roman"/>
          <w:b w:val="0"/>
          <w:i w:val="0"/>
          <w:sz w:val="20"/>
        </w:rPr>
        <w:t xml:space="preserve"> 22.06.2026 10:09:26</w:t>
      </w:r>
    </w:p>
    <w:p>
      <w:pPr>
        <w:spacing w:after="160" w:line="276" w:lineRule="auto"/>
        <w:jc w:val="both"/>
      </w:pPr>
      <w:r>
        <w:rPr>
          <w:rFonts w:ascii="Times New Roman" w:hAnsi="Times New Roman" w:eastAsia="Times New Roman"/>
          <w:b/>
          <w:i w:val="0"/>
          <w:sz w:val="22"/>
        </w:rPr>
        <w:t>Affidavit-cum-Undertaking (Builder Group) — specific to Unit No. 3051</w:t>
      </w:r>
    </w:p>
    <w:p>
      <w:pPr>
        <w:spacing w:after="120" w:line="276" w:lineRule="auto"/>
        <w:jc w:val="both"/>
      </w:pPr>
      <w:r>
        <w:rPr>
          <w:rFonts w:ascii="Times New Roman" w:hAnsi="Times New Roman" w:eastAsia="Times New Roman"/>
          <w:b/>
          <w:i w:val="0"/>
          <w:sz w:val="22"/>
        </w:rPr>
        <w:t>Purpose:</w:t>
      </w:r>
      <w:r>
        <w:rPr>
          <w:rFonts w:ascii="Times New Roman" w:hAnsi="Times New Roman" w:eastAsia="Times New Roman"/>
          <w:b w:val="0"/>
          <w:i w:val="0"/>
          <w:sz w:val="22"/>
        </w:rPr>
        <w:t xml:space="preserve"> </w:t>
      </w:r>
      <w:r>
        <w:rPr>
          <w:rFonts w:ascii="Times New Roman" w:hAnsi="Times New Roman" w:eastAsia="Times New Roman"/>
          <w:b/>
          <w:i w:val="0"/>
          <w:sz w:val="22"/>
        </w:rPr>
        <w:t>Part I</w:t>
      </w:r>
      <w:r>
        <w:rPr>
          <w:rFonts w:ascii="Times New Roman" w:hAnsi="Times New Roman" w:eastAsia="Times New Roman"/>
          <w:b w:val="0"/>
          <w:i w:val="0"/>
          <w:sz w:val="22"/>
        </w:rPr>
        <w:t xml:space="preserve"> is based on the text of the generic joint affidavit dated </w:t>
      </w:r>
      <w:r>
        <w:rPr>
          <w:rFonts w:ascii="Times New Roman" w:hAnsi="Times New Roman" w:eastAsia="Times New Roman"/>
          <w:b/>
          <w:i w:val="0"/>
          <w:sz w:val="22"/>
        </w:rPr>
        <w:t>08.06.2026</w:t>
      </w:r>
      <w:r>
        <w:rPr>
          <w:rFonts w:ascii="Times New Roman" w:hAnsi="Times New Roman" w:eastAsia="Times New Roman"/>
          <w:b w:val="0"/>
          <w:i w:val="0"/>
          <w:sz w:val="22"/>
        </w:rPr>
        <w:t xml:space="preserve"> (as tendered before DTCP). </w:t>
      </w:r>
      <w:r>
        <w:rPr>
          <w:rFonts w:ascii="Times New Roman" w:hAnsi="Times New Roman" w:eastAsia="Times New Roman"/>
          <w:b/>
          <w:i w:val="0"/>
          <w:sz w:val="22"/>
        </w:rPr>
        <w:t>Part II</w:t>
      </w:r>
      <w:r>
        <w:rPr>
          <w:rFonts w:ascii="Times New Roman" w:hAnsi="Times New Roman" w:eastAsia="Times New Roman"/>
          <w:b w:val="0"/>
          <w:i w:val="0"/>
          <w:sz w:val="22"/>
        </w:rPr>
        <w:t xml:space="preserve"> contains Unit </w:t>
      </w:r>
      <w:r>
        <w:rPr>
          <w:rFonts w:ascii="Times New Roman" w:hAnsi="Times New Roman" w:eastAsia="Times New Roman"/>
          <w:b/>
          <w:i w:val="0"/>
          <w:sz w:val="22"/>
        </w:rPr>
        <w:t>3051</w:t>
      </w:r>
      <w:r>
        <w:rPr>
          <w:rFonts w:ascii="Times New Roman" w:hAnsi="Times New Roman" w:eastAsia="Times New Roman"/>
          <w:b w:val="0"/>
          <w:i w:val="0"/>
          <w:sz w:val="22"/>
        </w:rPr>
        <w:t>-specific undertakings.</w:t>
      </w:r>
    </w:p>
    <w:p>
      <w:pPr>
        <w:spacing w:after="120" w:line="276" w:lineRule="auto"/>
        <w:jc w:val="both"/>
      </w:pPr>
      <w:r>
        <w:rPr>
          <w:rFonts w:ascii="Times New Roman" w:hAnsi="Times New Roman" w:eastAsia="Times New Roman"/>
          <w:b/>
          <w:i w:val="0"/>
          <w:sz w:val="22"/>
        </w:rPr>
        <w:t>Date:</w:t>
      </w:r>
      <w:r>
        <w:rPr>
          <w:rFonts w:ascii="Times New Roman" w:hAnsi="Times New Roman" w:eastAsia="Times New Roman"/>
          <w:b w:val="0"/>
          <w:i w:val="0"/>
          <w:sz w:val="22"/>
        </w:rPr>
        <w:t xml:space="preserve"> 20.06.2026</w:t>
      </w:r>
    </w:p>
    <w:p>
      <w:pPr>
        <w:spacing w:after="80" w:line="276" w:lineRule="auto"/>
        <w:jc w:val="both"/>
      </w:pPr>
    </w:p>
    <w:p>
      <w:pPr>
        <w:spacing w:after="160" w:line="276" w:lineRule="auto"/>
        <w:jc w:val="center"/>
      </w:pPr>
      <w:r>
        <w:rPr>
          <w:rFonts w:ascii="Times New Roman" w:hAnsi="Times New Roman" w:eastAsia="Times New Roman"/>
          <w:b/>
          <w:i w:val="0"/>
          <w:sz w:val="24"/>
        </w:rPr>
        <w:t>AFFIDAVIT-CUM-UNDERTAKING</w:t>
      </w:r>
    </w:p>
    <w:p>
      <w:pPr>
        <w:spacing w:after="160" w:line="276" w:lineRule="auto"/>
        <w:jc w:val="center"/>
      </w:pPr>
      <w:r>
        <w:rPr>
          <w:rFonts w:ascii="Times New Roman" w:hAnsi="Times New Roman" w:eastAsia="Times New Roman"/>
          <w:b/>
          <w:i w:val="0"/>
          <w:sz w:val="22"/>
        </w:rPr>
        <w:t>Specific to Unit No. 3051 — ATS Grandstand Phase-I, Sector 99A, Gurugram</w:t>
      </w:r>
    </w:p>
    <w:p>
      <w:pPr>
        <w:spacing w:after="80" w:line="276" w:lineRule="auto"/>
        <w:jc w:val="both"/>
      </w:pPr>
    </w:p>
    <w:p>
      <w:pPr>
        <w:spacing w:after="160" w:line="276" w:lineRule="auto"/>
        <w:jc w:val="both"/>
      </w:pPr>
      <w:r>
        <w:rPr>
          <w:rFonts w:ascii="Times New Roman" w:hAnsi="Times New Roman" w:eastAsia="Times New Roman"/>
          <w:b/>
          <w:i w:val="0"/>
          <w:sz w:val="22"/>
        </w:rPr>
        <w:t>PART I</w:t>
      </w:r>
    </w:p>
    <w:p>
      <w:pPr>
        <w:spacing w:after="120" w:line="276" w:lineRule="auto"/>
        <w:jc w:val="both"/>
      </w:pPr>
      <w:r>
        <w:rPr>
          <w:rFonts w:ascii="Times New Roman" w:hAnsi="Times New Roman" w:eastAsia="Times New Roman"/>
          <w:b w:val="0"/>
          <w:i w:val="0"/>
          <w:sz w:val="22"/>
        </w:rPr>
        <w:t>We, Shivam Wadhwa, presently discharging my duties as Authorized Representative of M/s ATS Realworth Private Limited (Company/Judgment Debtor) having its registered office at 711/92, Deepali, Nehru Place, New Delhi-110019, Rajeev Gupta M/s Hasta Infrastructure Private Limited having registered office 296, Forest Lane, Sainik Farm, Neb Sarai, New Delhi-110068 and Shivam Wadhwa Authorized Representative of new Developer company M/s Homekraft Infra Private Limited having registered office at 711/92, Deepali, Nehru Place, New Delhi-110019, do hereby solemnly affirm and declare and as under:</w:t>
      </w:r>
    </w:p>
    <w:p>
      <w:pPr>
        <w:spacing w:after="120" w:line="276" w:lineRule="auto"/>
        <w:jc w:val="both"/>
      </w:pPr>
      <w:r>
        <w:rPr>
          <w:rFonts w:ascii="Times New Roman" w:hAnsi="Times New Roman" w:eastAsia="Times New Roman"/>
          <w:b w:val="0"/>
          <w:i w:val="0"/>
          <w:sz w:val="22"/>
        </w:rPr>
        <w:t>This AFFIDAVIT-CUM-UNDERTAKING applies to Prof. Vijyant Agarwal and Mrs. Vineeta Agarwal, allottee of Unit No. 3051, Tower No. 03, ATS Grandstand Phase-I, Sector 99A, Gurugram.</w:t>
      </w:r>
    </w:p>
    <w:p>
      <w:pPr>
        <w:spacing w:after="120" w:line="276" w:lineRule="auto"/>
        <w:jc w:val="both"/>
      </w:pPr>
      <w:r>
        <w:rPr>
          <w:rFonts w:ascii="Times New Roman" w:hAnsi="Times New Roman" w:eastAsia="Times New Roman"/>
          <w:b w:val="0"/>
          <w:i w:val="0"/>
          <w:sz w:val="22"/>
        </w:rPr>
        <w:t>1. I/We say that the present affidavit is being submitted by the Company(s) in view of concern raised by allottees "Decree Holder" in relation to compliance of Order passed by the Hon'ble Haryana Real Estate Regulatory Authority, Gurugram "HRERA" and/or Haryana Real Estate Appellate Tribunal "HREAT" in favour of Decree Holder versus ATS Realworth Private Limited, and in line with the objections filed by Decree Holders in context with approval of revised building plan of Group housing measuring 11.5878Acs in Sector 99A, Gurugram bearing (License no: 37 of 2013 dated 03.06.2013).</w:t>
      </w:r>
    </w:p>
    <w:p>
      <w:pPr>
        <w:spacing w:after="120" w:line="276" w:lineRule="auto"/>
        <w:jc w:val="both"/>
      </w:pPr>
      <w:r>
        <w:rPr>
          <w:rFonts w:ascii="Times New Roman" w:hAnsi="Times New Roman" w:eastAsia="Times New Roman"/>
          <w:b w:val="0"/>
          <w:i w:val="0"/>
          <w:sz w:val="22"/>
        </w:rPr>
        <w:t>2. That Decree Holders seeking enforcement of the Judgment/Orders ("Judgment"), passed by the Hon'ble HRERA Authority and/or HREAT, in their respective Complaint wherein the Hon'ble HRERA Authority was pleased to pass payment of monthly Pre-EMI and/or Refund, delay Possession Compensation, possession, as the case may be.</w:t>
      </w:r>
    </w:p>
    <w:p>
      <w:pPr>
        <w:spacing w:after="120" w:line="276" w:lineRule="auto"/>
        <w:jc w:val="both"/>
      </w:pPr>
      <w:r>
        <w:rPr>
          <w:rFonts w:ascii="Times New Roman" w:hAnsi="Times New Roman" w:eastAsia="Times New Roman"/>
          <w:b w:val="0"/>
          <w:i w:val="0"/>
          <w:sz w:val="22"/>
        </w:rPr>
        <w:t>3. That the Judgment Debtor Company, Hasta and Homekraft hereby declare and jointly undertake to pay the said monthly Pre-EMI in a time-bound manner until offer and delivery of possession of the allotted unit, and to remit such Pre-EMI directly to the financial institution in accordance with the agreed terms of the Builder Buyer Agreement or in due compliance with the court Judgment.</w:t>
      </w:r>
    </w:p>
    <w:p>
      <w:pPr>
        <w:spacing w:after="120" w:line="276" w:lineRule="auto"/>
        <w:jc w:val="both"/>
      </w:pPr>
      <w:r>
        <w:rPr>
          <w:rFonts w:ascii="Times New Roman" w:hAnsi="Times New Roman" w:eastAsia="Times New Roman"/>
          <w:b w:val="0"/>
          <w:i w:val="0"/>
          <w:sz w:val="22"/>
        </w:rPr>
        <w:t>4. That the rights and entitlements of the Decree Holders arising under the Builder Buyer Agreement and the Order passed by the Hon'ble RERA Authority and/or HREAT shall remain fully protected and enforceable in their entirety. It is further assured that revision of building plans, change of developer, or any other modification shall neither dilute, extinguish, nor adversely affect the existing rights and claims of the Decree Holders, including but not limited to rights relating to the allotted unit, monetary claims, delay possession compensation, Pre-EMI/EMI liabilities and reimbursements, possession, inspection, and execution and enforcement of the Judgment.</w:t>
      </w:r>
    </w:p>
    <w:p>
      <w:pPr>
        <w:spacing w:after="120" w:line="276" w:lineRule="auto"/>
        <w:jc w:val="both"/>
      </w:pPr>
      <w:r>
        <w:rPr>
          <w:rFonts w:ascii="Times New Roman" w:hAnsi="Times New Roman" w:eastAsia="Times New Roman"/>
          <w:b w:val="0"/>
          <w:i w:val="0"/>
          <w:sz w:val="22"/>
        </w:rPr>
        <w:t>5. That Hasta and HomeKraft do hereby jointly and severally undertake, covenant and affirm that they shall faithfully honour, perform and be bound by all commitments, obligations, assurances and undertakings made by the Judgment Debtor in the foregoing paragraphs, without any objection and demur thereto. Further, they shall remain liable to ensure due compliance thereof in letter as well as in spirit, without prejudice to the rights and entitlements of the Decree Holder and parties herein.</w:t>
      </w:r>
    </w:p>
    <w:p>
      <w:pPr>
        <w:spacing w:after="80" w:line="276" w:lineRule="auto"/>
        <w:jc w:val="both"/>
      </w:pPr>
    </w:p>
    <w:p>
      <w:pPr>
        <w:spacing w:after="160" w:line="276" w:lineRule="auto"/>
        <w:jc w:val="both"/>
      </w:pPr>
      <w:r>
        <w:rPr>
          <w:rFonts w:ascii="Times New Roman" w:hAnsi="Times New Roman" w:eastAsia="Times New Roman"/>
          <w:b/>
          <w:i w:val="0"/>
          <w:sz w:val="22"/>
        </w:rPr>
        <w:t>PART II — Unit No. 3051 — specific undertakings</w:t>
      </w:r>
    </w:p>
    <w:p>
      <w:pPr>
        <w:spacing w:after="120" w:line="276" w:lineRule="auto"/>
        <w:jc w:val="both"/>
      </w:pPr>
      <w:r>
        <w:rPr>
          <w:rFonts w:ascii="Times New Roman" w:hAnsi="Times New Roman" w:eastAsia="Times New Roman"/>
          <w:b w:val="0"/>
          <w:i/>
          <w:sz w:val="22"/>
        </w:rPr>
        <w:t>(Not in generic affidavit dated 08.06.2026)</w:t>
      </w:r>
    </w:p>
    <w:p>
      <w:pPr>
        <w:spacing w:after="120" w:line="276" w:lineRule="auto"/>
        <w:jc w:val="both"/>
      </w:pPr>
      <w:r>
        <w:rPr>
          <w:rFonts w:ascii="Times New Roman" w:hAnsi="Times New Roman" w:eastAsia="Times New Roman"/>
          <w:b/>
          <w:i w:val="0"/>
          <w:sz w:val="22"/>
        </w:rPr>
        <w:t>6. Direct Pre-EMI to financial institution; refund; unconditional.</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Builder Group shall remit Pre-EMI </w:t>
      </w:r>
      <w:r>
        <w:rPr>
          <w:rFonts w:ascii="Times New Roman" w:hAnsi="Times New Roman" w:eastAsia="Times New Roman"/>
          <w:b/>
          <w:i w:val="0"/>
          <w:sz w:val="22"/>
        </w:rPr>
        <w:t>directly to the financial institution</w:t>
      </w:r>
      <w:r>
        <w:rPr>
          <w:rFonts w:ascii="Times New Roman" w:hAnsi="Times New Roman" w:eastAsia="Times New Roman"/>
          <w:b w:val="0"/>
          <w:i w:val="0"/>
          <w:sz w:val="22"/>
        </w:rPr>
        <w:t xml:space="preserve"> in accordance with the agreed terms of the Builder Buyer Agreement or in due compliance with the court Judgment (not through the allottees). The allottees </w:t>
      </w:r>
      <w:r>
        <w:rPr>
          <w:rFonts w:ascii="Times New Roman" w:hAnsi="Times New Roman" w:eastAsia="Times New Roman"/>
          <w:b/>
          <w:i w:val="0"/>
          <w:sz w:val="22"/>
        </w:rPr>
        <w:t>shall not</w:t>
      </w:r>
      <w:r>
        <w:rPr>
          <w:rFonts w:ascii="Times New Roman" w:hAnsi="Times New Roman" w:eastAsia="Times New Roman"/>
          <w:b w:val="0"/>
          <w:i w:val="0"/>
          <w:sz w:val="22"/>
        </w:rPr>
        <w:t xml:space="preserve"> pay Pre-EMI from their own funds during the subvention period. The Builder Group shall </w:t>
      </w:r>
      <w:r>
        <w:rPr>
          <w:rFonts w:ascii="Times New Roman" w:hAnsi="Times New Roman" w:eastAsia="Times New Roman"/>
          <w:b/>
          <w:i w:val="0"/>
          <w:sz w:val="22"/>
        </w:rPr>
        <w:t>refund and/or credit to the loan account</w:t>
      </w:r>
      <w:r>
        <w:rPr>
          <w:rFonts w:ascii="Times New Roman" w:hAnsi="Times New Roman" w:eastAsia="Times New Roman"/>
          <w:b w:val="0"/>
          <w:i w:val="0"/>
          <w:sz w:val="22"/>
        </w:rPr>
        <w:t xml:space="preserve"> all Pre-EMI already paid by the Decree-holders that was the </w:t>
      </w:r>
      <w:r>
        <w:rPr>
          <w:rFonts w:ascii="Times New Roman" w:hAnsi="Times New Roman" w:eastAsia="Times New Roman"/>
          <w:b/>
          <w:i w:val="0"/>
          <w:sz w:val="22"/>
        </w:rPr>
        <w:t>Builder Group’s obligation</w:t>
      </w:r>
      <w:r>
        <w:rPr>
          <w:rFonts w:ascii="Times New Roman" w:hAnsi="Times New Roman" w:eastAsia="Times New Roman"/>
          <w:b w:val="0"/>
          <w:i w:val="0"/>
          <w:sz w:val="22"/>
        </w:rPr>
        <w:t xml:space="preserve">. The Builder Group may </w:t>
      </w:r>
      <w:r>
        <w:rPr>
          <w:rFonts w:ascii="Times New Roman" w:hAnsi="Times New Roman" w:eastAsia="Times New Roman"/>
          <w:b/>
          <w:i w:val="0"/>
          <w:sz w:val="22"/>
        </w:rPr>
        <w:t>foreclose or pre-close</w:t>
      </w:r>
      <w:r>
        <w:rPr>
          <w:rFonts w:ascii="Times New Roman" w:hAnsi="Times New Roman" w:eastAsia="Times New Roman"/>
          <w:b w:val="0"/>
          <w:i w:val="0"/>
          <w:sz w:val="22"/>
        </w:rPr>
        <w:t xml:space="preserve"> the home loan with the financial institution as permitted under the </w:t>
      </w:r>
      <w:r>
        <w:rPr>
          <w:rFonts w:ascii="Times New Roman" w:hAnsi="Times New Roman" w:eastAsia="Times New Roman"/>
          <w:b/>
          <w:i w:val="0"/>
          <w:sz w:val="22"/>
        </w:rPr>
        <w:t>Builder Buyer Agreement</w:t>
      </w:r>
      <w:r>
        <w:rPr>
          <w:rFonts w:ascii="Times New Roman" w:hAnsi="Times New Roman" w:eastAsia="Times New Roman"/>
          <w:b w:val="0"/>
          <w:i w:val="0"/>
          <w:sz w:val="22"/>
        </w:rPr>
        <w:t xml:space="preserve"> and subvention arrangement; any </w:t>
      </w:r>
      <w:r>
        <w:rPr>
          <w:rFonts w:ascii="Times New Roman" w:hAnsi="Times New Roman" w:eastAsia="Times New Roman"/>
          <w:b/>
          <w:i w:val="0"/>
          <w:sz w:val="22"/>
        </w:rPr>
        <w:t>outstanding loan balance</w:t>
      </w:r>
      <w:r>
        <w:rPr>
          <w:rFonts w:ascii="Times New Roman" w:hAnsi="Times New Roman" w:eastAsia="Times New Roman"/>
          <w:b w:val="0"/>
          <w:i w:val="0"/>
          <w:sz w:val="22"/>
        </w:rPr>
        <w:t xml:space="preserve"> shall be </w:t>
      </w:r>
      <w:r>
        <w:rPr>
          <w:rFonts w:ascii="Times New Roman" w:hAnsi="Times New Roman" w:eastAsia="Times New Roman"/>
          <w:b/>
          <w:i w:val="0"/>
          <w:sz w:val="22"/>
        </w:rPr>
        <w:t>paid or settled by the Builder Group at the time of lawful physical possession</w:t>
      </w:r>
      <w:r>
        <w:rPr>
          <w:rFonts w:ascii="Times New Roman" w:hAnsi="Times New Roman" w:eastAsia="Times New Roman"/>
          <w:b w:val="0"/>
          <w:i w:val="0"/>
          <w:sz w:val="22"/>
        </w:rPr>
        <w:t xml:space="preserve"> in accordance with the </w:t>
      </w:r>
      <w:r>
        <w:rPr>
          <w:rFonts w:ascii="Times New Roman" w:hAnsi="Times New Roman" w:eastAsia="Times New Roman"/>
          <w:b/>
          <w:i w:val="0"/>
          <w:sz w:val="22"/>
        </w:rPr>
        <w:t>BBA</w:t>
      </w:r>
      <w:r>
        <w:rPr>
          <w:rFonts w:ascii="Times New Roman" w:hAnsi="Times New Roman" w:eastAsia="Times New Roman"/>
          <w:b w:val="0"/>
          <w:i w:val="0"/>
          <w:sz w:val="22"/>
        </w:rPr>
        <w:t xml:space="preserve">, and </w:t>
      </w:r>
      <w:r>
        <w:rPr>
          <w:rFonts w:ascii="Times New Roman" w:hAnsi="Times New Roman" w:eastAsia="Times New Roman"/>
          <w:b/>
          <w:i w:val="0"/>
          <w:sz w:val="22"/>
        </w:rPr>
        <w:t>shall not</w:t>
      </w:r>
      <w:r>
        <w:rPr>
          <w:rFonts w:ascii="Times New Roman" w:hAnsi="Times New Roman" w:eastAsia="Times New Roman"/>
          <w:b w:val="0"/>
          <w:i w:val="0"/>
          <w:sz w:val="22"/>
        </w:rPr>
        <w:t xml:space="preserve"> be demanded from the allottees during the subvention period.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mere filing or pendency of any appeal/revision shall not suspend</w:t>
      </w:r>
      <w:r>
        <w:rPr>
          <w:rFonts w:ascii="Times New Roman" w:hAnsi="Times New Roman" w:eastAsia="Times New Roman"/>
          <w:b w:val="0"/>
          <w:i w:val="0"/>
          <w:sz w:val="22"/>
        </w:rPr>
        <w:t xml:space="preserve"> such payment. Enclosed </w:t>
      </w:r>
      <w:r>
        <w:rPr>
          <w:rFonts w:ascii="Times New Roman" w:hAnsi="Times New Roman" w:eastAsia="Times New Roman"/>
          <w:b/>
          <w:i w:val="0"/>
          <w:sz w:val="22"/>
        </w:rPr>
        <w:t>builder letter to the financial institution</w:t>
      </w:r>
      <w:r>
        <w:rPr>
          <w:rFonts w:ascii="Times New Roman" w:hAnsi="Times New Roman" w:eastAsia="Times New Roman"/>
          <w:b w:val="0"/>
          <w:i w:val="0"/>
          <w:sz w:val="22"/>
        </w:rPr>
        <w:t xml:space="preserve"> (Enclosure </w:t>
      </w:r>
      <w:r>
        <w:rPr>
          <w:rFonts w:ascii="Times New Roman" w:hAnsi="Times New Roman" w:eastAsia="Times New Roman"/>
          <w:b/>
          <w:i w:val="0"/>
          <w:sz w:val="22"/>
        </w:rPr>
        <w:t>E1</w:t>
      </w:r>
      <w:r>
        <w:rPr>
          <w:rFonts w:ascii="Times New Roman" w:hAnsi="Times New Roman" w:eastAsia="Times New Roman"/>
          <w:b w:val="0"/>
          <w:i w:val="0"/>
          <w:sz w:val="22"/>
        </w:rPr>
        <w:t>) forms part of this undertaking.</w:t>
      </w:r>
    </w:p>
    <w:p>
      <w:pPr>
        <w:spacing w:after="120" w:line="276" w:lineRule="auto"/>
        <w:jc w:val="both"/>
      </w:pPr>
      <w:r>
        <w:rPr>
          <w:rFonts w:ascii="Times New Roman" w:hAnsi="Times New Roman" w:eastAsia="Times New Roman"/>
          <w:b/>
          <w:i w:val="0"/>
          <w:sz w:val="22"/>
        </w:rPr>
        <w:t>7. Delay possession compensation.</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Builder Group </w:t>
      </w:r>
      <w:r>
        <w:rPr>
          <w:rFonts w:ascii="Times New Roman" w:hAnsi="Times New Roman" w:eastAsia="Times New Roman"/>
          <w:b/>
          <w:i w:val="0"/>
          <w:sz w:val="22"/>
        </w:rPr>
        <w:t>undertakes to pay delay possession compensation</w:t>
      </w:r>
      <w:r>
        <w:rPr>
          <w:rFonts w:ascii="Times New Roman" w:hAnsi="Times New Roman" w:eastAsia="Times New Roman"/>
          <w:b w:val="0"/>
          <w:i w:val="0"/>
          <w:sz w:val="22"/>
        </w:rPr>
        <w:t xml:space="preserve"> or other monetary relief under the </w:t>
      </w:r>
      <w:r>
        <w:rPr>
          <w:rFonts w:ascii="Times New Roman" w:hAnsi="Times New Roman" w:eastAsia="Times New Roman"/>
          <w:b/>
          <w:i w:val="0"/>
          <w:sz w:val="22"/>
        </w:rPr>
        <w:t>applicable provisions of the RERA Act or the rules or regulations or orders thereunder or the HARERA order</w:t>
      </w:r>
      <w:r>
        <w:rPr>
          <w:rFonts w:ascii="Times New Roman" w:hAnsi="Times New Roman" w:eastAsia="Times New Roman"/>
          <w:b w:val="0"/>
          <w:i w:val="0"/>
          <w:sz w:val="22"/>
        </w:rPr>
        <w:t xml:space="preserve">, as due per the </w:t>
      </w:r>
      <w:r>
        <w:rPr>
          <w:rFonts w:ascii="Times New Roman" w:hAnsi="Times New Roman" w:eastAsia="Times New Roman"/>
          <w:b/>
          <w:i w:val="0"/>
          <w:sz w:val="22"/>
        </w:rPr>
        <w:t>BBA possession timeline</w:t>
      </w:r>
      <w:r>
        <w:rPr>
          <w:rFonts w:ascii="Times New Roman" w:hAnsi="Times New Roman" w:eastAsia="Times New Roman"/>
          <w:b w:val="0"/>
          <w:i w:val="0"/>
          <w:sz w:val="22"/>
        </w:rPr>
        <w:t xml:space="preserve">, without arguing that </w:t>
      </w:r>
      <w:r>
        <w:rPr>
          <w:rFonts w:ascii="Times New Roman" w:hAnsi="Times New Roman" w:eastAsia="Times New Roman"/>
          <w:b/>
          <w:i w:val="0"/>
          <w:sz w:val="22"/>
        </w:rPr>
        <w:t>change of developer</w:t>
      </w:r>
      <w:r>
        <w:rPr>
          <w:rFonts w:ascii="Times New Roman" w:hAnsi="Times New Roman" w:eastAsia="Times New Roman"/>
          <w:b w:val="0"/>
          <w:i w:val="0"/>
          <w:sz w:val="22"/>
        </w:rPr>
        <w:t xml:space="preserve"> or </w:t>
      </w:r>
      <w:r>
        <w:rPr>
          <w:rFonts w:ascii="Times New Roman" w:hAnsi="Times New Roman" w:eastAsia="Times New Roman"/>
          <w:b/>
          <w:i w:val="0"/>
          <w:sz w:val="22"/>
        </w:rPr>
        <w:t>revised plan approval</w:t>
      </w:r>
      <w:r>
        <w:rPr>
          <w:rFonts w:ascii="Times New Roman" w:hAnsi="Times New Roman" w:eastAsia="Times New Roman"/>
          <w:b w:val="0"/>
          <w:i w:val="0"/>
          <w:sz w:val="22"/>
        </w:rPr>
        <w:t xml:space="preserve"> extinguishes such liability.</w:t>
      </w:r>
    </w:p>
    <w:p>
      <w:pPr>
        <w:spacing w:after="120" w:line="276" w:lineRule="auto"/>
        <w:jc w:val="both"/>
      </w:pPr>
      <w:r>
        <w:rPr>
          <w:rFonts w:ascii="Times New Roman" w:hAnsi="Times New Roman" w:eastAsia="Times New Roman"/>
          <w:b/>
          <w:i w:val="0"/>
          <w:sz w:val="22"/>
        </w:rPr>
        <w:t>8. Executable judgments/orders.</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w:t>
      </w:r>
      <w:r>
        <w:rPr>
          <w:rFonts w:ascii="Times New Roman" w:hAnsi="Times New Roman" w:eastAsia="Times New Roman"/>
          <w:b/>
          <w:i w:val="0"/>
          <w:sz w:val="22"/>
        </w:rPr>
        <w:t>court Judgment(s)/Order(s)</w:t>
      </w:r>
      <w:r>
        <w:rPr>
          <w:rFonts w:ascii="Times New Roman" w:hAnsi="Times New Roman" w:eastAsia="Times New Roman"/>
          <w:b w:val="0"/>
          <w:i w:val="0"/>
          <w:sz w:val="22"/>
        </w:rPr>
        <w:t xml:space="preserve">, if any, are </w:t>
      </w:r>
      <w:r>
        <w:rPr>
          <w:rFonts w:ascii="Times New Roman" w:hAnsi="Times New Roman" w:eastAsia="Times New Roman"/>
          <w:b/>
          <w:i w:val="0"/>
          <w:sz w:val="22"/>
        </w:rPr>
        <w:t>presently executable</w:t>
      </w:r>
      <w:r>
        <w:rPr>
          <w:rFonts w:ascii="Times New Roman" w:hAnsi="Times New Roman" w:eastAsia="Times New Roman"/>
          <w:b w:val="0"/>
          <w:i w:val="0"/>
          <w:sz w:val="22"/>
        </w:rPr>
        <w:t xml:space="preserve"> unless </w:t>
      </w:r>
      <w:r>
        <w:rPr>
          <w:rFonts w:ascii="Times New Roman" w:hAnsi="Times New Roman" w:eastAsia="Times New Roman"/>
          <w:b/>
          <w:i w:val="0"/>
          <w:sz w:val="22"/>
        </w:rPr>
        <w:t>specifically stayed</w:t>
      </w:r>
      <w:r>
        <w:rPr>
          <w:rFonts w:ascii="Times New Roman" w:hAnsi="Times New Roman" w:eastAsia="Times New Roman"/>
          <w:b w:val="0"/>
          <w:i w:val="0"/>
          <w:sz w:val="22"/>
        </w:rPr>
        <w:t xml:space="preserve"> by a competent forum.</w:t>
      </w:r>
    </w:p>
    <w:p>
      <w:pPr>
        <w:spacing w:after="120" w:line="276" w:lineRule="auto"/>
        <w:jc w:val="both"/>
      </w:pPr>
      <w:r>
        <w:rPr>
          <w:rFonts w:ascii="Times New Roman" w:hAnsi="Times New Roman" w:eastAsia="Times New Roman"/>
          <w:b/>
          <w:i w:val="0"/>
          <w:sz w:val="22"/>
        </w:rPr>
        <w:t>9. Lawful possession.</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lawful physical possession</w:t>
      </w:r>
      <w:r>
        <w:rPr>
          <w:rFonts w:ascii="Times New Roman" w:hAnsi="Times New Roman" w:eastAsia="Times New Roman"/>
          <w:b w:val="0"/>
          <w:i w:val="0"/>
          <w:sz w:val="22"/>
        </w:rPr>
        <w:t xml:space="preserve"> means handover with </w:t>
      </w:r>
      <w:r>
        <w:rPr>
          <w:rFonts w:ascii="Times New Roman" w:hAnsi="Times New Roman" w:eastAsia="Times New Roman"/>
          <w:b/>
          <w:i w:val="0"/>
          <w:sz w:val="22"/>
        </w:rPr>
        <w:t>OC/CC</w:t>
      </w:r>
      <w:r>
        <w:rPr>
          <w:rFonts w:ascii="Times New Roman" w:hAnsi="Times New Roman" w:eastAsia="Times New Roman"/>
          <w:b w:val="0"/>
          <w:i w:val="0"/>
          <w:sz w:val="22"/>
        </w:rPr>
        <w:t xml:space="preserve"> (as applicable), essential services, fire/lift safety, </w:t>
      </w:r>
      <w:r>
        <w:rPr>
          <w:rFonts w:ascii="Times New Roman" w:hAnsi="Times New Roman" w:eastAsia="Times New Roman"/>
          <w:b/>
          <w:i w:val="0"/>
          <w:sz w:val="22"/>
        </w:rPr>
        <w:t>parking/access as per BBA</w:t>
      </w:r>
      <w:r>
        <w:rPr>
          <w:rFonts w:ascii="Times New Roman" w:hAnsi="Times New Roman" w:eastAsia="Times New Roman"/>
          <w:b w:val="0"/>
          <w:i w:val="0"/>
          <w:sz w:val="22"/>
        </w:rPr>
        <w:t xml:space="preserve">, and RERA-compliant amenities — </w:t>
      </w:r>
      <w:r>
        <w:rPr>
          <w:rFonts w:ascii="Times New Roman" w:hAnsi="Times New Roman" w:eastAsia="Times New Roman"/>
          <w:b/>
          <w:i w:val="0"/>
          <w:sz w:val="22"/>
        </w:rPr>
        <w:t>not</w:t>
      </w:r>
      <w:r>
        <w:rPr>
          <w:rFonts w:ascii="Times New Roman" w:hAnsi="Times New Roman" w:eastAsia="Times New Roman"/>
          <w:b w:val="0"/>
          <w:i w:val="0"/>
          <w:sz w:val="22"/>
        </w:rPr>
        <w:t xml:space="preserve"> paper, symbolic, or incomplete possession. The Builder Group shall provide </w:t>
      </w:r>
      <w:r>
        <w:rPr>
          <w:rFonts w:ascii="Times New Roman" w:hAnsi="Times New Roman" w:eastAsia="Times New Roman"/>
          <w:b/>
          <w:i w:val="0"/>
          <w:sz w:val="22"/>
        </w:rPr>
        <w:t>club membership without any extra charge</w:t>
      </w:r>
      <w:r>
        <w:rPr>
          <w:rFonts w:ascii="Times New Roman" w:hAnsi="Times New Roman" w:eastAsia="Times New Roman"/>
          <w:b w:val="0"/>
          <w:i w:val="0"/>
          <w:sz w:val="22"/>
        </w:rPr>
        <w:t xml:space="preserve"> per the </w:t>
      </w:r>
      <w:r>
        <w:rPr>
          <w:rFonts w:ascii="Times New Roman" w:hAnsi="Times New Roman" w:eastAsia="Times New Roman"/>
          <w:b/>
          <w:i w:val="0"/>
          <w:sz w:val="22"/>
        </w:rPr>
        <w:t>BBA</w:t>
      </w:r>
      <w:r>
        <w:rPr>
          <w:rFonts w:ascii="Times New Roman" w:hAnsi="Times New Roman" w:eastAsia="Times New Roman"/>
          <w:b w:val="0"/>
          <w:i w:val="0"/>
          <w:sz w:val="22"/>
        </w:rPr>
        <w:t xml:space="preserve">, and </w:t>
      </w:r>
      <w:r>
        <w:rPr>
          <w:rFonts w:ascii="Times New Roman" w:hAnsi="Times New Roman" w:eastAsia="Times New Roman"/>
          <w:b/>
          <w:i w:val="0"/>
          <w:sz w:val="22"/>
        </w:rPr>
        <w:t>shall not</w:t>
      </w:r>
      <w:r>
        <w:rPr>
          <w:rFonts w:ascii="Times New Roman" w:hAnsi="Times New Roman" w:eastAsia="Times New Roman"/>
          <w:b w:val="0"/>
          <w:i w:val="0"/>
          <w:sz w:val="22"/>
        </w:rPr>
        <w:t xml:space="preserve"> demand additional membership/access charges on account of </w:t>
      </w:r>
      <w:r>
        <w:rPr>
          <w:rFonts w:ascii="Times New Roman" w:hAnsi="Times New Roman" w:eastAsia="Times New Roman"/>
          <w:b/>
          <w:i w:val="0"/>
          <w:sz w:val="22"/>
        </w:rPr>
        <w:t>Change of Developer (COD)</w:t>
      </w:r>
      <w:r>
        <w:rPr>
          <w:rFonts w:ascii="Times New Roman" w:hAnsi="Times New Roman" w:eastAsia="Times New Roman"/>
          <w:b w:val="0"/>
          <w:i w:val="0"/>
          <w:sz w:val="22"/>
        </w:rPr>
        <w:t xml:space="preserve"> or </w:t>
      </w:r>
      <w:r>
        <w:rPr>
          <w:rFonts w:ascii="Times New Roman" w:hAnsi="Times New Roman" w:eastAsia="Times New Roman"/>
          <w:b/>
          <w:i w:val="0"/>
          <w:sz w:val="22"/>
        </w:rPr>
        <w:t>revised building plan</w:t>
      </w:r>
      <w:r>
        <w:rPr>
          <w:rFonts w:ascii="Times New Roman" w:hAnsi="Times New Roman" w:eastAsia="Times New Roman"/>
          <w:b w:val="0"/>
          <w:i w:val="0"/>
          <w:sz w:val="22"/>
        </w:rPr>
        <w:t>.</w:t>
      </w:r>
    </w:p>
    <w:p>
      <w:pPr>
        <w:spacing w:after="120" w:line="276" w:lineRule="auto"/>
        <w:jc w:val="both"/>
      </w:pPr>
      <w:r>
        <w:rPr>
          <w:rFonts w:ascii="Times New Roman" w:hAnsi="Times New Roman" w:eastAsia="Times New Roman"/>
          <w:b/>
          <w:i w:val="0"/>
          <w:sz w:val="22"/>
        </w:rPr>
        <w:t>10. Part II within joint liability; prompt disclosure.</w:t>
      </w:r>
      <w:r>
        <w:rPr>
          <w:rFonts w:ascii="Times New Roman" w:hAnsi="Times New Roman" w:eastAsia="Times New Roman"/>
          <w:b w:val="0"/>
          <w:i w:val="0"/>
          <w:sz w:val="22"/>
        </w:rPr>
        <w:t xml:space="preserve"> The undertakings in </w:t>
      </w:r>
      <w:r>
        <w:rPr>
          <w:rFonts w:ascii="Times New Roman" w:hAnsi="Times New Roman" w:eastAsia="Times New Roman"/>
          <w:b/>
          <w:i w:val="0"/>
          <w:sz w:val="22"/>
        </w:rPr>
        <w:t>Part II</w:t>
      </w:r>
      <w:r>
        <w:rPr>
          <w:rFonts w:ascii="Times New Roman" w:hAnsi="Times New Roman" w:eastAsia="Times New Roman"/>
          <w:b w:val="0"/>
          <w:i w:val="0"/>
          <w:sz w:val="22"/>
        </w:rPr>
        <w:t xml:space="preserve"> are </w:t>
      </w:r>
      <w:r>
        <w:rPr>
          <w:rFonts w:ascii="Times New Roman" w:hAnsi="Times New Roman" w:eastAsia="Times New Roman"/>
          <w:b/>
          <w:i w:val="0"/>
          <w:sz w:val="22"/>
        </w:rPr>
        <w:t>expressly included</w:t>
      </w:r>
      <w:r>
        <w:rPr>
          <w:rFonts w:ascii="Times New Roman" w:hAnsi="Times New Roman" w:eastAsia="Times New Roman"/>
          <w:b w:val="0"/>
          <w:i w:val="0"/>
          <w:sz w:val="22"/>
        </w:rPr>
        <w:t xml:space="preserve"> within the </w:t>
      </w:r>
      <w:r>
        <w:rPr>
          <w:rFonts w:ascii="Times New Roman" w:hAnsi="Times New Roman" w:eastAsia="Times New Roman"/>
          <w:b/>
          <w:i w:val="0"/>
          <w:sz w:val="22"/>
        </w:rPr>
        <w:t>joint and several liability</w:t>
      </w:r>
      <w:r>
        <w:rPr>
          <w:rFonts w:ascii="Times New Roman" w:hAnsi="Times New Roman" w:eastAsia="Times New Roman"/>
          <w:b w:val="0"/>
          <w:i w:val="0"/>
          <w:sz w:val="22"/>
        </w:rPr>
        <w:t xml:space="preserve"> affirmed in </w:t>
      </w:r>
      <w:r>
        <w:rPr>
          <w:rFonts w:ascii="Times New Roman" w:hAnsi="Times New Roman" w:eastAsia="Times New Roman"/>
          <w:b/>
          <w:i w:val="0"/>
          <w:sz w:val="22"/>
        </w:rPr>
        <w:t>Part I, para 5</w:t>
      </w:r>
      <w:r>
        <w:rPr>
          <w:rFonts w:ascii="Times New Roman" w:hAnsi="Times New Roman" w:eastAsia="Times New Roman"/>
          <w:b w:val="0"/>
          <w:i w:val="0"/>
          <w:sz w:val="22"/>
        </w:rPr>
        <w:t xml:space="preserve"> (binding on </w:t>
      </w:r>
      <w:r>
        <w:rPr>
          <w:rFonts w:ascii="Times New Roman" w:hAnsi="Times New Roman" w:eastAsia="Times New Roman"/>
          <w:b/>
          <w:i w:val="0"/>
          <w:sz w:val="22"/>
        </w:rPr>
        <w:t>ATS Realworth</w:t>
      </w:r>
      <w:r>
        <w:rPr>
          <w:rFonts w:ascii="Times New Roman" w:hAnsi="Times New Roman" w:eastAsia="Times New Roman"/>
          <w:b w:val="0"/>
          <w:i w:val="0"/>
          <w:sz w:val="22"/>
        </w:rPr>
        <w:t xml:space="preserve">, </w:t>
      </w:r>
      <w:r>
        <w:rPr>
          <w:rFonts w:ascii="Times New Roman" w:hAnsi="Times New Roman" w:eastAsia="Times New Roman"/>
          <w:b/>
          <w:i w:val="0"/>
          <w:sz w:val="22"/>
        </w:rPr>
        <w:t>Hasta</w:t>
      </w:r>
      <w:r>
        <w:rPr>
          <w:rFonts w:ascii="Times New Roman" w:hAnsi="Times New Roman" w:eastAsia="Times New Roman"/>
          <w:b w:val="0"/>
          <w:i w:val="0"/>
          <w:sz w:val="22"/>
        </w:rPr>
        <w:t xml:space="preserve">, and </w:t>
      </w:r>
      <w:r>
        <w:rPr>
          <w:rFonts w:ascii="Times New Roman" w:hAnsi="Times New Roman" w:eastAsia="Times New Roman"/>
          <w:b/>
          <w:i w:val="0"/>
          <w:sz w:val="22"/>
        </w:rPr>
        <w:t>Homekraft</w:t>
      </w:r>
      <w:r>
        <w:rPr>
          <w:rFonts w:ascii="Times New Roman" w:hAnsi="Times New Roman" w:eastAsia="Times New Roman"/>
          <w:b w:val="0"/>
          <w:i w:val="0"/>
          <w:sz w:val="22"/>
        </w:rPr>
        <w:t xml:space="preserve">). </w:t>
      </w:r>
      <w:r>
        <w:rPr>
          <w:rFonts w:ascii="Times New Roman" w:hAnsi="Times New Roman" w:eastAsia="Times New Roman"/>
          <w:b/>
          <w:i w:val="0"/>
          <w:sz w:val="22"/>
        </w:rPr>
        <w:t>No inter se arrangement</w:t>
      </w:r>
      <w:r>
        <w:rPr>
          <w:rFonts w:ascii="Times New Roman" w:hAnsi="Times New Roman" w:eastAsia="Times New Roman"/>
          <w:b w:val="0"/>
          <w:i w:val="0"/>
          <w:sz w:val="22"/>
        </w:rPr>
        <w:t xml:space="preserve"> after </w:t>
      </w:r>
      <w:r>
        <w:rPr>
          <w:rFonts w:ascii="Times New Roman" w:hAnsi="Times New Roman" w:eastAsia="Times New Roman"/>
          <w:b/>
          <w:i w:val="0"/>
          <w:sz w:val="22"/>
        </w:rPr>
        <w:t>COD</w:t>
      </w:r>
      <w:r>
        <w:rPr>
          <w:rFonts w:ascii="Times New Roman" w:hAnsi="Times New Roman" w:eastAsia="Times New Roman"/>
          <w:b w:val="0"/>
          <w:i w:val="0"/>
          <w:sz w:val="22"/>
        </w:rPr>
        <w:t xml:space="preserve"> shall </w:t>
      </w:r>
      <w:r>
        <w:rPr>
          <w:rFonts w:ascii="Times New Roman" w:hAnsi="Times New Roman" w:eastAsia="Times New Roman"/>
          <w:b/>
          <w:i w:val="0"/>
          <w:sz w:val="22"/>
        </w:rPr>
        <w:t>prejudice</w:t>
      </w:r>
      <w:r>
        <w:rPr>
          <w:rFonts w:ascii="Times New Roman" w:hAnsi="Times New Roman" w:eastAsia="Times New Roman"/>
          <w:b w:val="0"/>
          <w:i w:val="0"/>
          <w:sz w:val="22"/>
        </w:rPr>
        <w:t xml:space="preserve"> the Decree-holders of Unit </w:t>
      </w:r>
      <w:r>
        <w:rPr>
          <w:rFonts w:ascii="Times New Roman" w:hAnsi="Times New Roman" w:eastAsia="Times New Roman"/>
          <w:b/>
          <w:i w:val="0"/>
          <w:sz w:val="22"/>
        </w:rPr>
        <w:t>3051</w:t>
      </w:r>
      <w:r>
        <w:rPr>
          <w:rFonts w:ascii="Times New Roman" w:hAnsi="Times New Roman" w:eastAsia="Times New Roman"/>
          <w:b w:val="0"/>
          <w:i w:val="0"/>
          <w:sz w:val="22"/>
        </w:rPr>
        <w:t xml:space="preserve"> or require </w:t>
      </w:r>
      <w:r>
        <w:rPr>
          <w:rFonts w:ascii="Times New Roman" w:hAnsi="Times New Roman" w:eastAsia="Times New Roman"/>
          <w:b/>
          <w:i w:val="0"/>
          <w:sz w:val="22"/>
        </w:rPr>
        <w:t>fresh proceedings</w:t>
      </w:r>
      <w:r>
        <w:rPr>
          <w:rFonts w:ascii="Times New Roman" w:hAnsi="Times New Roman" w:eastAsia="Times New Roman"/>
          <w:b w:val="0"/>
          <w:i w:val="0"/>
          <w:sz w:val="22"/>
        </w:rPr>
        <w:t xml:space="preserve">. Material facts relating to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defaults</w:t>
      </w:r>
      <w:r>
        <w:rPr>
          <w:rFonts w:ascii="Times New Roman" w:hAnsi="Times New Roman" w:eastAsia="Times New Roman"/>
          <w:b w:val="0"/>
          <w:i w:val="0"/>
          <w:sz w:val="22"/>
        </w:rPr>
        <w:t xml:space="preserve">, </w:t>
      </w:r>
      <w:r>
        <w:rPr>
          <w:rFonts w:ascii="Times New Roman" w:hAnsi="Times New Roman" w:eastAsia="Times New Roman"/>
          <w:b/>
          <w:i w:val="0"/>
          <w:sz w:val="22"/>
        </w:rPr>
        <w:t>Pre-EMI status</w:t>
      </w:r>
      <w:r>
        <w:rPr>
          <w:rFonts w:ascii="Times New Roman" w:hAnsi="Times New Roman" w:eastAsia="Times New Roman"/>
          <w:b w:val="0"/>
          <w:i w:val="0"/>
          <w:sz w:val="22"/>
        </w:rPr>
        <w:t xml:space="preserve">, </w:t>
      </w:r>
      <w:r>
        <w:rPr>
          <w:rFonts w:ascii="Times New Roman" w:hAnsi="Times New Roman" w:eastAsia="Times New Roman"/>
          <w:b/>
          <w:i w:val="0"/>
          <w:sz w:val="22"/>
        </w:rPr>
        <w:t>possession delay</w:t>
      </w:r>
      <w:r>
        <w:rPr>
          <w:rFonts w:ascii="Times New Roman" w:hAnsi="Times New Roman" w:eastAsia="Times New Roman"/>
          <w:b w:val="0"/>
          <w:i w:val="0"/>
          <w:sz w:val="22"/>
        </w:rPr>
        <w:t xml:space="preserve">, </w:t>
      </w:r>
      <w:r>
        <w:rPr>
          <w:rFonts w:ascii="Times New Roman" w:hAnsi="Times New Roman" w:eastAsia="Times New Roman"/>
          <w:b/>
          <w:i w:val="0"/>
          <w:sz w:val="22"/>
        </w:rPr>
        <w:t>construction</w:t>
      </w:r>
      <w:r>
        <w:rPr>
          <w:rFonts w:ascii="Times New Roman" w:hAnsi="Times New Roman" w:eastAsia="Times New Roman"/>
          <w:b w:val="0"/>
          <w:i w:val="0"/>
          <w:sz w:val="22"/>
        </w:rPr>
        <w:t xml:space="preserve">, </w:t>
      </w:r>
      <w:r>
        <w:rPr>
          <w:rFonts w:ascii="Times New Roman" w:hAnsi="Times New Roman" w:eastAsia="Times New Roman"/>
          <w:b/>
          <w:i w:val="0"/>
          <w:sz w:val="22"/>
        </w:rPr>
        <w:t>escrow</w:t>
      </w:r>
      <w:r>
        <w:rPr>
          <w:rFonts w:ascii="Times New Roman" w:hAnsi="Times New Roman" w:eastAsia="Times New Roman"/>
          <w:b w:val="0"/>
          <w:i w:val="0"/>
          <w:sz w:val="22"/>
        </w:rPr>
        <w:t xml:space="preserve">, </w:t>
      </w:r>
      <w:r>
        <w:rPr>
          <w:rFonts w:ascii="Times New Roman" w:hAnsi="Times New Roman" w:eastAsia="Times New Roman"/>
          <w:b/>
          <w:i w:val="0"/>
          <w:sz w:val="22"/>
        </w:rPr>
        <w:t>revised plan impact</w:t>
      </w:r>
      <w:r>
        <w:rPr>
          <w:rFonts w:ascii="Times New Roman" w:hAnsi="Times New Roman" w:eastAsia="Times New Roman"/>
          <w:b w:val="0"/>
          <w:i w:val="0"/>
          <w:sz w:val="22"/>
        </w:rPr>
        <w:t xml:space="preserve">) </w:t>
      </w:r>
      <w:r>
        <w:rPr>
          <w:rFonts w:ascii="Times New Roman" w:hAnsi="Times New Roman" w:eastAsia="Times New Roman"/>
          <w:b/>
          <w:i w:val="0"/>
          <w:sz w:val="22"/>
        </w:rPr>
        <w:t>shall be disclosed promptly</w:t>
      </w:r>
      <w:r>
        <w:rPr>
          <w:rFonts w:ascii="Times New Roman" w:hAnsi="Times New Roman" w:eastAsia="Times New Roman"/>
          <w:b w:val="0"/>
          <w:i w:val="0"/>
          <w:sz w:val="22"/>
        </w:rPr>
        <w:t xml:space="preserve"> if they change after execution of this affidavit.</w:t>
      </w:r>
    </w:p>
    <w:p>
      <w:pPr>
        <w:spacing w:after="120" w:line="276" w:lineRule="auto"/>
        <w:jc w:val="both"/>
      </w:pPr>
      <w:r>
        <w:rPr>
          <w:rFonts w:ascii="Times New Roman" w:hAnsi="Times New Roman" w:eastAsia="Times New Roman"/>
          <w:b/>
          <w:i w:val="0"/>
          <w:sz w:val="22"/>
        </w:rPr>
        <w:t>11.</w:t>
      </w:r>
      <w:r>
        <w:rPr>
          <w:rFonts w:ascii="Times New Roman" w:hAnsi="Times New Roman" w:eastAsia="Times New Roman"/>
          <w:b w:val="0"/>
          <w:i w:val="0"/>
          <w:sz w:val="22"/>
        </w:rPr>
        <w:t xml:space="preserve"> That the contents of this affidavit have been drafted under instructions of the Judgment Debtor, Hasta and Homekraft, and the same are true and correct to the best of our knowledge and belief based on the records maintained by the Judgment Debtor Company in its ordinary course of business.</w:t>
      </w:r>
    </w:p>
    <w:p>
      <w:pPr>
        <w:spacing w:after="120" w:line="276" w:lineRule="auto"/>
        <w:jc w:val="both"/>
      </w:pPr>
      <w:r>
        <w:rPr>
          <w:rFonts w:ascii="Times New Roman" w:hAnsi="Times New Roman" w:eastAsia="Times New Roman"/>
          <w:b/>
          <w:i w:val="0"/>
          <w:sz w:val="22"/>
        </w:rPr>
        <w:t>12.</w:t>
      </w:r>
      <w:r>
        <w:rPr>
          <w:rFonts w:ascii="Times New Roman" w:hAnsi="Times New Roman" w:eastAsia="Times New Roman"/>
          <w:b w:val="0"/>
          <w:i w:val="0"/>
          <w:sz w:val="22"/>
        </w:rPr>
        <w:t xml:space="preserve"> That nothing material has been concealed from the Authority and Allottee.</w:t>
      </w:r>
    </w:p>
    <w:p>
      <w:pPr>
        <w:spacing w:after="80" w:line="276" w:lineRule="auto"/>
        <w:jc w:val="both"/>
      </w:pPr>
    </w:p>
    <w:p>
      <w:pPr>
        <w:spacing w:after="160" w:line="276" w:lineRule="auto"/>
        <w:jc w:val="both"/>
      </w:pPr>
      <w:r>
        <w:rPr>
          <w:rFonts w:ascii="Times New Roman" w:hAnsi="Times New Roman" w:eastAsia="Times New Roman"/>
          <w:b/>
          <w:i w:val="0"/>
          <w:sz w:val="22"/>
        </w:rPr>
        <w:t>Verification</w:t>
      </w:r>
    </w:p>
    <w:p>
      <w:pPr>
        <w:spacing w:after="120" w:line="276" w:lineRule="auto"/>
        <w:jc w:val="both"/>
      </w:pPr>
      <w:r>
        <w:rPr>
          <w:rFonts w:ascii="Times New Roman" w:hAnsi="Times New Roman" w:eastAsia="Times New Roman"/>
          <w:b w:val="0"/>
          <w:i w:val="0"/>
          <w:sz w:val="22"/>
        </w:rPr>
        <w:t xml:space="preserve">We state that the contents of </w:t>
      </w:r>
      <w:r>
        <w:rPr>
          <w:rFonts w:ascii="Times New Roman" w:hAnsi="Times New Roman" w:eastAsia="Times New Roman"/>
          <w:b/>
          <w:i w:val="0"/>
          <w:sz w:val="22"/>
        </w:rPr>
        <w:t>Part I (paras 1 to 5)</w:t>
      </w:r>
      <w:r>
        <w:rPr>
          <w:rFonts w:ascii="Times New Roman" w:hAnsi="Times New Roman" w:eastAsia="Times New Roman"/>
          <w:b w:val="0"/>
          <w:i w:val="0"/>
          <w:sz w:val="22"/>
        </w:rPr>
        <w:t xml:space="preserve">, </w:t>
      </w:r>
      <w:r>
        <w:rPr>
          <w:rFonts w:ascii="Times New Roman" w:hAnsi="Times New Roman" w:eastAsia="Times New Roman"/>
          <w:b/>
          <w:i w:val="0"/>
          <w:sz w:val="22"/>
        </w:rPr>
        <w:t>Part II (paras 6 to 10)</w:t>
      </w:r>
      <w:r>
        <w:rPr>
          <w:rFonts w:ascii="Times New Roman" w:hAnsi="Times New Roman" w:eastAsia="Times New Roman"/>
          <w:b w:val="0"/>
          <w:i w:val="0"/>
          <w:sz w:val="22"/>
        </w:rPr>
        <w:t xml:space="preserve">, and </w:t>
      </w:r>
      <w:r>
        <w:rPr>
          <w:rFonts w:ascii="Times New Roman" w:hAnsi="Times New Roman" w:eastAsia="Times New Roman"/>
          <w:b/>
          <w:i w:val="0"/>
          <w:sz w:val="22"/>
        </w:rPr>
        <w:t>paras 11 and 12</w:t>
      </w:r>
      <w:r>
        <w:rPr>
          <w:rFonts w:ascii="Times New Roman" w:hAnsi="Times New Roman" w:eastAsia="Times New Roman"/>
          <w:b w:val="0"/>
          <w:i w:val="0"/>
          <w:sz w:val="22"/>
        </w:rPr>
        <w:t xml:space="preserve"> above are true and correct to our knowledge and belief, based on records maintained by the </w:t>
      </w:r>
      <w:r>
        <w:rPr>
          <w:rFonts w:ascii="Times New Roman" w:hAnsi="Times New Roman" w:eastAsia="Times New Roman"/>
          <w:b/>
          <w:i w:val="0"/>
          <w:sz w:val="22"/>
        </w:rPr>
        <w:t>Judgment Debtor</w:t>
      </w:r>
      <w:r>
        <w:rPr>
          <w:rFonts w:ascii="Times New Roman" w:hAnsi="Times New Roman" w:eastAsia="Times New Roman"/>
          <w:b w:val="0"/>
          <w:i w:val="0"/>
          <w:sz w:val="22"/>
        </w:rPr>
        <w:t xml:space="preserve"> and the Builder Group. No part is false and nothing material has been concealed therefrom.</w:t>
      </w:r>
    </w:p>
    <w:p>
      <w:pPr>
        <w:spacing w:after="120" w:line="276" w:lineRule="auto"/>
        <w:jc w:val="both"/>
      </w:pPr>
      <w:r>
        <w:rPr>
          <w:rFonts w:ascii="Times New Roman" w:hAnsi="Times New Roman" w:eastAsia="Times New Roman"/>
          <w:b w:val="0"/>
          <w:i w:val="0"/>
          <w:sz w:val="22"/>
        </w:rPr>
        <w:t xml:space="preserve">The deponents hereinbelow sign on behalf of the respective companies </w:t>
      </w:r>
      <w:r>
        <w:rPr>
          <w:rFonts w:ascii="Times New Roman" w:hAnsi="Times New Roman" w:eastAsia="Times New Roman"/>
          <w:b/>
          <w:i w:val="0"/>
          <w:sz w:val="22"/>
        </w:rPr>
        <w:t>pursuant to authority letters issued by the competent authority</w:t>
      </w:r>
      <w:r>
        <w:rPr>
          <w:rFonts w:ascii="Times New Roman" w:hAnsi="Times New Roman" w:eastAsia="Times New Roman"/>
          <w:b w:val="0"/>
          <w:i w:val="0"/>
          <w:sz w:val="22"/>
        </w:rPr>
        <w:t xml:space="preserve"> of each Builder entity; </w:t>
      </w:r>
      <w:r>
        <w:rPr>
          <w:rFonts w:ascii="Times New Roman" w:hAnsi="Times New Roman" w:eastAsia="Times New Roman"/>
          <w:b/>
          <w:i w:val="0"/>
          <w:sz w:val="22"/>
        </w:rPr>
        <w:t>copies whereof are enclosed</w:t>
      </w:r>
      <w:r>
        <w:rPr>
          <w:rFonts w:ascii="Times New Roman" w:hAnsi="Times New Roman" w:eastAsia="Times New Roman"/>
          <w:b w:val="0"/>
          <w:i w:val="0"/>
          <w:sz w:val="22"/>
        </w:rPr>
        <w:t xml:space="preserve"> as </w:t>
      </w:r>
      <w:r>
        <w:rPr>
          <w:rFonts w:ascii="Times New Roman" w:hAnsi="Times New Roman" w:eastAsia="Times New Roman"/>
          <w:b/>
          <w:i w:val="0"/>
          <w:sz w:val="22"/>
        </w:rPr>
        <w:t>Enclosures E2–E4</w:t>
      </w:r>
      <w:r>
        <w:rPr>
          <w:rFonts w:ascii="Times New Roman" w:hAnsi="Times New Roman" w:eastAsia="Times New Roman"/>
          <w:b w:val="0"/>
          <w:i w:val="0"/>
          <w:sz w:val="22"/>
        </w:rPr>
        <w:t>.</w:t>
      </w:r>
    </w:p>
    <w:p>
      <w:pPr>
        <w:spacing w:after="80" w:line="276" w:lineRule="auto"/>
        <w:jc w:val="both"/>
      </w:pPr>
    </w:p>
    <w:p>
      <w:pPr>
        <w:spacing w:after="120" w:line="276" w:lineRule="auto"/>
        <w:jc w:val="both"/>
      </w:pPr>
      <w:r>
        <w:rPr>
          <w:rFonts w:ascii="Times New Roman" w:hAnsi="Times New Roman" w:eastAsia="Times New Roman"/>
          <w:b/>
          <w:i w:val="0"/>
          <w:sz w:val="22"/>
        </w:rPr>
        <w:t>For M/s ATS Realworth Pvt. Ltd. (Judgment Debtor)</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120" w:line="276" w:lineRule="auto"/>
        <w:jc w:val="both"/>
      </w:pPr>
      <w:r>
        <w:rPr>
          <w:rFonts w:ascii="Times New Roman" w:hAnsi="Times New Roman" w:eastAsia="Times New Roman"/>
          <w:b/>
          <w:i w:val="0"/>
          <w:sz w:val="22"/>
        </w:rPr>
        <w:t>For M/s Hasta Infrastructure Pvt. Ltd.</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120" w:line="276" w:lineRule="auto"/>
        <w:jc w:val="both"/>
      </w:pPr>
      <w:r>
        <w:rPr>
          <w:rFonts w:ascii="Times New Roman" w:hAnsi="Times New Roman" w:eastAsia="Times New Roman"/>
          <w:b/>
          <w:i w:val="0"/>
          <w:sz w:val="22"/>
        </w:rPr>
        <w:t>For M/s Homekraft Infra Pvt. Ltd. (new Developer company)</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80" w:line="276" w:lineRule="auto"/>
        <w:jc w:val="both"/>
      </w:pPr>
    </w:p>
    <w:p>
      <w:pPr>
        <w:spacing w:after="120" w:line="276" w:lineRule="auto"/>
        <w:jc w:val="both"/>
      </w:pPr>
      <w:r>
        <w:rPr>
          <w:rFonts w:ascii="Times New Roman" w:hAnsi="Times New Roman" w:eastAsia="Times New Roman"/>
          <w:b/>
          <w:i w:val="0"/>
          <w:sz w:val="22"/>
        </w:rPr>
        <w:t>Before me, Notary Public / Oath Commissioner</w:t>
      </w:r>
    </w:p>
    <w:p>
      <w:pPr>
        <w:spacing w:after="120" w:line="276" w:lineRule="auto"/>
        <w:jc w:val="both"/>
      </w:pPr>
      <w:r>
        <w:rPr>
          <w:rFonts w:ascii="Times New Roman" w:hAnsi="Times New Roman" w:eastAsia="Times New Roman"/>
          <w:b w:val="0"/>
          <w:i w:val="0"/>
          <w:sz w:val="22"/>
        </w:rPr>
        <w:t>Name &amp; Seal: _______________ | Place: _______________ | Date: _______________</w:t>
      </w:r>
    </w:p>
    <w:p>
      <w:pPr>
        <w:spacing w:after="80" w:line="276" w:lineRule="auto"/>
        <w:jc w:val="both"/>
      </w:pPr>
    </w:p>
    <w:p>
      <w:pPr>
        <w:spacing w:after="160" w:line="276" w:lineRule="auto"/>
        <w:jc w:val="both"/>
      </w:pPr>
      <w:r>
        <w:rPr>
          <w:rFonts w:ascii="Times New Roman" w:hAnsi="Times New Roman" w:eastAsia="Times New Roman"/>
          <w:b/>
          <w:i w:val="0"/>
          <w:sz w:val="22"/>
        </w:rPr>
        <w:t>Enclosures</w:t>
      </w:r>
    </w:p>
    <w:p>
      <w:pPr>
        <w:spacing w:after="120" w:line="276" w:lineRule="auto"/>
        <w:jc w:val="both"/>
      </w:pPr>
      <w:r>
        <w:rPr>
          <w:rFonts w:ascii="Times New Roman" w:hAnsi="Times New Roman" w:eastAsia="Times New Roman"/>
          <w:b/>
          <w:i w:val="0"/>
          <w:sz w:val="22"/>
        </w:rPr>
        <w:t>E1.</w:t>
      </w:r>
      <w:r>
        <w:rPr>
          <w:rFonts w:ascii="Times New Roman" w:hAnsi="Times New Roman" w:eastAsia="Times New Roman"/>
          <w:b w:val="0"/>
          <w:i w:val="0"/>
          <w:sz w:val="22"/>
        </w:rPr>
        <w:t xml:space="preserve"> Builder letter to PNB </w:t>
      </w:r>
      <w:r>
        <w:rPr>
          <w:rFonts w:ascii="Times New Roman" w:hAnsi="Times New Roman" w:eastAsia="Times New Roman"/>
          <w:b/>
          <w:i w:val="0"/>
          <w:sz w:val="22"/>
        </w:rPr>
        <w:t>20.06.2026</w:t>
      </w:r>
    </w:p>
    <w:p>
      <w:pPr>
        <w:spacing w:after="120" w:line="276" w:lineRule="auto"/>
        <w:jc w:val="both"/>
      </w:pPr>
      <w:r>
        <w:rPr>
          <w:rFonts w:ascii="Times New Roman" w:hAnsi="Times New Roman" w:eastAsia="Times New Roman"/>
          <w:b/>
          <w:i w:val="0"/>
          <w:sz w:val="22"/>
        </w:rPr>
        <w:t>E2.</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ATS Realworth Pvt. Ltd.</w:t>
      </w:r>
      <w:r>
        <w:rPr>
          <w:rFonts w:ascii="Times New Roman" w:hAnsi="Times New Roman" w:eastAsia="Times New Roman"/>
          <w:b w:val="0"/>
          <w:i w:val="0"/>
          <w:sz w:val="22"/>
        </w:rPr>
        <w:t xml:space="preserve"> (Judgment Debtor)</w:t>
      </w:r>
    </w:p>
    <w:p>
      <w:pPr>
        <w:spacing w:after="120" w:line="276" w:lineRule="auto"/>
        <w:jc w:val="both"/>
      </w:pPr>
      <w:r>
        <w:rPr>
          <w:rFonts w:ascii="Times New Roman" w:hAnsi="Times New Roman" w:eastAsia="Times New Roman"/>
          <w:b/>
          <w:i w:val="0"/>
          <w:sz w:val="22"/>
        </w:rPr>
        <w:t>E3.</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Hasta Infrastructure Pvt. Ltd.</w:t>
      </w:r>
    </w:p>
    <w:p>
      <w:pPr>
        <w:spacing w:after="120" w:line="276" w:lineRule="auto"/>
        <w:jc w:val="both"/>
      </w:pPr>
      <w:r>
        <w:rPr>
          <w:rFonts w:ascii="Times New Roman" w:hAnsi="Times New Roman" w:eastAsia="Times New Roman"/>
          <w:b/>
          <w:i w:val="0"/>
          <w:sz w:val="22"/>
        </w:rPr>
        <w:t>E4.</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Homekraft Infra Pvt. Ltd.</w:t>
      </w:r>
      <w:r>
        <w:rPr>
          <w:rFonts w:ascii="Times New Roman" w:hAnsi="Times New Roman" w:eastAsia="Times New Roman"/>
          <w:b w:val="0"/>
          <w:i w:val="0"/>
          <w:sz w:val="22"/>
        </w:rPr>
        <w:t xml:space="preserve"> (new Developer company)</w:t>
      </w:r>
    </w:p>
    <w:p>
      <w:pPr>
        <w:spacing w:after="80" w:line="276" w:lineRule="auto"/>
        <w:jc w:val="both"/>
      </w:pPr>
    </w:p>
    <w:p>
      <w:pPr>
        <w:spacing w:after="120" w:line="276" w:lineRule="auto"/>
        <w:jc w:val="both"/>
      </w:pPr>
      <w:r>
        <w:rPr>
          <w:rFonts w:ascii="Times New Roman" w:hAnsi="Times New Roman" w:eastAsia="Times New Roman"/>
          <w:b/>
          <w:i w:val="0"/>
          <w:sz w:val="22"/>
        </w:rPr>
        <w:t>Draft for counsel review — not for filing without legal vetting.</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sz w:val="18"/>
      </w:rPr>
      <w:t xml:space="preserve">Page </w:t>
    </w:r>
    <w:r>
      <w:rPr>
        <w:rFonts w:ascii="Times New Roman" w:hAnsi="Times New Roman"/>
        <w:sz w:val="18"/>
      </w:rPr>
      <w:fldChar w:fldCharType="begin"/>
      <w:instrText xml:space="preserve">PAGE</w:instrText>
      <w:fldChar w:fldCharType="separate"/>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