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23.06.2026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To,</w:t>
      </w:r>
      <w:r>
        <w:br/>
      </w:r>
      <w:r>
        <w:rPr>
          <w:rFonts w:ascii="Arial" w:hAnsi="Arial" w:eastAsia="Arial"/>
          <w:b w:val="0"/>
          <w:i w:val="0"/>
          <w:sz w:val="24"/>
        </w:rPr>
        <w:t>The Secretary / Competent Authority</w:t>
      </w:r>
      <w:r>
        <w:br/>
      </w:r>
      <w:r>
        <w:rPr>
          <w:rFonts w:ascii="Arial" w:hAnsi="Arial" w:eastAsia="Arial"/>
          <w:b/>
          <w:i w:val="0"/>
          <w:sz w:val="24"/>
        </w:rPr>
        <w:t>Haryana Real Estate Regulatory Authority (HARERA),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Email: </w:t>
      </w:r>
      <w:r>
        <w:rPr>
          <w:rFonts w:ascii="Arial" w:hAnsi="Arial" w:eastAsia="Arial"/>
          <w:b/>
          <w:i w:val="0"/>
          <w:sz w:val="24"/>
        </w:rPr>
        <w:t>rera@hareraggm.gov.in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Subject: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Application in execution</w:t>
      </w:r>
      <w:r>
        <w:rPr>
          <w:rFonts w:ascii="Arial" w:hAnsi="Arial" w:eastAsia="Arial"/>
          <w:b w:val="0"/>
          <w:i w:val="0"/>
          <w:sz w:val="24"/>
        </w:rPr>
        <w:t xml:space="preserve"> — 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 xml:space="preserve">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ATS Grandstand Phase-I —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impleadment/directions to PNBHFL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builder ECS/NACH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allottee ECS stand-down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CIBIL protection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continuing compliance till possession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माननीय महोदय,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The undersigned, </w:t>
      </w:r>
      <w:r>
        <w:rPr>
          <w:rFonts w:ascii="Arial" w:hAnsi="Arial" w:eastAsia="Arial"/>
          <w:b/>
          <w:i w:val="0"/>
          <w:sz w:val="24"/>
        </w:rPr>
        <w:t>Prof. Vijyant Agarwal</w:t>
      </w:r>
      <w:r>
        <w:rPr>
          <w:rFonts w:ascii="Arial" w:hAnsi="Arial" w:eastAsia="Arial"/>
          <w:b w:val="0"/>
          <w:i w:val="0"/>
          <w:sz w:val="24"/>
        </w:rPr>
        <w:t xml:space="preserve">, allottee of </w:t>
      </w:r>
      <w:r>
        <w:rPr>
          <w:rFonts w:ascii="Arial" w:hAnsi="Arial" w:eastAsia="Arial"/>
          <w:b/>
          <w:i w:val="0"/>
          <w:sz w:val="24"/>
        </w:rPr>
        <w:t>Unit No. 3051</w:t>
      </w:r>
      <w:r>
        <w:rPr>
          <w:rFonts w:ascii="Arial" w:hAnsi="Arial" w:eastAsia="Arial"/>
          <w:b w:val="0"/>
          <w:i w:val="0"/>
          <w:sz w:val="24"/>
        </w:rPr>
        <w:t xml:space="preserve">, project </w:t>
      </w:r>
      <w:r>
        <w:rPr>
          <w:rFonts w:ascii="Arial" w:hAnsi="Arial" w:eastAsia="Arial"/>
          <w:b/>
          <w:i w:val="0"/>
          <w:sz w:val="24"/>
        </w:rPr>
        <w:t>ATS Grandstand Phase-I</w:t>
      </w:r>
      <w:r>
        <w:rPr>
          <w:rFonts w:ascii="Arial" w:hAnsi="Arial" w:eastAsia="Arial"/>
          <w:b w:val="0"/>
          <w:i w:val="0"/>
          <w:sz w:val="24"/>
        </w:rPr>
        <w:t xml:space="preserve">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 xml:space="preserve">, Gurugram, submits this application in the </w:t>
      </w:r>
      <w:r>
        <w:rPr>
          <w:rFonts w:ascii="Arial" w:hAnsi="Arial" w:eastAsia="Arial"/>
          <w:b/>
          <w:i w:val="0"/>
          <w:sz w:val="24"/>
        </w:rPr>
        <w:t>pending execution proceedings</w:t>
      </w:r>
      <w:r>
        <w:rPr>
          <w:rFonts w:ascii="Arial" w:hAnsi="Arial" w:eastAsia="Arial"/>
          <w:b w:val="0"/>
          <w:i w:val="0"/>
          <w:sz w:val="24"/>
        </w:rPr>
        <w:t xml:space="preserve"> arising from </w:t>
      </w:r>
      <w:r>
        <w:rPr>
          <w:rFonts w:ascii="Arial" w:hAnsi="Arial" w:eastAsia="Arial"/>
          <w:b/>
          <w:i w:val="0"/>
          <w:sz w:val="24"/>
        </w:rPr>
        <w:t>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 (Complaint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 xml:space="preserve">), as clarified by order dated </w:t>
      </w:r>
      <w:r>
        <w:rPr>
          <w:rFonts w:ascii="Arial" w:hAnsi="Arial" w:eastAsia="Arial"/>
          <w:b/>
          <w:i w:val="0"/>
          <w:sz w:val="24"/>
        </w:rPr>
        <w:t>08.08.2024</w:t>
      </w:r>
      <w:r>
        <w:rPr>
          <w:rFonts w:ascii="Arial" w:hAnsi="Arial" w:eastAsia="Arial"/>
          <w:b w:val="0"/>
          <w:i w:val="0"/>
          <w:sz w:val="24"/>
        </w:rPr>
        <w:t xml:space="preserve">, directing the </w:t>
      </w:r>
      <w:r>
        <w:rPr>
          <w:rFonts w:ascii="Arial" w:hAnsi="Arial" w:eastAsia="Arial"/>
          <w:b/>
          <w:i w:val="0"/>
          <w:sz w:val="24"/>
        </w:rPr>
        <w:t>promoter/builder</w:t>
      </w:r>
      <w:r>
        <w:rPr>
          <w:rFonts w:ascii="Arial" w:hAnsi="Arial" w:eastAsia="Arial"/>
          <w:b w:val="0"/>
          <w:i w:val="0"/>
          <w:sz w:val="24"/>
        </w:rPr>
        <w:t xml:space="preserve"> to pay </w:t>
      </w:r>
      <w:r>
        <w:rPr>
          <w:rFonts w:ascii="Arial" w:hAnsi="Arial" w:eastAsia="Arial"/>
          <w:b/>
          <w:i w:val="0"/>
          <w:sz w:val="24"/>
        </w:rPr>
        <w:t>pre-EMI directly to PNB Housing Finance Limited (PNBHFL)</w:t>
      </w:r>
      <w:r>
        <w:rPr>
          <w:rFonts w:ascii="Arial" w:hAnsi="Arial" w:eastAsia="Arial"/>
          <w:b w:val="0"/>
          <w:i w:val="0"/>
          <w:sz w:val="24"/>
        </w:rPr>
        <w:t xml:space="preserve"> on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 till </w:t>
      </w:r>
      <w:r>
        <w:rPr>
          <w:rFonts w:ascii="Arial" w:hAnsi="Arial" w:eastAsia="Arial"/>
          <w:b/>
          <w:i w:val="0"/>
          <w:sz w:val="24"/>
        </w:rPr>
        <w:t>offer of lawful possession</w:t>
      </w:r>
      <w:r>
        <w:rPr>
          <w:rFonts w:ascii="Arial" w:hAnsi="Arial" w:eastAsia="Arial"/>
          <w:b w:val="0"/>
          <w:i w:val="0"/>
          <w:sz w:val="24"/>
        </w:rPr>
        <w:t xml:space="preserve">, in terms of the builder’s </w:t>
      </w:r>
      <w:r>
        <w:rPr>
          <w:rFonts w:ascii="Arial" w:hAnsi="Arial" w:eastAsia="Arial"/>
          <w:b/>
          <w:i w:val="0"/>
          <w:sz w:val="24"/>
        </w:rPr>
        <w:t>pre-EMI letter dated 23.10.2018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 Present position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PNBHFL’s records reflect </w:t>
      </w:r>
      <w:r>
        <w:rPr>
          <w:rFonts w:ascii="Arial" w:hAnsi="Arial" w:eastAsia="Arial"/>
          <w:b/>
          <w:i w:val="0"/>
          <w:sz w:val="24"/>
        </w:rPr>
        <w:t>Subvention: Yes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ECS</w:t>
      </w:r>
      <w:r>
        <w:rPr>
          <w:rFonts w:ascii="Arial" w:hAnsi="Arial" w:eastAsia="Arial"/>
          <w:b w:val="0"/>
          <w:i w:val="0"/>
          <w:sz w:val="24"/>
        </w:rPr>
        <w:t xml:space="preserve"> as the repayment mode on the aforesaid loan account. The builder group has sought loan/bank details for compliance but has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commenced </w:t>
      </w:r>
      <w:r>
        <w:rPr>
          <w:rFonts w:ascii="Arial" w:hAnsi="Arial" w:eastAsia="Arial"/>
          <w:b/>
          <w:i w:val="0"/>
          <w:sz w:val="24"/>
        </w:rPr>
        <w:t>regular builder-side pre-EMI credits</w:t>
      </w:r>
      <w:r>
        <w:rPr>
          <w:rFonts w:ascii="Arial" w:hAnsi="Arial" w:eastAsia="Arial"/>
          <w:b w:val="0"/>
          <w:i w:val="0"/>
          <w:sz w:val="24"/>
        </w:rPr>
        <w:t xml:space="preserve">. The allottee’s </w:t>
      </w:r>
      <w:r>
        <w:rPr>
          <w:rFonts w:ascii="Arial" w:hAnsi="Arial" w:eastAsia="Arial"/>
          <w:b/>
          <w:i w:val="0"/>
          <w:sz w:val="24"/>
        </w:rPr>
        <w:t>ECS mandate remains active</w:t>
      </w:r>
      <w:r>
        <w:rPr>
          <w:rFonts w:ascii="Arial" w:hAnsi="Arial" w:eastAsia="Arial"/>
          <w:b w:val="0"/>
          <w:i w:val="0"/>
          <w:sz w:val="24"/>
        </w:rPr>
        <w:t xml:space="preserve">, exposing the borrower to </w:t>
      </w:r>
      <w:r>
        <w:rPr>
          <w:rFonts w:ascii="Arial" w:hAnsi="Arial" w:eastAsia="Arial"/>
          <w:b/>
          <w:i w:val="0"/>
          <w:sz w:val="24"/>
        </w:rPr>
        <w:t>double debit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CIBIL adverse reporting</w:t>
      </w:r>
      <w:r>
        <w:rPr>
          <w:rFonts w:ascii="Arial" w:hAnsi="Arial" w:eastAsia="Arial"/>
          <w:b w:val="0"/>
          <w:i w:val="0"/>
          <w:sz w:val="24"/>
        </w:rPr>
        <w:t xml:space="preserve">, and </w:t>
      </w:r>
      <w:r>
        <w:rPr>
          <w:rFonts w:ascii="Arial" w:hAnsi="Arial" w:eastAsia="Arial"/>
          <w:b/>
          <w:i w:val="0"/>
          <w:sz w:val="24"/>
        </w:rPr>
        <w:t>financial prejudice</w:t>
      </w:r>
      <w:r>
        <w:rPr>
          <w:rFonts w:ascii="Arial" w:hAnsi="Arial" w:eastAsia="Arial"/>
          <w:b w:val="0"/>
          <w:i w:val="0"/>
          <w:sz w:val="24"/>
        </w:rPr>
        <w:t xml:space="preserve"> if builder payment is delayed or irregular. On </w:t>
      </w:r>
      <w:r>
        <w:rPr>
          <w:rFonts w:ascii="Arial" w:hAnsi="Arial" w:eastAsia="Arial"/>
          <w:b/>
          <w:i w:val="0"/>
          <w:sz w:val="24"/>
        </w:rPr>
        <w:t>23.06.2026</w:t>
      </w:r>
      <w:r>
        <w:rPr>
          <w:rFonts w:ascii="Arial" w:hAnsi="Arial" w:eastAsia="Arial"/>
          <w:b w:val="0"/>
          <w:i w:val="0"/>
          <w:sz w:val="24"/>
        </w:rPr>
        <w:t xml:space="preserve">, the undersigned has written to </w:t>
      </w:r>
      <w:r>
        <w:rPr>
          <w:rFonts w:ascii="Arial" w:hAnsi="Arial" w:eastAsia="Arial"/>
          <w:b/>
          <w:i w:val="0"/>
          <w:sz w:val="24"/>
        </w:rPr>
        <w:t>PNBHFL, Gurgaon Branch</w:t>
      </w:r>
      <w:r>
        <w:rPr>
          <w:rFonts w:ascii="Arial" w:hAnsi="Arial" w:eastAsia="Arial"/>
          <w:b w:val="0"/>
          <w:i w:val="0"/>
          <w:sz w:val="24"/>
        </w:rPr>
        <w:t xml:space="preserve">, seeking written procedure for </w:t>
      </w:r>
      <w:r>
        <w:rPr>
          <w:rFonts w:ascii="Arial" w:hAnsi="Arial" w:eastAsia="Arial"/>
          <w:b/>
          <w:i w:val="0"/>
          <w:sz w:val="24"/>
        </w:rPr>
        <w:t>third-party pre-EMI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allottee ECS suspension</w:t>
      </w:r>
      <w:r>
        <w:rPr>
          <w:rFonts w:ascii="Arial" w:hAnsi="Arial" w:eastAsia="Arial"/>
          <w:b w:val="0"/>
          <w:i w:val="0"/>
          <w:sz w:val="24"/>
        </w:rPr>
        <w:t xml:space="preserve">, and </w:t>
      </w:r>
      <w:r>
        <w:rPr>
          <w:rFonts w:ascii="Arial" w:hAnsi="Arial" w:eastAsia="Arial"/>
          <w:b/>
          <w:i w:val="0"/>
          <w:sz w:val="24"/>
        </w:rPr>
        <w:t>builder ECS/NACH</w:t>
      </w:r>
      <w:r>
        <w:rPr>
          <w:rFonts w:ascii="Arial" w:hAnsi="Arial" w:eastAsia="Arial"/>
          <w:b w:val="0"/>
          <w:i w:val="0"/>
          <w:sz w:val="24"/>
        </w:rPr>
        <w:t xml:space="preserve"> (copy may be furnished if directed).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 Prayer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It is respectfully prayed that this Hon’ble Authority may kindly </w:t>
      </w:r>
      <w:r>
        <w:rPr>
          <w:rFonts w:ascii="Arial" w:hAnsi="Arial" w:eastAsia="Arial"/>
          <w:b/>
          <w:i w:val="0"/>
          <w:sz w:val="24"/>
        </w:rPr>
        <w:t>pass appropriate directions in execution</w:t>
      </w:r>
      <w:r>
        <w:rPr>
          <w:rFonts w:ascii="Arial" w:hAnsi="Arial" w:eastAsia="Arial"/>
          <w:b w:val="0"/>
          <w:i w:val="0"/>
          <w:sz w:val="24"/>
        </w:rPr>
        <w:t>, including: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2.1. Impleadment / notice to PNBHFL:</w:t>
      </w:r>
      <w:r>
        <w:rPr>
          <w:rFonts w:ascii="Arial" w:hAnsi="Arial" w:eastAsia="Arial"/>
          <w:b w:val="0"/>
          <w:i w:val="0"/>
          <w:sz w:val="24"/>
        </w:rPr>
        <w:t xml:space="preserve"> That </w:t>
      </w:r>
      <w:r>
        <w:rPr>
          <w:rFonts w:ascii="Arial" w:hAnsi="Arial" w:eastAsia="Arial"/>
          <w:b/>
          <w:i w:val="0"/>
          <w:sz w:val="24"/>
        </w:rPr>
        <w:t>PNB Housing Finance Limited (PNBHFL), Gurgaon Branch</w:t>
      </w:r>
      <w:r>
        <w:rPr>
          <w:rFonts w:ascii="Arial" w:hAnsi="Arial" w:eastAsia="Arial"/>
          <w:b w:val="0"/>
          <w:i w:val="0"/>
          <w:sz w:val="24"/>
        </w:rPr>
        <w:t xml:space="preserve"> (and registered office, if required) be </w:t>
      </w:r>
      <w:r>
        <w:rPr>
          <w:rFonts w:ascii="Arial" w:hAnsi="Arial" w:eastAsia="Arial"/>
          <w:b/>
          <w:i w:val="0"/>
          <w:sz w:val="24"/>
        </w:rPr>
        <w:t>impleaded as a necessary party</w:t>
      </w:r>
      <w:r>
        <w:rPr>
          <w:rFonts w:ascii="Arial" w:hAnsi="Arial" w:eastAsia="Arial"/>
          <w:b w:val="0"/>
          <w:i w:val="0"/>
          <w:sz w:val="24"/>
        </w:rPr>
        <w:t xml:space="preserve"> in the execution proceedings, or in the alternative, </w:t>
      </w:r>
      <w:r>
        <w:rPr>
          <w:rFonts w:ascii="Arial" w:hAnsi="Arial" w:eastAsia="Arial"/>
          <w:b/>
          <w:i w:val="0"/>
          <w:sz w:val="24"/>
        </w:rPr>
        <w:t>notice be issued to PNBHFL</w:t>
      </w:r>
      <w:r>
        <w:rPr>
          <w:rFonts w:ascii="Arial" w:hAnsi="Arial" w:eastAsia="Arial"/>
          <w:b w:val="0"/>
          <w:i w:val="0"/>
          <w:sz w:val="24"/>
        </w:rPr>
        <w:t xml:space="preserve"> to file reply and comply with directions;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2.2. Directions to PNBHFL:</w:t>
      </w:r>
      <w:r>
        <w:rPr>
          <w:rFonts w:ascii="Arial" w:hAnsi="Arial" w:eastAsia="Arial"/>
          <w:b w:val="0"/>
          <w:i w:val="0"/>
          <w:sz w:val="24"/>
        </w:rPr>
        <w:t xml:space="preserve"> That </w:t>
      </w:r>
      <w:r>
        <w:rPr>
          <w:rFonts w:ascii="Arial" w:hAnsi="Arial" w:eastAsia="Arial"/>
          <w:b/>
          <w:i w:val="0"/>
          <w:sz w:val="24"/>
        </w:rPr>
        <w:t>PNBHFL</w:t>
      </w:r>
      <w:r>
        <w:rPr>
          <w:rFonts w:ascii="Arial" w:hAnsi="Arial" w:eastAsia="Arial"/>
          <w:b w:val="0"/>
          <w:i w:val="0"/>
          <w:sz w:val="24"/>
        </w:rPr>
        <w:t xml:space="preserve"> be directed to: </w:t>
      </w:r>
      <w:r>
        <w:rPr>
          <w:rFonts w:ascii="Arial" w:hAnsi="Arial" w:eastAsia="Arial"/>
          <w:b/>
          <w:i w:val="0"/>
          <w:sz w:val="24"/>
        </w:rPr>
        <w:t>(a)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accept</w:t>
      </w:r>
      <w:r>
        <w:rPr>
          <w:rFonts w:ascii="Arial" w:hAnsi="Arial" w:eastAsia="Arial"/>
          <w:b w:val="0"/>
          <w:i w:val="0"/>
          <w:sz w:val="24"/>
        </w:rPr>
        <w:t xml:space="preserve"> builder/promoter </w:t>
      </w:r>
      <w:r>
        <w:rPr>
          <w:rFonts w:ascii="Arial" w:hAnsi="Arial" w:eastAsia="Arial"/>
          <w:b/>
          <w:i w:val="0"/>
          <w:sz w:val="24"/>
        </w:rPr>
        <w:t>pre-EMI credits</w:t>
      </w:r>
      <w:r>
        <w:rPr>
          <w:rFonts w:ascii="Arial" w:hAnsi="Arial" w:eastAsia="Arial"/>
          <w:b w:val="0"/>
          <w:i w:val="0"/>
          <w:sz w:val="24"/>
        </w:rPr>
        <w:t xml:space="preserve"> (by </w:t>
      </w:r>
      <w:r>
        <w:rPr>
          <w:rFonts w:ascii="Arial" w:hAnsi="Arial" w:eastAsia="Arial"/>
          <w:b/>
          <w:i w:val="0"/>
          <w:sz w:val="24"/>
        </w:rPr>
        <w:t>ECS/NACH/NEFT/cheque</w:t>
      </w:r>
      <w:r>
        <w:rPr>
          <w:rFonts w:ascii="Arial" w:hAnsi="Arial" w:eastAsia="Arial"/>
          <w:b w:val="0"/>
          <w:i w:val="0"/>
          <w:sz w:val="24"/>
        </w:rPr>
        <w:t xml:space="preserve">) to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; </w:t>
      </w:r>
      <w:r>
        <w:rPr>
          <w:rFonts w:ascii="Arial" w:hAnsi="Arial" w:eastAsia="Arial"/>
          <w:b/>
          <w:i w:val="0"/>
          <w:sz w:val="24"/>
        </w:rPr>
        <w:t>(b)</w:t>
      </w:r>
      <w:r>
        <w:rPr>
          <w:rFonts w:ascii="Arial" w:hAnsi="Arial" w:eastAsia="Arial"/>
          <w:b w:val="0"/>
          <w:i w:val="0"/>
          <w:sz w:val="24"/>
        </w:rPr>
        <w:t xml:space="preserve"> furnish </w:t>
      </w:r>
      <w:r>
        <w:rPr>
          <w:rFonts w:ascii="Arial" w:hAnsi="Arial" w:eastAsia="Arial"/>
          <w:b/>
          <w:i w:val="0"/>
          <w:sz w:val="24"/>
        </w:rPr>
        <w:t>written third-party / builder ECS procedure</w:t>
      </w:r>
      <w:r>
        <w:rPr>
          <w:rFonts w:ascii="Arial" w:hAnsi="Arial" w:eastAsia="Arial"/>
          <w:b w:val="0"/>
          <w:i w:val="0"/>
          <w:sz w:val="24"/>
        </w:rPr>
        <w:t xml:space="preserve"> to the </w:t>
      </w:r>
      <w:r>
        <w:rPr>
          <w:rFonts w:ascii="Arial" w:hAnsi="Arial" w:eastAsia="Arial"/>
          <w:b/>
          <w:i w:val="0"/>
          <w:sz w:val="24"/>
        </w:rPr>
        <w:t>builder/promoter</w:t>
      </w:r>
      <w:r>
        <w:rPr>
          <w:rFonts w:ascii="Arial" w:hAnsi="Arial" w:eastAsia="Arial"/>
          <w:b w:val="0"/>
          <w:i w:val="0"/>
          <w:sz w:val="24"/>
        </w:rPr>
        <w:t xml:space="preserve"> and the undersigned; </w:t>
      </w:r>
      <w:r>
        <w:rPr>
          <w:rFonts w:ascii="Arial" w:hAnsi="Arial" w:eastAsia="Arial"/>
          <w:b/>
          <w:i w:val="0"/>
          <w:sz w:val="24"/>
        </w:rPr>
        <w:t>(c)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stand down / suspend</w:t>
      </w:r>
      <w:r>
        <w:rPr>
          <w:rFonts w:ascii="Arial" w:hAnsi="Arial" w:eastAsia="Arial"/>
          <w:b w:val="0"/>
          <w:i w:val="0"/>
          <w:sz w:val="24"/>
        </w:rPr>
        <w:t xml:space="preserve"> the </w:t>
      </w:r>
      <w:r>
        <w:rPr>
          <w:rFonts w:ascii="Arial" w:hAnsi="Arial" w:eastAsia="Arial"/>
          <w:b/>
          <w:i w:val="0"/>
          <w:sz w:val="24"/>
        </w:rPr>
        <w:t>allottee’s ECS/NACH mandate</w:t>
      </w:r>
      <w:r>
        <w:rPr>
          <w:rFonts w:ascii="Arial" w:hAnsi="Arial" w:eastAsia="Arial"/>
          <w:b w:val="0"/>
          <w:i w:val="0"/>
          <w:sz w:val="24"/>
        </w:rPr>
        <w:t xml:space="preserve"> for the </w:t>
      </w:r>
      <w:r>
        <w:rPr>
          <w:rFonts w:ascii="Arial" w:hAnsi="Arial" w:eastAsia="Arial"/>
          <w:b/>
          <w:i w:val="0"/>
          <w:sz w:val="24"/>
        </w:rPr>
        <w:t>subvention / pre-EMI period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not debit</w:t>
      </w:r>
      <w:r>
        <w:rPr>
          <w:rFonts w:ascii="Arial" w:hAnsi="Arial" w:eastAsia="Arial"/>
          <w:b w:val="0"/>
          <w:i w:val="0"/>
          <w:sz w:val="24"/>
        </w:rPr>
        <w:t xml:space="preserve"> the allottee’s savings account while the builder is under </w:t>
      </w:r>
      <w:r>
        <w:rPr>
          <w:rFonts w:ascii="Arial" w:hAnsi="Arial" w:eastAsia="Arial"/>
          <w:b/>
          <w:i w:val="0"/>
          <w:sz w:val="24"/>
        </w:rPr>
        <w:t>HARERA obligation</w:t>
      </w:r>
      <w:r>
        <w:rPr>
          <w:rFonts w:ascii="Arial" w:hAnsi="Arial" w:eastAsia="Arial"/>
          <w:b w:val="0"/>
          <w:i w:val="0"/>
          <w:sz w:val="24"/>
        </w:rPr>
        <w:t xml:space="preserve"> to pay pre-EMI; </w:t>
      </w:r>
      <w:r>
        <w:rPr>
          <w:rFonts w:ascii="Arial" w:hAnsi="Arial" w:eastAsia="Arial"/>
          <w:b/>
          <w:i w:val="0"/>
          <w:sz w:val="24"/>
        </w:rPr>
        <w:t>(d)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confirm monthly credits</w:t>
      </w:r>
      <w:r>
        <w:rPr>
          <w:rFonts w:ascii="Arial" w:hAnsi="Arial" w:eastAsia="Arial"/>
          <w:b w:val="0"/>
          <w:i w:val="0"/>
          <w:sz w:val="24"/>
        </w:rPr>
        <w:t xml:space="preserve"> on the loan account in </w:t>
      </w:r>
      <w:r>
        <w:rPr>
          <w:rFonts w:ascii="Arial" w:hAnsi="Arial" w:eastAsia="Arial"/>
          <w:b/>
          <w:i w:val="0"/>
          <w:sz w:val="24"/>
        </w:rPr>
        <w:t>writing</w:t>
      </w:r>
      <w:r>
        <w:rPr>
          <w:rFonts w:ascii="Arial" w:hAnsi="Arial" w:eastAsia="Arial"/>
          <w:b w:val="0"/>
          <w:i w:val="0"/>
          <w:sz w:val="24"/>
        </w:rPr>
        <w:t xml:space="preserve"> to </w:t>
      </w:r>
      <w:r>
        <w:rPr>
          <w:rFonts w:ascii="Arial" w:hAnsi="Arial" w:eastAsia="Arial"/>
          <w:b/>
          <w:i w:val="0"/>
          <w:sz w:val="24"/>
        </w:rPr>
        <w:t>HARERA, Gurugram</w:t>
      </w:r>
      <w:r>
        <w:rPr>
          <w:rFonts w:ascii="Arial" w:hAnsi="Arial" w:eastAsia="Arial"/>
          <w:b w:val="0"/>
          <w:i w:val="0"/>
          <w:sz w:val="24"/>
        </w:rPr>
        <w:t xml:space="preserve"> and the undersigned;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2.3. Directions to builder/promoter:</w:t>
      </w:r>
      <w:r>
        <w:rPr>
          <w:rFonts w:ascii="Arial" w:hAnsi="Arial" w:eastAsia="Arial"/>
          <w:b w:val="0"/>
          <w:i w:val="0"/>
          <w:sz w:val="24"/>
        </w:rPr>
        <w:t xml:space="preserve"> That the </w:t>
      </w:r>
      <w:r>
        <w:rPr>
          <w:rFonts w:ascii="Arial" w:hAnsi="Arial" w:eastAsia="Arial"/>
          <w:b/>
          <w:i w:val="0"/>
          <w:sz w:val="24"/>
        </w:rPr>
        <w:t>promoter/builder group</w:t>
      </w:r>
      <w:r>
        <w:rPr>
          <w:rFonts w:ascii="Arial" w:hAnsi="Arial" w:eastAsia="Arial"/>
          <w:b w:val="0"/>
          <w:i w:val="0"/>
          <w:sz w:val="24"/>
        </w:rPr>
        <w:t xml:space="preserve"> (M/s </w:t>
      </w:r>
      <w:r>
        <w:rPr>
          <w:rFonts w:ascii="Arial" w:hAnsi="Arial" w:eastAsia="Arial"/>
          <w:b/>
          <w:i w:val="0"/>
          <w:sz w:val="24"/>
        </w:rPr>
        <w:t>Homekraft Infra Pvt. Ltd.</w:t>
      </w:r>
      <w:r>
        <w:rPr>
          <w:rFonts w:ascii="Arial" w:hAnsi="Arial" w:eastAsia="Arial"/>
          <w:b w:val="0"/>
          <w:i w:val="0"/>
          <w:sz w:val="24"/>
        </w:rPr>
        <w:t xml:space="preserve"> / </w:t>
      </w:r>
      <w:r>
        <w:rPr>
          <w:rFonts w:ascii="Arial" w:hAnsi="Arial" w:eastAsia="Arial"/>
          <w:b/>
          <w:i w:val="0"/>
          <w:sz w:val="24"/>
        </w:rPr>
        <w:t>Hasta Infrastructure Pvt. Ltd.</w:t>
      </w:r>
      <w:r>
        <w:rPr>
          <w:rFonts w:ascii="Arial" w:hAnsi="Arial" w:eastAsia="Arial"/>
          <w:b w:val="0"/>
          <w:i w:val="0"/>
          <w:sz w:val="24"/>
        </w:rPr>
        <w:t xml:space="preserve"> / </w:t>
      </w:r>
      <w:r>
        <w:rPr>
          <w:rFonts w:ascii="Arial" w:hAnsi="Arial" w:eastAsia="Arial"/>
          <w:b/>
          <w:i w:val="0"/>
          <w:sz w:val="24"/>
        </w:rPr>
        <w:t>ATS Realworth Pvt. Ltd.</w:t>
      </w:r>
      <w:r>
        <w:rPr>
          <w:rFonts w:ascii="Arial" w:hAnsi="Arial" w:eastAsia="Arial"/>
          <w:b w:val="0"/>
          <w:i w:val="0"/>
          <w:sz w:val="24"/>
        </w:rPr>
        <w:t xml:space="preserve">) be directed to </w:t>
      </w:r>
      <w:r>
        <w:rPr>
          <w:rFonts w:ascii="Arial" w:hAnsi="Arial" w:eastAsia="Arial"/>
          <w:b/>
          <w:i w:val="0"/>
          <w:sz w:val="24"/>
        </w:rPr>
        <w:t>mandatorily register ECS/NACH</w:t>
      </w:r>
      <w:r>
        <w:rPr>
          <w:rFonts w:ascii="Arial" w:hAnsi="Arial" w:eastAsia="Arial"/>
          <w:b w:val="0"/>
          <w:i w:val="0"/>
          <w:sz w:val="24"/>
        </w:rPr>
        <w:t xml:space="preserve"> from the </w:t>
      </w:r>
      <w:r>
        <w:rPr>
          <w:rFonts w:ascii="Arial" w:hAnsi="Arial" w:eastAsia="Arial"/>
          <w:b/>
          <w:i w:val="0"/>
          <w:sz w:val="24"/>
        </w:rPr>
        <w:t>promoter’s company account</w:t>
      </w:r>
      <w:r>
        <w:rPr>
          <w:rFonts w:ascii="Arial" w:hAnsi="Arial" w:eastAsia="Arial"/>
          <w:b w:val="0"/>
          <w:i w:val="0"/>
          <w:sz w:val="24"/>
        </w:rPr>
        <w:t xml:space="preserve"> to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, or otherwise ensure </w:t>
      </w:r>
      <w:r>
        <w:rPr>
          <w:rFonts w:ascii="Arial" w:hAnsi="Arial" w:eastAsia="Arial"/>
          <w:b/>
          <w:i w:val="0"/>
          <w:sz w:val="24"/>
        </w:rPr>
        <w:t>monthly pre-EMI credits</w:t>
      </w:r>
      <w:r>
        <w:rPr>
          <w:rFonts w:ascii="Arial" w:hAnsi="Arial" w:eastAsia="Arial"/>
          <w:b w:val="0"/>
          <w:i w:val="0"/>
          <w:sz w:val="24"/>
        </w:rPr>
        <w:t xml:space="preserve"> directly to PNBHFL, </w:t>
      </w:r>
      <w:r>
        <w:rPr>
          <w:rFonts w:ascii="Arial" w:hAnsi="Arial" w:eastAsia="Arial"/>
          <w:b/>
          <w:i w:val="0"/>
          <w:sz w:val="24"/>
        </w:rPr>
        <w:t>without</w:t>
      </w:r>
      <w:r>
        <w:rPr>
          <w:rFonts w:ascii="Arial" w:hAnsi="Arial" w:eastAsia="Arial"/>
          <w:b w:val="0"/>
          <w:i w:val="0"/>
          <w:sz w:val="24"/>
        </w:rPr>
        <w:t xml:space="preserve"> shifting obligation to the allottee;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2.4. Monthly compliance:</w:t>
      </w:r>
      <w:r>
        <w:rPr>
          <w:rFonts w:ascii="Arial" w:hAnsi="Arial" w:eastAsia="Arial"/>
          <w:b w:val="0"/>
          <w:i w:val="0"/>
          <w:sz w:val="24"/>
        </w:rPr>
        <w:t xml:space="preserve"> That the builder group furnish </w:t>
      </w:r>
      <w:r>
        <w:rPr>
          <w:rFonts w:ascii="Arial" w:hAnsi="Arial" w:eastAsia="Arial"/>
          <w:b/>
          <w:i w:val="0"/>
          <w:sz w:val="24"/>
        </w:rPr>
        <w:t>monthly proof of payment</w:t>
      </w:r>
      <w:r>
        <w:rPr>
          <w:rFonts w:ascii="Arial" w:hAnsi="Arial" w:eastAsia="Arial"/>
          <w:b w:val="0"/>
          <w:i w:val="0"/>
          <w:sz w:val="24"/>
        </w:rPr>
        <w:t xml:space="preserve"> (UTR / bank credit confirmation) to </w:t>
      </w:r>
      <w:r>
        <w:rPr>
          <w:rFonts w:ascii="Arial" w:hAnsi="Arial" w:eastAsia="Arial"/>
          <w:b/>
          <w:i w:val="0"/>
          <w:sz w:val="24"/>
        </w:rPr>
        <w:t>HARERA, Gurugram</w:t>
      </w:r>
      <w:r>
        <w:rPr>
          <w:rFonts w:ascii="Arial" w:hAnsi="Arial" w:eastAsia="Arial"/>
          <w:b w:val="0"/>
          <w:i w:val="0"/>
          <w:sz w:val="24"/>
        </w:rPr>
        <w:t xml:space="preserve"> and to the undersigned;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2.5. Continuing execution:</w:t>
      </w:r>
      <w:r>
        <w:rPr>
          <w:rFonts w:ascii="Arial" w:hAnsi="Arial" w:eastAsia="Arial"/>
          <w:b w:val="0"/>
          <w:i w:val="0"/>
          <w:sz w:val="24"/>
        </w:rPr>
        <w:t xml:space="preserve"> That </w:t>
      </w:r>
      <w:r>
        <w:rPr>
          <w:rFonts w:ascii="Arial" w:hAnsi="Arial" w:eastAsia="Arial"/>
          <w:b/>
          <w:i w:val="0"/>
          <w:sz w:val="24"/>
        </w:rPr>
        <w:t>execution proceedings continue</w:t>
      </w:r>
      <w:r>
        <w:rPr>
          <w:rFonts w:ascii="Arial" w:hAnsi="Arial" w:eastAsia="Arial"/>
          <w:b w:val="0"/>
          <w:i w:val="0"/>
          <w:sz w:val="24"/>
        </w:rPr>
        <w:t xml:space="preserve"> till </w:t>
      </w:r>
      <w:r>
        <w:rPr>
          <w:rFonts w:ascii="Arial" w:hAnsi="Arial" w:eastAsia="Arial"/>
          <w:b/>
          <w:i w:val="0"/>
          <w:sz w:val="24"/>
        </w:rPr>
        <w:t>full compliance</w:t>
      </w:r>
      <w:r>
        <w:rPr>
          <w:rFonts w:ascii="Arial" w:hAnsi="Arial" w:eastAsia="Arial"/>
          <w:b w:val="0"/>
          <w:i w:val="0"/>
          <w:sz w:val="24"/>
        </w:rPr>
        <w:t xml:space="preserve"> with the orders dated </w:t>
      </w:r>
      <w:r>
        <w:rPr>
          <w:rFonts w:ascii="Arial" w:hAnsi="Arial" w:eastAsia="Arial"/>
          <w:b/>
          <w:i w:val="0"/>
          <w:sz w:val="24"/>
        </w:rPr>
        <w:t>18.04.2024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08.08.2024</w:t>
      </w:r>
      <w:r>
        <w:rPr>
          <w:rFonts w:ascii="Arial" w:hAnsi="Arial" w:eastAsia="Arial"/>
          <w:b w:val="0"/>
          <w:i w:val="0"/>
          <w:sz w:val="24"/>
        </w:rPr>
        <w:t xml:space="preserve"> and till </w:t>
      </w:r>
      <w:r>
        <w:rPr>
          <w:rFonts w:ascii="Arial" w:hAnsi="Arial" w:eastAsia="Arial"/>
          <w:b/>
          <w:i w:val="0"/>
          <w:sz w:val="24"/>
        </w:rPr>
        <w:t>offer of lawful possession</w:t>
      </w:r>
      <w:r>
        <w:rPr>
          <w:rFonts w:ascii="Arial" w:hAnsi="Arial" w:eastAsia="Arial"/>
          <w:b w:val="0"/>
          <w:i w:val="0"/>
          <w:sz w:val="24"/>
        </w:rPr>
        <w:t xml:space="preserve">; that execution </w:t>
      </w:r>
      <w:r>
        <w:rPr>
          <w:rFonts w:ascii="Arial" w:hAnsi="Arial" w:eastAsia="Arial"/>
          <w:b/>
          <w:i w:val="0"/>
          <w:sz w:val="24"/>
        </w:rPr>
        <w:t>not be closed</w:t>
      </w:r>
      <w:r>
        <w:rPr>
          <w:rFonts w:ascii="Arial" w:hAnsi="Arial" w:eastAsia="Arial"/>
          <w:b w:val="0"/>
          <w:i w:val="0"/>
          <w:sz w:val="24"/>
        </w:rPr>
        <w:t xml:space="preserve"> on </w:t>
      </w:r>
      <w:r>
        <w:rPr>
          <w:rFonts w:ascii="Arial" w:hAnsi="Arial" w:eastAsia="Arial"/>
          <w:b/>
          <w:i w:val="0"/>
          <w:sz w:val="24"/>
        </w:rPr>
        <w:t>partial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one-time</w:t>
      </w:r>
      <w:r>
        <w:rPr>
          <w:rFonts w:ascii="Arial" w:hAnsi="Arial" w:eastAsia="Arial"/>
          <w:b w:val="0"/>
          <w:i w:val="0"/>
          <w:sz w:val="24"/>
        </w:rPr>
        <w:t xml:space="preserve">, or </w:t>
      </w:r>
      <w:r>
        <w:rPr>
          <w:rFonts w:ascii="Arial" w:hAnsi="Arial" w:eastAsia="Arial"/>
          <w:b/>
          <w:i w:val="0"/>
          <w:sz w:val="24"/>
        </w:rPr>
        <w:t>ad hoc</w:t>
      </w:r>
      <w:r>
        <w:rPr>
          <w:rFonts w:ascii="Arial" w:hAnsi="Arial" w:eastAsia="Arial"/>
          <w:b w:val="0"/>
          <w:i w:val="0"/>
          <w:sz w:val="24"/>
        </w:rPr>
        <w:t xml:space="preserve"> payment;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2.6. Default / contempt:</w:t>
      </w:r>
      <w:r>
        <w:rPr>
          <w:rFonts w:ascii="Arial" w:hAnsi="Arial" w:eastAsia="Arial"/>
          <w:b w:val="0"/>
          <w:i w:val="0"/>
          <w:sz w:val="24"/>
        </w:rPr>
        <w:t xml:space="preserve"> That in the event of </w:t>
      </w:r>
      <w:r>
        <w:rPr>
          <w:rFonts w:ascii="Arial" w:hAnsi="Arial" w:eastAsia="Arial"/>
          <w:b/>
          <w:i w:val="0"/>
          <w:sz w:val="24"/>
        </w:rPr>
        <w:t>default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stoppage</w:t>
      </w:r>
      <w:r>
        <w:rPr>
          <w:rFonts w:ascii="Arial" w:hAnsi="Arial" w:eastAsia="Arial"/>
          <w:b w:val="0"/>
          <w:i w:val="0"/>
          <w:sz w:val="24"/>
        </w:rPr>
        <w:t xml:space="preserve">, or </w:t>
      </w:r>
      <w:r>
        <w:rPr>
          <w:rFonts w:ascii="Arial" w:hAnsi="Arial" w:eastAsia="Arial"/>
          <w:b/>
          <w:i w:val="0"/>
          <w:sz w:val="24"/>
        </w:rPr>
        <w:t>failure to maintain builder-side ECS/NACH</w:t>
      </w:r>
      <w:r>
        <w:rPr>
          <w:rFonts w:ascii="Arial" w:hAnsi="Arial" w:eastAsia="Arial"/>
          <w:b w:val="0"/>
          <w:i w:val="0"/>
          <w:sz w:val="24"/>
        </w:rPr>
        <w:t xml:space="preserve">, appropriate </w:t>
      </w:r>
      <w:r>
        <w:rPr>
          <w:rFonts w:ascii="Arial" w:hAnsi="Arial" w:eastAsia="Arial"/>
          <w:b/>
          <w:i w:val="0"/>
          <w:sz w:val="24"/>
        </w:rPr>
        <w:t>penalty / contempt action</w:t>
      </w:r>
      <w:r>
        <w:rPr>
          <w:rFonts w:ascii="Arial" w:hAnsi="Arial" w:eastAsia="Arial"/>
          <w:b w:val="0"/>
          <w:i w:val="0"/>
          <w:sz w:val="24"/>
        </w:rPr>
        <w:t xml:space="preserve"> may be taken against the </w:t>
      </w:r>
      <w:r>
        <w:rPr>
          <w:rFonts w:ascii="Arial" w:hAnsi="Arial" w:eastAsia="Arial"/>
          <w:b/>
          <w:i w:val="0"/>
          <w:sz w:val="24"/>
        </w:rPr>
        <w:t>promoter/builder</w:t>
      </w:r>
      <w:r>
        <w:rPr>
          <w:rFonts w:ascii="Arial" w:hAnsi="Arial" w:eastAsia="Arial"/>
          <w:b w:val="0"/>
          <w:i w:val="0"/>
          <w:sz w:val="24"/>
        </w:rPr>
        <w:t xml:space="preserve"> under the </w:t>
      </w:r>
      <w:r>
        <w:rPr>
          <w:rFonts w:ascii="Arial" w:hAnsi="Arial" w:eastAsia="Arial"/>
          <w:b/>
          <w:i w:val="0"/>
          <w:sz w:val="24"/>
        </w:rPr>
        <w:t>RERA Act, 2016</w:t>
      </w:r>
      <w:r>
        <w:rPr>
          <w:rFonts w:ascii="Arial" w:hAnsi="Arial" w:eastAsia="Arial"/>
          <w:b w:val="0"/>
          <w:i w:val="0"/>
          <w:sz w:val="24"/>
        </w:rPr>
        <w:t xml:space="preserve"> and rules framed thereunder.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All rights under the </w:t>
      </w:r>
      <w:r>
        <w:rPr>
          <w:rFonts w:ascii="Arial" w:hAnsi="Arial" w:eastAsia="Arial"/>
          <w:b/>
          <w:i w:val="0"/>
          <w:sz w:val="24"/>
        </w:rPr>
        <w:t>BBA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Section 71</w:t>
      </w:r>
      <w:r>
        <w:rPr>
          <w:rFonts w:ascii="Arial" w:hAnsi="Arial" w:eastAsia="Arial"/>
          <w:b w:val="0"/>
          <w:i w:val="0"/>
          <w:sz w:val="24"/>
        </w:rPr>
        <w:t xml:space="preserve">, delay compensation, and related proceedings are </w:t>
      </w:r>
      <w:r>
        <w:rPr>
          <w:rFonts w:ascii="Arial" w:hAnsi="Arial" w:eastAsia="Arial"/>
          <w:b/>
          <w:i w:val="0"/>
          <w:sz w:val="24"/>
        </w:rPr>
        <w:t>fully reserved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80" w:line="276" w:lineRule="auto"/>
        <w:jc w:val="both"/>
      </w:pP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Place:</w:t>
      </w:r>
      <w:r>
        <w:rPr>
          <w:rFonts w:ascii="Arial" w:hAnsi="Arial" w:eastAsia="Arial"/>
          <w:b w:val="0"/>
          <w:i w:val="0"/>
          <w:sz w:val="24"/>
        </w:rPr>
        <w:t xml:space="preserve"> New Delhi</w:t>
      </w:r>
      <w:r>
        <w:br/>
      </w: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23.06.2026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From,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Prof. </w:t>
      </w:r>
      <w:r>
        <w:rPr>
          <w:rFonts w:ascii="Arial" w:hAnsi="Arial" w:eastAsia="Arial"/>
          <w:b/>
          <w:i w:val="0"/>
          <w:sz w:val="24"/>
        </w:rPr>
        <w:t>Vijyant Agarwal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Allottee / Complainant — Unit No.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>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House No. 7, Type 5 (NSUT, Govt. of NCT of Delhi), Sector 3, Dwarka, New Delhi — </w:t>
      </w:r>
      <w:r>
        <w:rPr>
          <w:rFonts w:ascii="Arial" w:hAnsi="Arial" w:eastAsia="Arial"/>
          <w:b/>
          <w:i w:val="0"/>
          <w:sz w:val="24"/>
        </w:rPr>
        <w:t>110078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Mob.: </w:t>
      </w:r>
      <w:r>
        <w:rPr>
          <w:rFonts w:ascii="Arial" w:hAnsi="Arial" w:eastAsia="Arial"/>
          <w:b/>
          <w:i w:val="0"/>
          <w:sz w:val="24"/>
        </w:rPr>
        <w:t>9899308574</w:t>
      </w:r>
      <w:r>
        <w:rPr>
          <w:rFonts w:ascii="Arial" w:hAnsi="Arial" w:eastAsia="Arial"/>
          <w:b w:val="0"/>
          <w:i w:val="0"/>
          <w:sz w:val="24"/>
        </w:rPr>
        <w:t xml:space="preserve"> | Email: </w:t>
      </w:r>
      <w:r>
        <w:rPr>
          <w:rFonts w:ascii="Arial" w:hAnsi="Arial" w:eastAsia="Arial"/>
          <w:b/>
          <w:i w:val="0"/>
          <w:sz w:val="24"/>
        </w:rPr>
        <w:t>prof.vijyant.agarwal@gmail.com</w:t>
      </w:r>
    </w:p>
    <w:p>
      <w:pPr>
        <w:spacing w:after="80" w:line="276" w:lineRule="auto"/>
        <w:jc w:val="both"/>
      </w:pP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