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Date:</w:t>
      </w:r>
      <w:r>
        <w:rPr>
          <w:rFonts w:ascii="Arial" w:hAnsi="Arial" w:eastAsia="Arial"/>
          <w:b w:val="0"/>
          <w:i w:val="0"/>
          <w:sz w:val="24"/>
        </w:rPr>
        <w:t xml:space="preserve"> 23.06.2026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To,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M/s </w:t>
      </w:r>
      <w:r>
        <w:rPr>
          <w:rFonts w:ascii="Arial" w:hAnsi="Arial" w:eastAsia="Arial"/>
          <w:b/>
          <w:i w:val="0"/>
          <w:sz w:val="24"/>
        </w:rPr>
        <w:t>Homekraft Infra Pvt. Ltd.</w:t>
      </w:r>
      <w:r>
        <w:rPr>
          <w:rFonts w:ascii="Arial" w:hAnsi="Arial" w:eastAsia="Arial"/>
          <w:b w:val="0"/>
          <w:i w:val="0"/>
          <w:sz w:val="24"/>
        </w:rPr>
        <w:t xml:space="preserve"> — </w:t>
      </w:r>
      <w:r>
        <w:rPr>
          <w:rFonts w:ascii="Arial" w:hAnsi="Arial" w:eastAsia="Arial"/>
          <w:b/>
          <w:i w:val="0"/>
          <w:sz w:val="24"/>
        </w:rPr>
        <w:t>grandstand.customercare@homekraft.in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Subject:</w:t>
      </w:r>
      <w:r>
        <w:rPr>
          <w:rFonts w:ascii="Arial" w:hAnsi="Arial" w:eastAsia="Arial"/>
          <w:b w:val="0"/>
          <w:i w:val="0"/>
          <w:sz w:val="24"/>
        </w:rPr>
        <w:t xml:space="preserve"> </w:t>
      </w:r>
      <w:r>
        <w:rPr>
          <w:rFonts w:ascii="Arial" w:hAnsi="Arial" w:eastAsia="Arial"/>
          <w:b/>
          <w:i w:val="0"/>
          <w:sz w:val="24"/>
        </w:rPr>
        <w:t>Reply</w:t>
      </w:r>
      <w:r>
        <w:rPr>
          <w:rFonts w:ascii="Arial" w:hAnsi="Arial" w:eastAsia="Arial"/>
          <w:b w:val="0"/>
          <w:i w:val="0"/>
          <w:sz w:val="24"/>
        </w:rPr>
        <w:t xml:space="preserve"> — request for </w:t>
      </w:r>
      <w:r>
        <w:rPr>
          <w:rFonts w:ascii="Arial" w:hAnsi="Arial" w:eastAsia="Arial"/>
          <w:b/>
          <w:i w:val="0"/>
          <w:sz w:val="24"/>
        </w:rPr>
        <w:t>PNBHFL IFSC / bank details</w:t>
      </w:r>
      <w:r>
        <w:rPr>
          <w:rFonts w:ascii="Arial" w:hAnsi="Arial" w:eastAsia="Arial"/>
          <w:b w:val="0"/>
          <w:i w:val="0"/>
          <w:sz w:val="24"/>
        </w:rPr>
        <w:t xml:space="preserve"> for pre-EMI remittance — Unit </w:t>
      </w:r>
      <w:r>
        <w:rPr>
          <w:rFonts w:ascii="Arial" w:hAnsi="Arial" w:eastAsia="Arial"/>
          <w:b/>
          <w:i w:val="0"/>
          <w:sz w:val="24"/>
        </w:rPr>
        <w:t>3051</w:t>
      </w:r>
      <w:r>
        <w:rPr>
          <w:rFonts w:ascii="Arial" w:hAnsi="Arial" w:eastAsia="Arial"/>
          <w:b w:val="0"/>
          <w:i w:val="0"/>
          <w:sz w:val="24"/>
        </w:rPr>
        <w:t xml:space="preserve"> — Loan A/c </w:t>
      </w:r>
      <w:r>
        <w:rPr>
          <w:rFonts w:ascii="Arial" w:hAnsi="Arial" w:eastAsia="Arial"/>
          <w:b/>
          <w:i w:val="0"/>
          <w:sz w:val="24"/>
        </w:rPr>
        <w:t>HOU/GUR/0918/578047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श्रीमान,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This is in reference to your email dated </w:t>
      </w:r>
      <w:r>
        <w:rPr>
          <w:rFonts w:ascii="Arial" w:hAnsi="Arial" w:eastAsia="Arial"/>
          <w:b/>
          <w:i w:val="0"/>
          <w:sz w:val="24"/>
        </w:rPr>
        <w:t>18.06.2026</w:t>
      </w:r>
      <w:r>
        <w:rPr>
          <w:rFonts w:ascii="Arial" w:hAnsi="Arial" w:eastAsia="Arial"/>
          <w:b w:val="0"/>
          <w:i w:val="0"/>
          <w:sz w:val="24"/>
        </w:rPr>
        <w:t xml:space="preserve"> (and subsequent correspondence) seeking </w:t>
      </w:r>
      <w:r>
        <w:rPr>
          <w:rFonts w:ascii="Arial" w:hAnsi="Arial" w:eastAsia="Arial"/>
          <w:b/>
          <w:i w:val="0"/>
          <w:sz w:val="24"/>
        </w:rPr>
        <w:t>loan account / bank details</w:t>
      </w:r>
      <w:r>
        <w:rPr>
          <w:rFonts w:ascii="Arial" w:hAnsi="Arial" w:eastAsia="Arial"/>
          <w:b w:val="0"/>
          <w:i w:val="0"/>
          <w:sz w:val="24"/>
        </w:rPr>
        <w:t xml:space="preserve">, including </w:t>
      </w:r>
      <w:r>
        <w:rPr>
          <w:rFonts w:ascii="Arial" w:hAnsi="Arial" w:eastAsia="Arial"/>
          <w:b/>
          <w:i w:val="0"/>
          <w:sz w:val="24"/>
        </w:rPr>
        <w:t>IFSC code</w:t>
      </w:r>
      <w:r>
        <w:rPr>
          <w:rFonts w:ascii="Arial" w:hAnsi="Arial" w:eastAsia="Arial"/>
          <w:b w:val="0"/>
          <w:i w:val="0"/>
          <w:sz w:val="24"/>
        </w:rPr>
        <w:t xml:space="preserve">, for remitting </w:t>
      </w:r>
      <w:r>
        <w:rPr>
          <w:rFonts w:ascii="Arial" w:hAnsi="Arial" w:eastAsia="Arial"/>
          <w:b/>
          <w:i w:val="0"/>
          <w:sz w:val="24"/>
        </w:rPr>
        <w:t>pre-EMI directly to PNB Housing Finance Limited (PNBHFL)</w:t>
      </w:r>
      <w:r>
        <w:rPr>
          <w:rFonts w:ascii="Arial" w:hAnsi="Arial" w:eastAsia="Arial"/>
          <w:b w:val="0"/>
          <w:i w:val="0"/>
          <w:sz w:val="24"/>
        </w:rPr>
        <w:t xml:space="preserve"> in compliance with the </w:t>
      </w:r>
      <w:r>
        <w:rPr>
          <w:rFonts w:ascii="Arial" w:hAnsi="Arial" w:eastAsia="Arial"/>
          <w:b/>
          <w:i w:val="0"/>
          <w:sz w:val="24"/>
        </w:rPr>
        <w:t>HARERA order dated 18.04.2024</w:t>
      </w:r>
      <w:r>
        <w:rPr>
          <w:rFonts w:ascii="Arial" w:hAnsi="Arial" w:eastAsia="Arial"/>
          <w:b w:val="0"/>
          <w:i w:val="0"/>
          <w:sz w:val="24"/>
        </w:rPr>
        <w:t xml:space="preserve"> (Complaint </w:t>
      </w:r>
      <w:r>
        <w:rPr>
          <w:rFonts w:ascii="Arial" w:hAnsi="Arial" w:eastAsia="Arial"/>
          <w:b/>
          <w:i w:val="0"/>
          <w:sz w:val="24"/>
        </w:rPr>
        <w:t>4463/2021</w:t>
      </w:r>
      <w:r>
        <w:rPr>
          <w:rFonts w:ascii="Arial" w:hAnsi="Arial" w:eastAsia="Arial"/>
          <w:b w:val="0"/>
          <w:i w:val="0"/>
          <w:sz w:val="24"/>
        </w:rPr>
        <w:t>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1. Loan particulars (for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Particular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Borrower / Allottee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Prof. </w:t>
            </w:r>
            <w:r>
              <w:rPr>
                <w:rFonts w:ascii="Arial" w:hAnsi="Arial" w:eastAsia="Arial"/>
                <w:b/>
                <w:i w:val="0"/>
                <w:sz w:val="24"/>
              </w:rPr>
              <w:t>Vijyant Agarwal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— Unit No. </w:t>
            </w:r>
            <w:r>
              <w:rPr>
                <w:rFonts w:ascii="Arial" w:hAnsi="Arial" w:eastAsia="Arial"/>
                <w:b/>
                <w:i w:val="0"/>
                <w:sz w:val="24"/>
              </w:rPr>
              <w:t>3051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, ATS Grandstand Phase-I, Sector </w:t>
            </w:r>
            <w:r>
              <w:rPr>
                <w:rFonts w:ascii="Arial" w:hAnsi="Arial" w:eastAsia="Arial"/>
                <w:b/>
                <w:i w:val="0"/>
                <w:sz w:val="24"/>
              </w:rPr>
              <w:t>99A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>, Gurugram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Customer ID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1556854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Loan Account No.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HOU/GUR/0918/578047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Lender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PNB Housing Finance Limited (PNBHFL)</w:t>
            </w:r>
            <w:r>
              <w:rPr>
                <w:rFonts w:ascii="Arial" w:hAnsi="Arial" w:eastAsia="Arial"/>
                <w:b w:val="0"/>
                <w:i w:val="0"/>
                <w:sz w:val="24"/>
              </w:rPr>
              <w:t xml:space="preserve"> — Gurgaon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Subvention (per statement dated 22.06.2026)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Yes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Repayment mode (per statement)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sz w:val="24"/>
              </w:rPr>
              <w:t>ECS</w:t>
            </w:r>
          </w:p>
        </w:tc>
      </w:tr>
    </w:tbl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2. IFSC code cannot be furnished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PNBHFL is a </w:t>
      </w:r>
      <w:r>
        <w:rPr>
          <w:rFonts w:ascii="Arial" w:hAnsi="Arial" w:eastAsia="Arial"/>
          <w:b/>
          <w:i w:val="0"/>
          <w:sz w:val="24"/>
        </w:rPr>
        <w:t>Housing Finance Company (HFC)</w:t>
      </w:r>
      <w:r>
        <w:rPr>
          <w:rFonts w:ascii="Arial" w:hAnsi="Arial" w:eastAsia="Arial"/>
          <w:b w:val="0"/>
          <w:i w:val="0"/>
          <w:sz w:val="24"/>
        </w:rPr>
        <w:t xml:space="preserve">, not a commercial bank. Its </w:t>
      </w:r>
      <w:r>
        <w:rPr>
          <w:rFonts w:ascii="Arial" w:hAnsi="Arial" w:eastAsia="Arial"/>
          <w:b/>
          <w:i w:val="0"/>
          <w:sz w:val="24"/>
        </w:rPr>
        <w:t>Gurgaon branch does not have a branch IFSC code</w:t>
      </w:r>
      <w:r>
        <w:rPr>
          <w:rFonts w:ascii="Arial" w:hAnsi="Arial" w:eastAsia="Arial"/>
          <w:b w:val="0"/>
          <w:i w:val="0"/>
          <w:sz w:val="24"/>
        </w:rPr>
        <w:t xml:space="preserve"> published in the RBI’s NEFT participant list. I have checked the available public lists; </w:t>
      </w:r>
      <w:r>
        <w:rPr>
          <w:rFonts w:ascii="Arial" w:hAnsi="Arial" w:eastAsia="Arial"/>
          <w:b/>
          <w:i w:val="0"/>
          <w:sz w:val="24"/>
        </w:rPr>
        <w:t>no IFSC for PNBHFL</w:t>
      </w:r>
      <w:r>
        <w:rPr>
          <w:rFonts w:ascii="Arial" w:hAnsi="Arial" w:eastAsia="Arial"/>
          <w:b w:val="0"/>
          <w:i w:val="0"/>
          <w:sz w:val="24"/>
        </w:rPr>
        <w:t xml:space="preserve"> appears there.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Accordingly, I </w:t>
      </w:r>
      <w:r>
        <w:rPr>
          <w:rFonts w:ascii="Arial" w:hAnsi="Arial" w:eastAsia="Arial"/>
          <w:b/>
          <w:i w:val="0"/>
          <w:sz w:val="24"/>
        </w:rPr>
        <w:t>cannot</w:t>
      </w:r>
      <w:r>
        <w:rPr>
          <w:rFonts w:ascii="Arial" w:hAnsi="Arial" w:eastAsia="Arial"/>
          <w:b w:val="0"/>
          <w:i w:val="0"/>
          <w:sz w:val="24"/>
        </w:rPr>
        <w:t xml:space="preserve"> provide an IFSC code for NEFT/RTGS remittance to PNBHFL. Sharing </w:t>
      </w:r>
      <w:r>
        <w:rPr>
          <w:rFonts w:ascii="Arial" w:hAnsi="Arial" w:eastAsia="Arial"/>
          <w:b/>
          <w:i w:val="0"/>
          <w:sz w:val="24"/>
        </w:rPr>
        <w:t>Punjab National Bank (PNB)</w:t>
      </w:r>
      <w:r>
        <w:rPr>
          <w:rFonts w:ascii="Arial" w:hAnsi="Arial" w:eastAsia="Arial"/>
          <w:b w:val="0"/>
          <w:i w:val="0"/>
          <w:sz w:val="24"/>
        </w:rPr>
        <w:t xml:space="preserve"> IFSC codes (e.g. </w:t>
      </w:r>
      <w:r>
        <w:rPr>
          <w:rFonts w:ascii="Arial" w:hAnsi="Arial" w:eastAsia="Arial"/>
          <w:b/>
          <w:i w:val="0"/>
          <w:sz w:val="24"/>
        </w:rPr>
        <w:t>PUNB0461500</w:t>
      </w:r>
      <w:r>
        <w:rPr>
          <w:rFonts w:ascii="Arial" w:hAnsi="Arial" w:eastAsia="Arial"/>
          <w:b w:val="0"/>
          <w:i w:val="0"/>
          <w:sz w:val="24"/>
        </w:rPr>
        <w:t xml:space="preserve"> or any other PNB branch IFSC) would be </w:t>
      </w:r>
      <w:r>
        <w:rPr>
          <w:rFonts w:ascii="Arial" w:hAnsi="Arial" w:eastAsia="Arial"/>
          <w:b/>
          <w:i w:val="0"/>
          <w:sz w:val="24"/>
        </w:rPr>
        <w:t>incorrect</w:t>
      </w:r>
      <w:r>
        <w:rPr>
          <w:rFonts w:ascii="Arial" w:hAnsi="Arial" w:eastAsia="Arial"/>
          <w:b w:val="0"/>
          <w:i w:val="0"/>
          <w:sz w:val="24"/>
        </w:rPr>
        <w:t xml:space="preserve"> — PNB and PNBHFL are </w:t>
      </w:r>
      <w:r>
        <w:rPr>
          <w:rFonts w:ascii="Arial" w:hAnsi="Arial" w:eastAsia="Arial"/>
          <w:b/>
          <w:i w:val="0"/>
          <w:sz w:val="24"/>
        </w:rPr>
        <w:t>different entities</w:t>
      </w:r>
      <w:r>
        <w:rPr>
          <w:rFonts w:ascii="Arial" w:hAnsi="Arial" w:eastAsia="Arial"/>
          <w:b w:val="0"/>
          <w:i w:val="0"/>
          <w:sz w:val="24"/>
        </w:rPr>
        <w:t>, and such remittance may not credit the loan account.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3. Loan account number alone is not sufficient for NEFT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For third-party (builder) pre-EMI credits, PNBHFL’s </w:t>
      </w:r>
      <w:r>
        <w:rPr>
          <w:rFonts w:ascii="Arial" w:hAnsi="Arial" w:eastAsia="Arial"/>
          <w:b/>
          <w:i w:val="0"/>
          <w:sz w:val="24"/>
        </w:rPr>
        <w:t>collection account details, beneficiary name, and remittance procedure</w:t>
      </w:r>
      <w:r>
        <w:rPr>
          <w:rFonts w:ascii="Arial" w:hAnsi="Arial" w:eastAsia="Arial"/>
          <w:b w:val="0"/>
          <w:i w:val="0"/>
          <w:sz w:val="24"/>
        </w:rPr>
        <w:t xml:space="preserve"> must be obtained </w:t>
      </w:r>
      <w:r>
        <w:rPr>
          <w:rFonts w:ascii="Arial" w:hAnsi="Arial" w:eastAsia="Arial"/>
          <w:b/>
          <w:i w:val="0"/>
          <w:sz w:val="24"/>
        </w:rPr>
        <w:t>from PNBHFL itself</w:t>
      </w:r>
      <w:r>
        <w:rPr>
          <w:rFonts w:ascii="Arial" w:hAnsi="Arial" w:eastAsia="Arial"/>
          <w:b w:val="0"/>
          <w:i w:val="0"/>
          <w:sz w:val="24"/>
        </w:rPr>
        <w:t xml:space="preserve">. The loan account number </w:t>
      </w:r>
      <w:r>
        <w:rPr>
          <w:rFonts w:ascii="Arial" w:hAnsi="Arial" w:eastAsia="Arial"/>
          <w:b/>
          <w:i w:val="0"/>
          <w:sz w:val="24"/>
        </w:rPr>
        <w:t>HOU/GUR/0918/578047</w:t>
      </w:r>
      <w:r>
        <w:rPr>
          <w:rFonts w:ascii="Arial" w:hAnsi="Arial" w:eastAsia="Arial"/>
          <w:b w:val="0"/>
          <w:i w:val="0"/>
          <w:sz w:val="24"/>
        </w:rPr>
        <w:t xml:space="preserve"> alone is </w:t>
      </w:r>
      <w:r>
        <w:rPr>
          <w:rFonts w:ascii="Arial" w:hAnsi="Arial" w:eastAsia="Arial"/>
          <w:b/>
          <w:i w:val="0"/>
          <w:sz w:val="24"/>
        </w:rPr>
        <w:t>not sufficient</w:t>
      </w:r>
      <w:r>
        <w:rPr>
          <w:rFonts w:ascii="Arial" w:hAnsi="Arial" w:eastAsia="Arial"/>
          <w:b w:val="0"/>
          <w:i w:val="0"/>
          <w:sz w:val="24"/>
        </w:rPr>
        <w:t xml:space="preserve"> for a correct NEFT/RTGS transfer without PNBHFL’s written guidance.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4. Allottee has written to PNBHFL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On </w:t>
      </w:r>
      <w:r>
        <w:rPr>
          <w:rFonts w:ascii="Arial" w:hAnsi="Arial" w:eastAsia="Arial"/>
          <w:b/>
          <w:i w:val="0"/>
          <w:sz w:val="24"/>
        </w:rPr>
        <w:t>23.06.2026</w:t>
      </w:r>
      <w:r>
        <w:rPr>
          <w:rFonts w:ascii="Arial" w:hAnsi="Arial" w:eastAsia="Arial"/>
          <w:b w:val="0"/>
          <w:i w:val="0"/>
          <w:sz w:val="24"/>
        </w:rPr>
        <w:t xml:space="preserve">, I have addressed a </w:t>
      </w:r>
      <w:r>
        <w:rPr>
          <w:rFonts w:ascii="Arial" w:hAnsi="Arial" w:eastAsia="Arial"/>
          <w:b/>
          <w:i w:val="0"/>
          <w:sz w:val="24"/>
        </w:rPr>
        <w:t>formal email / letter to PNBHFL, Gurgaon Branch</w:t>
      </w:r>
      <w:r>
        <w:rPr>
          <w:rFonts w:ascii="Arial" w:hAnsi="Arial" w:eastAsia="Arial"/>
          <w:b w:val="0"/>
          <w:i w:val="0"/>
          <w:sz w:val="24"/>
        </w:rPr>
        <w:t xml:space="preserve"> (</w:t>
      </w:r>
      <w:r>
        <w:rPr>
          <w:rFonts w:ascii="Arial" w:hAnsi="Arial" w:eastAsia="Arial"/>
          <w:b/>
          <w:i w:val="0"/>
          <w:sz w:val="24"/>
        </w:rPr>
        <w:t>gurgaon@pnbhousing.com</w:t>
      </w:r>
      <w:r>
        <w:rPr>
          <w:rFonts w:ascii="Arial" w:hAnsi="Arial" w:eastAsia="Arial"/>
          <w:b w:val="0"/>
          <w:i w:val="0"/>
          <w:sz w:val="24"/>
        </w:rPr>
        <w:t xml:space="preserve">), seeking </w:t>
      </w:r>
      <w:r>
        <w:rPr>
          <w:rFonts w:ascii="Arial" w:hAnsi="Arial" w:eastAsia="Arial"/>
          <w:b/>
          <w:i w:val="0"/>
          <w:sz w:val="24"/>
        </w:rPr>
        <w:t>written procedure and document checklist</w:t>
      </w:r>
      <w:r>
        <w:rPr>
          <w:rFonts w:ascii="Arial" w:hAnsi="Arial" w:eastAsia="Arial"/>
          <w:b w:val="0"/>
          <w:i w:val="0"/>
          <w:sz w:val="24"/>
        </w:rPr>
        <w:t xml:space="preserve"> for </w:t>
      </w:r>
      <w:r>
        <w:rPr>
          <w:rFonts w:ascii="Arial" w:hAnsi="Arial" w:eastAsia="Arial"/>
          <w:b/>
          <w:i w:val="0"/>
          <w:sz w:val="24"/>
        </w:rPr>
        <w:t>direct pre-EMI payment by the builder/promoter</w:t>
      </w:r>
      <w:r>
        <w:rPr>
          <w:rFonts w:ascii="Arial" w:hAnsi="Arial" w:eastAsia="Arial"/>
          <w:b w:val="0"/>
          <w:i w:val="0"/>
          <w:sz w:val="24"/>
        </w:rPr>
        <w:t xml:space="preserve"> into the aforesaid loan account. I shall </w:t>
      </w:r>
      <w:r>
        <w:rPr>
          <w:rFonts w:ascii="Arial" w:hAnsi="Arial" w:eastAsia="Arial"/>
          <w:b/>
          <w:i w:val="0"/>
          <w:sz w:val="24"/>
        </w:rPr>
        <w:t>share PNBHFL’s reply with you</w:t>
      </w:r>
      <w:r>
        <w:rPr>
          <w:rFonts w:ascii="Arial" w:hAnsi="Arial" w:eastAsia="Arial"/>
          <w:b w:val="0"/>
          <w:i w:val="0"/>
          <w:sz w:val="24"/>
        </w:rPr>
        <w:t xml:space="preserve"> once received.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5. Builder group should also approach PNBHFL directly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As the </w:t>
      </w:r>
      <w:r>
        <w:rPr>
          <w:rFonts w:ascii="Arial" w:hAnsi="Arial" w:eastAsia="Arial"/>
          <w:b/>
          <w:i w:val="0"/>
          <w:sz w:val="24"/>
        </w:rPr>
        <w:t>promoter/builder</w:t>
      </w:r>
      <w:r>
        <w:rPr>
          <w:rFonts w:ascii="Arial" w:hAnsi="Arial" w:eastAsia="Arial"/>
          <w:b w:val="0"/>
          <w:i w:val="0"/>
          <w:sz w:val="24"/>
        </w:rPr>
        <w:t xml:space="preserve"> is the </w:t>
      </w:r>
      <w:r>
        <w:rPr>
          <w:rFonts w:ascii="Arial" w:hAnsi="Arial" w:eastAsia="Arial"/>
          <w:b/>
          <w:i w:val="0"/>
          <w:sz w:val="24"/>
        </w:rPr>
        <w:t>primary obligor</w:t>
      </w:r>
      <w:r>
        <w:rPr>
          <w:rFonts w:ascii="Arial" w:hAnsi="Arial" w:eastAsia="Arial"/>
          <w:b w:val="0"/>
          <w:i w:val="0"/>
          <w:sz w:val="24"/>
        </w:rPr>
        <w:t xml:space="preserve"> under the </w:t>
      </w:r>
      <w:r>
        <w:rPr>
          <w:rFonts w:ascii="Arial" w:hAnsi="Arial" w:eastAsia="Arial"/>
          <w:b/>
          <w:i w:val="0"/>
          <w:sz w:val="24"/>
        </w:rPr>
        <w:t>HARERA order</w:t>
      </w:r>
      <w:r>
        <w:rPr>
          <w:rFonts w:ascii="Arial" w:hAnsi="Arial" w:eastAsia="Arial"/>
          <w:b w:val="0"/>
          <w:i w:val="0"/>
          <w:sz w:val="24"/>
        </w:rPr>
        <w:t xml:space="preserve"> and the </w:t>
      </w:r>
      <w:r>
        <w:rPr>
          <w:rFonts w:ascii="Arial" w:hAnsi="Arial" w:eastAsia="Arial"/>
          <w:b/>
          <w:i w:val="0"/>
          <w:sz w:val="24"/>
        </w:rPr>
        <w:t>tripartite/subvention arrangement</w:t>
      </w:r>
      <w:r>
        <w:rPr>
          <w:rFonts w:ascii="Arial" w:hAnsi="Arial" w:eastAsia="Arial"/>
          <w:b w:val="0"/>
          <w:i w:val="0"/>
          <w:sz w:val="24"/>
        </w:rPr>
        <w:t xml:space="preserve">, the builder group is requested to </w:t>
      </w:r>
      <w:r>
        <w:rPr>
          <w:rFonts w:ascii="Arial" w:hAnsi="Arial" w:eastAsia="Arial"/>
          <w:b/>
          <w:i w:val="0"/>
          <w:sz w:val="24"/>
        </w:rPr>
        <w:t>independently write to PNBHFL</w:t>
      </w:r>
      <w:r>
        <w:rPr>
          <w:rFonts w:ascii="Arial" w:hAnsi="Arial" w:eastAsia="Arial"/>
          <w:b w:val="0"/>
          <w:i w:val="0"/>
          <w:sz w:val="24"/>
        </w:rPr>
        <w:t xml:space="preserve"> (Gurgaon Branch) for:</w:t>
      </w: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third-party (builder) pre-EMI collection account details</w:t>
      </w:r>
      <w:r>
        <w:rPr>
          <w:rFonts w:ascii="Arial" w:hAnsi="Arial" w:eastAsia="Arial"/>
          <w:b w:val="0"/>
          <w:i w:val="0"/>
          <w:sz w:val="24"/>
        </w:rPr>
        <w:t xml:space="preserve"> and approved </w:t>
      </w:r>
      <w:r>
        <w:rPr>
          <w:rFonts w:ascii="Arial" w:hAnsi="Arial" w:eastAsia="Arial"/>
          <w:b/>
          <w:i w:val="0"/>
          <w:sz w:val="24"/>
        </w:rPr>
        <w:t>mode of payment</w:t>
      </w:r>
      <w:r>
        <w:rPr>
          <w:rFonts w:ascii="Arial" w:hAnsi="Arial" w:eastAsia="Arial"/>
          <w:b w:val="0"/>
          <w:i w:val="0"/>
          <w:sz w:val="24"/>
        </w:rPr>
        <w:t>; and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- documents required </w:t>
      </w:r>
      <w:r>
        <w:rPr>
          <w:rFonts w:ascii="Arial" w:hAnsi="Arial" w:eastAsia="Arial"/>
          <w:b/>
          <w:i w:val="0"/>
          <w:sz w:val="24"/>
        </w:rPr>
        <w:t>from the builder</w:t>
      </w:r>
      <w:r>
        <w:rPr>
          <w:rFonts w:ascii="Arial" w:hAnsi="Arial" w:eastAsia="Arial"/>
          <w:b w:val="0"/>
          <w:i w:val="0"/>
          <w:sz w:val="24"/>
        </w:rPr>
        <w:t xml:space="preserve"> (including any </w:t>
      </w:r>
      <w:r>
        <w:rPr>
          <w:rFonts w:ascii="Arial" w:hAnsi="Arial" w:eastAsia="Arial"/>
          <w:b/>
          <w:i w:val="0"/>
          <w:sz w:val="24"/>
        </w:rPr>
        <w:t>NoC</w:t>
      </w:r>
      <w:r>
        <w:rPr>
          <w:rFonts w:ascii="Arial" w:hAnsi="Arial" w:eastAsia="Arial"/>
          <w:b w:val="0"/>
          <w:i w:val="0"/>
          <w:sz w:val="24"/>
        </w:rPr>
        <w:t>, tripartite confirmation, or indemnity that PNBHFL may prescribe for the builder).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This is not a matter that the allottee can resolve by supplying an IFSC code that </w:t>
      </w:r>
      <w:r>
        <w:rPr>
          <w:rFonts w:ascii="Arial" w:hAnsi="Arial" w:eastAsia="Arial"/>
          <w:b/>
          <w:i w:val="0"/>
          <w:sz w:val="24"/>
        </w:rPr>
        <w:t>does not exist</w:t>
      </w:r>
      <w:r>
        <w:rPr>
          <w:rFonts w:ascii="Arial" w:hAnsi="Arial" w:eastAsia="Arial"/>
          <w:b w:val="0"/>
          <w:i w:val="0"/>
          <w:sz w:val="24"/>
        </w:rPr>
        <w:t xml:space="preserve"> for PNBHFL.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6. Accounts that must not be used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For clarity: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- </w:t>
      </w:r>
      <w:r>
        <w:rPr>
          <w:rFonts w:ascii="Arial" w:hAnsi="Arial" w:eastAsia="Arial"/>
          <w:b/>
          <w:i w:val="0"/>
          <w:sz w:val="24"/>
        </w:rPr>
        <w:t>Do not</w:t>
      </w:r>
      <w:r>
        <w:rPr>
          <w:rFonts w:ascii="Arial" w:hAnsi="Arial" w:eastAsia="Arial"/>
          <w:b w:val="0"/>
          <w:i w:val="0"/>
          <w:sz w:val="24"/>
        </w:rPr>
        <w:t xml:space="preserve"> remit pre-EMI using </w:t>
      </w:r>
      <w:r>
        <w:rPr>
          <w:rFonts w:ascii="Arial" w:hAnsi="Arial" w:eastAsia="Arial"/>
          <w:b/>
          <w:i w:val="0"/>
          <w:sz w:val="24"/>
        </w:rPr>
        <w:t>Punjab National Bank (PNB)</w:t>
      </w:r>
      <w:r>
        <w:rPr>
          <w:rFonts w:ascii="Arial" w:hAnsi="Arial" w:eastAsia="Arial"/>
          <w:b w:val="0"/>
          <w:i w:val="0"/>
          <w:sz w:val="24"/>
        </w:rPr>
        <w:t xml:space="preserve"> IFSC or any PNB branch account — wrong entity.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4"/>
        </w:rPr>
        <w:t>7. Cooperation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I remain </w:t>
      </w:r>
      <w:r>
        <w:rPr>
          <w:rFonts w:ascii="Arial" w:hAnsi="Arial" w:eastAsia="Arial"/>
          <w:b/>
          <w:i w:val="0"/>
          <w:sz w:val="24"/>
        </w:rPr>
        <w:t>willing to cooperate</w:t>
      </w:r>
      <w:r>
        <w:rPr>
          <w:rFonts w:ascii="Arial" w:hAnsi="Arial" w:eastAsia="Arial"/>
          <w:b w:val="0"/>
          <w:i w:val="0"/>
          <w:sz w:val="24"/>
        </w:rPr>
        <w:t xml:space="preserve"> with reasonable borrower-side documents once PNBHFL confirms its requirements in writing. I shall </w:t>
      </w:r>
      <w:r>
        <w:rPr>
          <w:rFonts w:ascii="Arial" w:hAnsi="Arial" w:eastAsia="Arial"/>
          <w:b/>
          <w:i w:val="0"/>
          <w:sz w:val="24"/>
        </w:rPr>
        <w:t>not</w:t>
      </w:r>
      <w:r>
        <w:rPr>
          <w:rFonts w:ascii="Arial" w:hAnsi="Arial" w:eastAsia="Arial"/>
          <w:b w:val="0"/>
          <w:i w:val="0"/>
          <w:sz w:val="24"/>
        </w:rPr>
        <w:t xml:space="preserve"> execute builder-imposed </w:t>
      </w:r>
      <w:r>
        <w:rPr>
          <w:rFonts w:ascii="Arial" w:hAnsi="Arial" w:eastAsia="Arial"/>
          <w:b/>
          <w:i w:val="0"/>
          <w:sz w:val="24"/>
        </w:rPr>
        <w:t>indemnity affidavits</w:t>
      </w:r>
      <w:r>
        <w:rPr>
          <w:rFonts w:ascii="Arial" w:hAnsi="Arial" w:eastAsia="Arial"/>
          <w:b w:val="0"/>
          <w:i w:val="0"/>
          <w:sz w:val="24"/>
        </w:rPr>
        <w:t xml:space="preserve"> or furnish </w:t>
      </w:r>
      <w:r>
        <w:rPr>
          <w:rFonts w:ascii="Arial" w:hAnsi="Arial" w:eastAsia="Arial"/>
          <w:b/>
          <w:i w:val="0"/>
          <w:sz w:val="24"/>
        </w:rPr>
        <w:t>allottee cheques</w:t>
      </w:r>
      <w:r>
        <w:rPr>
          <w:rFonts w:ascii="Arial" w:hAnsi="Arial" w:eastAsia="Arial"/>
          <w:b w:val="0"/>
          <w:i w:val="0"/>
          <w:sz w:val="24"/>
        </w:rPr>
        <w:t xml:space="preserve"> for pre-EMI as a precondition until PNBHFL’s </w:t>
      </w:r>
      <w:r>
        <w:rPr>
          <w:rFonts w:ascii="Arial" w:hAnsi="Arial" w:eastAsia="Arial"/>
          <w:b/>
          <w:i w:val="0"/>
          <w:sz w:val="24"/>
        </w:rPr>
        <w:t>written procedure</w:t>
      </w:r>
      <w:r>
        <w:rPr>
          <w:rFonts w:ascii="Arial" w:hAnsi="Arial" w:eastAsia="Arial"/>
          <w:b w:val="0"/>
          <w:i w:val="0"/>
          <w:sz w:val="24"/>
        </w:rPr>
        <w:t xml:space="preserve"> is available.</w:t>
      </w: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 xml:space="preserve">Please proceed on the basis of </w:t>
      </w:r>
      <w:r>
        <w:rPr>
          <w:rFonts w:ascii="Arial" w:hAnsi="Arial" w:eastAsia="Arial"/>
          <w:b/>
          <w:i w:val="0"/>
          <w:sz w:val="24"/>
        </w:rPr>
        <w:t>PNBHFL’s written reply</w:t>
      </w:r>
      <w:r>
        <w:rPr>
          <w:rFonts w:ascii="Arial" w:hAnsi="Arial" w:eastAsia="Arial"/>
          <w:b w:val="0"/>
          <w:i w:val="0"/>
          <w:sz w:val="24"/>
        </w:rPr>
        <w:t xml:space="preserve"> to the allottee and/or to the builder group.</w:t>
      </w:r>
    </w:p>
    <w:p>
      <w:pPr>
        <w:spacing w:after="80" w:line="276" w:lineRule="auto"/>
        <w:jc w:val="both"/>
      </w:pPr>
    </w:p>
    <w:p>
      <w:pPr>
        <w:spacing w:after="120" w:line="276" w:lineRule="auto"/>
        <w:jc w:val="both"/>
      </w:pPr>
      <w:r>
        <w:rPr>
          <w:rFonts w:ascii="Arial" w:hAnsi="Arial" w:eastAsia="Arial"/>
          <w:b w:val="0"/>
          <w:i w:val="0"/>
          <w:sz w:val="24"/>
        </w:rPr>
        <w:t>Thanking you,</w:t>
      </w:r>
    </w:p>
    <w:p>
      <w:pPr>
        <w:spacing w:after="160"/>
        <w:jc w:val="left"/>
      </w:pPr>
      <w:r>
        <w:rPr>
          <w:rFonts w:ascii="Arial" w:hAnsi="Arial" w:eastAsia="Arial"/>
          <w:b/>
          <w:i w:val="0"/>
          <w:sz w:val="24"/>
        </w:rPr>
        <w:t>From,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Prof. </w:t>
      </w:r>
      <w:r>
        <w:rPr>
          <w:rFonts w:ascii="Arial" w:hAnsi="Arial" w:eastAsia="Arial"/>
          <w:b/>
          <w:i w:val="0"/>
          <w:sz w:val="24"/>
        </w:rPr>
        <w:t>Vijyant Agarwal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Borrower / Allottee — Unit No. </w:t>
      </w:r>
      <w:r>
        <w:rPr>
          <w:rFonts w:ascii="Arial" w:hAnsi="Arial" w:eastAsia="Arial"/>
          <w:b/>
          <w:i w:val="0"/>
          <w:sz w:val="24"/>
        </w:rPr>
        <w:t>3051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ATS Grandstand Phase-I, Sector </w:t>
      </w:r>
      <w:r>
        <w:rPr>
          <w:rFonts w:ascii="Arial" w:hAnsi="Arial" w:eastAsia="Arial"/>
          <w:b/>
          <w:i w:val="0"/>
          <w:sz w:val="24"/>
        </w:rPr>
        <w:t>99A</w:t>
      </w:r>
      <w:r>
        <w:rPr>
          <w:rFonts w:ascii="Arial" w:hAnsi="Arial" w:eastAsia="Arial"/>
          <w:b w:val="0"/>
          <w:i w:val="0"/>
          <w:sz w:val="24"/>
        </w:rPr>
        <w:t>, Gurugram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House No. 7, Type 5 (NSUT, Govt. of NCT of Delhi), Sector 3, Dwarka, New Delhi — </w:t>
      </w:r>
      <w:r>
        <w:rPr>
          <w:rFonts w:ascii="Arial" w:hAnsi="Arial" w:eastAsia="Arial"/>
          <w:b/>
          <w:i w:val="0"/>
          <w:sz w:val="24"/>
        </w:rPr>
        <w:t>110078</w:t>
      </w:r>
      <w:r>
        <w:br/>
      </w:r>
      <w:r>
        <w:rPr>
          <w:rFonts w:ascii="Arial" w:hAnsi="Arial" w:eastAsia="Arial"/>
          <w:b w:val="0"/>
          <w:i w:val="0"/>
          <w:sz w:val="24"/>
        </w:rPr>
        <w:t xml:space="preserve">Mob.: </w:t>
      </w:r>
      <w:r>
        <w:rPr>
          <w:rFonts w:ascii="Arial" w:hAnsi="Arial" w:eastAsia="Arial"/>
          <w:b/>
          <w:i w:val="0"/>
          <w:sz w:val="24"/>
        </w:rPr>
        <w:t>9899308574</w:t>
      </w:r>
      <w:r>
        <w:rPr>
          <w:rFonts w:ascii="Arial" w:hAnsi="Arial" w:eastAsia="Arial"/>
          <w:b w:val="0"/>
          <w:i w:val="0"/>
          <w:sz w:val="24"/>
        </w:rPr>
        <w:t xml:space="preserve"> | Email: </w:t>
      </w:r>
      <w:r>
        <w:rPr>
          <w:rFonts w:ascii="Arial" w:hAnsi="Arial" w:eastAsia="Arial"/>
          <w:b/>
          <w:i w:val="0"/>
          <w:sz w:val="24"/>
        </w:rPr>
        <w:t>prof.vijyant.agarwal@gmail.com</w:t>
      </w:r>
    </w:p>
    <w:p>
      <w:pPr>
        <w:spacing w:after="80" w:line="276" w:lineRule="auto"/>
        <w:jc w:val="both"/>
      </w:pP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sz w:val="20"/>
      </w:rPr>
      <w:t xml:space="preserve">Page </w:t>
    </w: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sz w:val="20"/>
      </w:rPr>
      <w:t xml:space="preserve"> of </w:t>
    </w:r>
    <w:r>
      <w:rPr>
        <w:rFonts w:ascii="Arial" w:hAnsi="Arial"/>
        <w:sz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