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23.06.2026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Homekraft Infra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grandstand.customercare@homekraft.in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CC: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ATS Realworth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email@atsgreens.com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Hasta Infrastructure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udaivir.anand@atsgreen.com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The Secretary / Competent Authority, </w:t>
      </w:r>
      <w:r>
        <w:rPr>
          <w:rFonts w:ascii="Arial" w:hAnsi="Arial" w:eastAsia="Arial"/>
          <w:b/>
          <w:i w:val="0"/>
          <w:sz w:val="24"/>
        </w:rPr>
        <w:t>HARERA</w:t>
      </w:r>
      <w:r>
        <w:rPr>
          <w:rFonts w:ascii="Arial" w:hAnsi="Arial" w:eastAsia="Arial"/>
          <w:b w:val="0"/>
          <w:i w:val="0"/>
          <w:sz w:val="24"/>
        </w:rPr>
        <w:t xml:space="preserve">, Gurugram — </w:t>
      </w:r>
      <w:r>
        <w:rPr>
          <w:rFonts w:ascii="Arial" w:hAnsi="Arial" w:eastAsia="Arial"/>
          <w:b/>
          <w:i w:val="0"/>
          <w:sz w:val="24"/>
        </w:rPr>
        <w:t>rera@hareraggm.gov.in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rPr>
          <w:rFonts w:ascii="Arial" w:hAnsi="Arial" w:eastAsia="Arial"/>
          <w:b w:val="0"/>
          <w:i w:val="0"/>
          <w:sz w:val="24"/>
        </w:rPr>
        <w:t xml:space="preserve"> &amp; Mrs. </w:t>
      </w:r>
      <w:r>
        <w:rPr>
          <w:rFonts w:ascii="Arial" w:hAnsi="Arial" w:eastAsia="Arial"/>
          <w:b/>
          <w:i w:val="0"/>
          <w:sz w:val="24"/>
        </w:rPr>
        <w:t>Vineeta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Allottees — Unit No.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Tower No. </w:t>
      </w:r>
      <w:r>
        <w:rPr>
          <w:rFonts w:ascii="Arial" w:hAnsi="Arial" w:eastAsia="Arial"/>
          <w:b/>
          <w:i w:val="0"/>
          <w:sz w:val="24"/>
        </w:rPr>
        <w:t>03</w:t>
      </w:r>
      <w:r>
        <w:rPr>
          <w:rFonts w:ascii="Arial" w:hAnsi="Arial" w:eastAsia="Arial"/>
          <w:b w:val="0"/>
          <w:i w:val="0"/>
          <w:sz w:val="24"/>
        </w:rPr>
        <w:t>, Type-D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House No. 7, Type 5 (NSUT), Sector 3, Dwarka, N. Delhi — </w:t>
      </w:r>
      <w:r>
        <w:rPr>
          <w:rFonts w:ascii="Arial" w:hAnsi="Arial" w:eastAsia="Arial"/>
          <w:b/>
          <w:i w:val="0"/>
          <w:sz w:val="24"/>
        </w:rPr>
        <w:t>110078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Reply</w:t>
      </w:r>
      <w:r>
        <w:rPr>
          <w:rFonts w:ascii="Arial" w:hAnsi="Arial" w:eastAsia="Arial"/>
          <w:b w:val="0"/>
          <w:i w:val="0"/>
          <w:sz w:val="24"/>
        </w:rPr>
        <w:t xml:space="preserve"> to your email dated </w:t>
      </w:r>
      <w:r>
        <w:rPr>
          <w:rFonts w:ascii="Arial" w:hAnsi="Arial" w:eastAsia="Arial"/>
          <w:b/>
          <w:i w:val="0"/>
          <w:sz w:val="24"/>
        </w:rPr>
        <w:t>22.06.2026</w:t>
      </w:r>
      <w:r>
        <w:rPr>
          <w:rFonts w:ascii="Arial" w:hAnsi="Arial" w:eastAsia="Arial"/>
          <w:b w:val="0"/>
          <w:i w:val="0"/>
          <w:sz w:val="24"/>
        </w:rPr>
        <w:t xml:space="preserve"> — pre-EMI / HARERA compliance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without prejudice</w:t>
      </w:r>
      <w:r>
        <w:rPr>
          <w:rFonts w:ascii="Arial" w:hAnsi="Arial" w:eastAsia="Arial"/>
          <w:b w:val="0"/>
          <w:i w:val="0"/>
          <w:sz w:val="24"/>
        </w:rPr>
        <w:t xml:space="preserve"> to HARERA execution and BBA rights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Dear Sir / Madam,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We acknowledge your email dated </w:t>
      </w:r>
      <w:r>
        <w:rPr>
          <w:rFonts w:ascii="Arial" w:hAnsi="Arial" w:eastAsia="Arial"/>
          <w:b/>
          <w:i w:val="0"/>
          <w:sz w:val="24"/>
        </w:rPr>
        <w:t>22.06.2026</w:t>
      </w:r>
      <w:r>
        <w:rPr>
          <w:rFonts w:ascii="Arial" w:hAnsi="Arial" w:eastAsia="Arial"/>
          <w:b w:val="0"/>
          <w:i w:val="0"/>
          <w:sz w:val="24"/>
        </w:rPr>
        <w:t xml:space="preserve"> (invitation to a meeting on </w:t>
      </w:r>
      <w:r>
        <w:rPr>
          <w:rFonts w:ascii="Arial" w:hAnsi="Arial" w:eastAsia="Arial"/>
          <w:b/>
          <w:i w:val="0"/>
          <w:sz w:val="24"/>
        </w:rPr>
        <w:t>25.06.2026</w:t>
      </w:r>
      <w:r>
        <w:rPr>
          <w:rFonts w:ascii="Arial" w:hAnsi="Arial" w:eastAsia="Arial"/>
          <w:b w:val="0"/>
          <w:i w:val="0"/>
          <w:sz w:val="24"/>
        </w:rPr>
        <w:t xml:space="preserve">) regarding grievances including compliance with the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) and pre-EMI on our home loan with </w:t>
      </w:r>
      <w:r>
        <w:rPr>
          <w:rFonts w:ascii="Arial" w:hAnsi="Arial" w:eastAsia="Arial"/>
          <w:b/>
          <w:i w:val="0"/>
          <w:sz w:val="24"/>
        </w:rPr>
        <w:t>PNB Housing Finance Limited</w:t>
      </w:r>
      <w:r>
        <w:rPr>
          <w:rFonts w:ascii="Arial" w:hAnsi="Arial" w:eastAsia="Arial"/>
          <w:b w:val="0"/>
          <w:i w:val="0"/>
          <w:sz w:val="24"/>
        </w:rPr>
        <w:t xml:space="preserve"> (Loan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This reply is issued </w:t>
      </w:r>
      <w:r>
        <w:rPr>
          <w:rFonts w:ascii="Arial" w:hAnsi="Arial" w:eastAsia="Arial"/>
          <w:b/>
          <w:i w:val="0"/>
          <w:sz w:val="24"/>
        </w:rPr>
        <w:t>without prejudice</w:t>
      </w:r>
      <w:r>
        <w:rPr>
          <w:rFonts w:ascii="Arial" w:hAnsi="Arial" w:eastAsia="Arial"/>
          <w:b w:val="0"/>
          <w:i w:val="0"/>
          <w:sz w:val="24"/>
        </w:rPr>
        <w:t xml:space="preserve"> to our pending </w:t>
      </w:r>
      <w:r>
        <w:rPr>
          <w:rFonts w:ascii="Arial" w:hAnsi="Arial" w:eastAsia="Arial"/>
          <w:b/>
          <w:i w:val="0"/>
          <w:sz w:val="24"/>
        </w:rPr>
        <w:t>HARERA execution</w:t>
      </w:r>
      <w:r>
        <w:rPr>
          <w:rFonts w:ascii="Arial" w:hAnsi="Arial" w:eastAsia="Arial"/>
          <w:b w:val="0"/>
          <w:i w:val="0"/>
          <w:sz w:val="24"/>
        </w:rPr>
        <w:t xml:space="preserve"> proceedings, our </w:t>
      </w:r>
      <w:r>
        <w:rPr>
          <w:rFonts w:ascii="Arial" w:hAnsi="Arial" w:eastAsia="Arial"/>
          <w:b/>
          <w:i w:val="0"/>
          <w:sz w:val="24"/>
        </w:rPr>
        <w:t>BBA rights</w:t>
      </w:r>
      <w:r>
        <w:rPr>
          <w:rFonts w:ascii="Arial" w:hAnsi="Arial" w:eastAsia="Arial"/>
          <w:b w:val="0"/>
          <w:i w:val="0"/>
          <w:sz w:val="24"/>
        </w:rPr>
        <w:t xml:space="preserve">, and our </w:t>
      </w:r>
      <w:r>
        <w:rPr>
          <w:rFonts w:ascii="Arial" w:hAnsi="Arial" w:eastAsia="Arial"/>
          <w:b/>
          <w:i w:val="0"/>
          <w:sz w:val="24"/>
        </w:rPr>
        <w:t>objections</w:t>
      </w:r>
      <w:r>
        <w:rPr>
          <w:rFonts w:ascii="Arial" w:hAnsi="Arial" w:eastAsia="Arial"/>
          <w:b w:val="0"/>
          <w:i w:val="0"/>
          <w:sz w:val="24"/>
        </w:rPr>
        <w:t xml:space="preserve"> on the revised building plan.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Pre-EMI is the builder’s obligation — not the allottees’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The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directs the </w:t>
      </w:r>
      <w:r>
        <w:rPr>
          <w:rFonts w:ascii="Arial" w:hAnsi="Arial" w:eastAsia="Arial"/>
          <w:b/>
          <w:i w:val="0"/>
          <w:sz w:val="24"/>
        </w:rPr>
        <w:t>promoter/builder</w:t>
      </w:r>
      <w:r>
        <w:rPr>
          <w:rFonts w:ascii="Arial" w:hAnsi="Arial" w:eastAsia="Arial"/>
          <w:b w:val="0"/>
          <w:i w:val="0"/>
          <w:sz w:val="24"/>
        </w:rPr>
        <w:t xml:space="preserve"> to pay </w:t>
      </w:r>
      <w:r>
        <w:rPr>
          <w:rFonts w:ascii="Arial" w:hAnsi="Arial" w:eastAsia="Arial"/>
          <w:b/>
          <w:i w:val="0"/>
          <w:sz w:val="24"/>
        </w:rPr>
        <w:t>pre-EMI directly to PNB Housing Finance Limited</w:t>
      </w:r>
      <w:r>
        <w:rPr>
          <w:rFonts w:ascii="Arial" w:hAnsi="Arial" w:eastAsia="Arial"/>
          <w:b w:val="0"/>
          <w:i w:val="0"/>
          <w:sz w:val="24"/>
        </w:rPr>
        <w:t xml:space="preserve"> till </w:t>
      </w:r>
      <w:r>
        <w:rPr>
          <w:rFonts w:ascii="Arial" w:hAnsi="Arial" w:eastAsia="Arial"/>
          <w:b/>
          <w:i w:val="0"/>
          <w:sz w:val="24"/>
        </w:rPr>
        <w:t>offer of lawful possession</w:t>
      </w:r>
      <w:r>
        <w:rPr>
          <w:rFonts w:ascii="Arial" w:hAnsi="Arial" w:eastAsia="Arial"/>
          <w:b w:val="0"/>
          <w:i w:val="0"/>
          <w:sz w:val="24"/>
        </w:rPr>
        <w:t xml:space="preserve">, in terms of our </w:t>
      </w:r>
      <w:r>
        <w:rPr>
          <w:rFonts w:ascii="Arial" w:hAnsi="Arial" w:eastAsia="Arial"/>
          <w:b/>
          <w:i w:val="0"/>
          <w:sz w:val="24"/>
        </w:rPr>
        <w:t>Agreement to Sell / BBA</w:t>
      </w:r>
      <w:r>
        <w:rPr>
          <w:rFonts w:ascii="Arial" w:hAnsi="Arial" w:eastAsia="Arial"/>
          <w:b w:val="0"/>
          <w:i w:val="0"/>
          <w:sz w:val="24"/>
        </w:rPr>
        <w:t xml:space="preserve"> (Clause </w:t>
      </w:r>
      <w:r>
        <w:rPr>
          <w:rFonts w:ascii="Arial" w:hAnsi="Arial" w:eastAsia="Arial"/>
          <w:b/>
          <w:i w:val="0"/>
          <w:sz w:val="24"/>
        </w:rPr>
        <w:t>7.1</w:t>
      </w:r>
      <w:r>
        <w:rPr>
          <w:rFonts w:ascii="Arial" w:hAnsi="Arial" w:eastAsia="Arial"/>
          <w:b w:val="0"/>
          <w:i w:val="0"/>
          <w:sz w:val="24"/>
        </w:rPr>
        <w:t xml:space="preserve">) and your letter dated </w:t>
      </w:r>
      <w:r>
        <w:rPr>
          <w:rFonts w:ascii="Arial" w:hAnsi="Arial" w:eastAsia="Arial"/>
          <w:b/>
          <w:i w:val="0"/>
          <w:sz w:val="24"/>
        </w:rPr>
        <w:t>23.10.2018</w:t>
      </w:r>
      <w:r>
        <w:rPr>
          <w:rFonts w:ascii="Arial" w:hAnsi="Arial" w:eastAsia="Arial"/>
          <w:b w:val="0"/>
          <w:i w:val="0"/>
          <w:sz w:val="24"/>
        </w:rPr>
        <w:t xml:space="preserve">. Your own counsel stated before HARERA that the builder is </w:t>
      </w:r>
      <w:r>
        <w:rPr>
          <w:rFonts w:ascii="Arial" w:hAnsi="Arial" w:eastAsia="Arial"/>
          <w:b/>
          <w:i w:val="0"/>
          <w:sz w:val="24"/>
        </w:rPr>
        <w:t>ready to pay pre-EMI till offer of possession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Pre-EMI is therefore </w:t>
      </w:r>
      <w:r>
        <w:rPr>
          <w:rFonts w:ascii="Arial" w:hAnsi="Arial" w:eastAsia="Arial"/>
          <w:b/>
          <w:i w:val="0"/>
          <w:sz w:val="24"/>
        </w:rPr>
        <w:t>your obligation</w:t>
      </w:r>
      <w:r>
        <w:rPr>
          <w:rFonts w:ascii="Arial" w:hAnsi="Arial" w:eastAsia="Arial"/>
          <w:b w:val="0"/>
          <w:i w:val="0"/>
          <w:sz w:val="24"/>
        </w:rPr>
        <w:t xml:space="preserve">. It is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lawful or fair to treat compliance as conditional on the allottees furnishing cheques, bearing the payment burden, or signing </w:t>
      </w:r>
      <w:r>
        <w:rPr>
          <w:rFonts w:ascii="Arial" w:hAnsi="Arial" w:eastAsia="Arial"/>
          <w:b/>
          <w:i w:val="0"/>
          <w:sz w:val="24"/>
        </w:rPr>
        <w:t>indemnity affidavits</w:t>
      </w:r>
      <w:r>
        <w:rPr>
          <w:rFonts w:ascii="Arial" w:hAnsi="Arial" w:eastAsia="Arial"/>
          <w:b w:val="0"/>
          <w:i w:val="0"/>
          <w:sz w:val="24"/>
        </w:rPr>
        <w:t xml:space="preserve"> in your favour.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We have written directly to PNB Housing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As the builder group has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commenced regular </w:t>
      </w:r>
      <w:r>
        <w:rPr>
          <w:rFonts w:ascii="Arial" w:hAnsi="Arial" w:eastAsia="Arial"/>
          <w:b/>
          <w:i w:val="0"/>
          <w:sz w:val="24"/>
        </w:rPr>
        <w:t>direct pre-EMI credits</w:t>
      </w:r>
      <w:r>
        <w:rPr>
          <w:rFonts w:ascii="Arial" w:hAnsi="Arial" w:eastAsia="Arial"/>
          <w:b w:val="0"/>
          <w:i w:val="0"/>
          <w:sz w:val="24"/>
        </w:rPr>
        <w:t xml:space="preserve"> to our loan account, and as conflicting instructions are being sought from us, we have </w:t>
      </w:r>
      <w:r>
        <w:rPr>
          <w:rFonts w:ascii="Arial" w:hAnsi="Arial" w:eastAsia="Arial"/>
          <w:b/>
          <w:i w:val="0"/>
          <w:sz w:val="24"/>
        </w:rPr>
        <w:t>today</w:t>
      </w:r>
      <w:r>
        <w:rPr>
          <w:rFonts w:ascii="Arial" w:hAnsi="Arial" w:eastAsia="Arial"/>
          <w:b w:val="0"/>
          <w:i w:val="0"/>
          <w:sz w:val="24"/>
        </w:rPr>
        <w:t xml:space="preserve"> addressed a </w:t>
      </w:r>
      <w:r>
        <w:rPr>
          <w:rFonts w:ascii="Arial" w:hAnsi="Arial" w:eastAsia="Arial"/>
          <w:b/>
          <w:i w:val="0"/>
          <w:sz w:val="24"/>
        </w:rPr>
        <w:t>formal letter / email to PNB Housing Finance Limited, Gurgaon Branch</w:t>
      </w:r>
      <w:r>
        <w:rPr>
          <w:rFonts w:ascii="Arial" w:hAnsi="Arial" w:eastAsia="Arial"/>
          <w:b w:val="0"/>
          <w:i w:val="0"/>
          <w:sz w:val="24"/>
        </w:rPr>
        <w:t xml:space="preserve">, seeking </w:t>
      </w:r>
      <w:r>
        <w:rPr>
          <w:rFonts w:ascii="Arial" w:hAnsi="Arial" w:eastAsia="Arial"/>
          <w:b/>
          <w:i w:val="0"/>
          <w:sz w:val="24"/>
        </w:rPr>
        <w:t>written clarification</w:t>
      </w:r>
      <w:r>
        <w:rPr>
          <w:rFonts w:ascii="Arial" w:hAnsi="Arial" w:eastAsia="Arial"/>
          <w:b w:val="0"/>
          <w:i w:val="0"/>
          <w:sz w:val="24"/>
        </w:rPr>
        <w:t xml:space="preserve"> on: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(a)</w:t>
      </w:r>
      <w:r>
        <w:rPr>
          <w:rFonts w:ascii="Arial" w:hAnsi="Arial" w:eastAsia="Arial"/>
          <w:b w:val="0"/>
          <w:i w:val="0"/>
          <w:sz w:val="24"/>
        </w:rPr>
        <w:t xml:space="preserve"> the </w:t>
      </w:r>
      <w:r>
        <w:rPr>
          <w:rFonts w:ascii="Arial" w:hAnsi="Arial" w:eastAsia="Arial"/>
          <w:b/>
          <w:i w:val="0"/>
          <w:sz w:val="24"/>
        </w:rPr>
        <w:t>procedure</w:t>
      </w:r>
      <w:r>
        <w:rPr>
          <w:rFonts w:ascii="Arial" w:hAnsi="Arial" w:eastAsia="Arial"/>
          <w:b w:val="0"/>
          <w:i w:val="0"/>
          <w:sz w:val="24"/>
        </w:rPr>
        <w:t xml:space="preserve"> for </w:t>
      </w:r>
      <w:r>
        <w:rPr>
          <w:rFonts w:ascii="Arial" w:hAnsi="Arial" w:eastAsia="Arial"/>
          <w:b/>
          <w:i w:val="0"/>
          <w:sz w:val="24"/>
        </w:rPr>
        <w:t>direct pre-EMI payment by the builder</w:t>
      </w:r>
      <w:r>
        <w:rPr>
          <w:rFonts w:ascii="Arial" w:hAnsi="Arial" w:eastAsia="Arial"/>
          <w:b w:val="0"/>
          <w:i w:val="0"/>
          <w:sz w:val="24"/>
        </w:rPr>
        <w:t xml:space="preserve"> into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>;</w:t>
      </w:r>
      <w:r>
        <w:br/>
      </w:r>
      <w:r>
        <w:rPr>
          <w:rFonts w:ascii="Arial" w:hAnsi="Arial" w:eastAsia="Arial"/>
          <w:b/>
          <w:i w:val="0"/>
          <w:sz w:val="24"/>
        </w:rPr>
        <w:t>(b)</w:t>
      </w:r>
      <w:r>
        <w:rPr>
          <w:rFonts w:ascii="Arial" w:hAnsi="Arial" w:eastAsia="Arial"/>
          <w:b w:val="0"/>
          <w:i w:val="0"/>
          <w:sz w:val="24"/>
        </w:rPr>
        <w:t xml:space="preserve"> the </w:t>
      </w:r>
      <w:r>
        <w:rPr>
          <w:rFonts w:ascii="Arial" w:hAnsi="Arial" w:eastAsia="Arial"/>
          <w:b/>
          <w:i w:val="0"/>
          <w:sz w:val="24"/>
        </w:rPr>
        <w:t>checklist of documents</w:t>
      </w:r>
      <w:r>
        <w:rPr>
          <w:rFonts w:ascii="Arial" w:hAnsi="Arial" w:eastAsia="Arial"/>
          <w:b w:val="0"/>
          <w:i w:val="0"/>
          <w:sz w:val="24"/>
        </w:rPr>
        <w:t xml:space="preserve"> required </w:t>
      </w:r>
      <w:r>
        <w:rPr>
          <w:rFonts w:ascii="Arial" w:hAnsi="Arial" w:eastAsia="Arial"/>
          <w:b/>
          <w:i w:val="0"/>
          <w:sz w:val="24"/>
        </w:rPr>
        <w:t>from the builder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from the allottees</w:t>
      </w:r>
      <w:r>
        <w:rPr>
          <w:rFonts w:ascii="Arial" w:hAnsi="Arial" w:eastAsia="Arial"/>
          <w:b w:val="0"/>
          <w:i w:val="0"/>
          <w:sz w:val="24"/>
        </w:rPr>
        <w:t xml:space="preserve"> respectively; and</w:t>
      </w:r>
      <w:r>
        <w:br/>
      </w:r>
      <w:r>
        <w:rPr>
          <w:rFonts w:ascii="Arial" w:hAnsi="Arial" w:eastAsia="Arial"/>
          <w:b/>
          <w:i w:val="0"/>
          <w:sz w:val="24"/>
        </w:rPr>
        <w:t>(c)</w:t>
      </w:r>
      <w:r>
        <w:rPr>
          <w:rFonts w:ascii="Arial" w:hAnsi="Arial" w:eastAsia="Arial"/>
          <w:b w:val="0"/>
          <w:i w:val="0"/>
          <w:sz w:val="24"/>
        </w:rPr>
        <w:t xml:space="preserve"> protection against shifting of pre-EMI to the allottees without </w:t>
      </w:r>
      <w:r>
        <w:rPr>
          <w:rFonts w:ascii="Arial" w:hAnsi="Arial" w:eastAsia="Arial"/>
          <w:b/>
          <w:i w:val="0"/>
          <w:sz w:val="24"/>
        </w:rPr>
        <w:t>HARERA compliance</w:t>
      </w:r>
      <w:r>
        <w:rPr>
          <w:rFonts w:ascii="Arial" w:hAnsi="Arial" w:eastAsia="Arial"/>
          <w:b w:val="0"/>
          <w:i w:val="0"/>
          <w:sz w:val="24"/>
        </w:rPr>
        <w:t xml:space="preserve"> and without our </w:t>
      </w:r>
      <w:r>
        <w:rPr>
          <w:rFonts w:ascii="Arial" w:hAnsi="Arial" w:eastAsia="Arial"/>
          <w:b/>
          <w:i w:val="0"/>
          <w:sz w:val="24"/>
        </w:rPr>
        <w:t>written consent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A copy of our letter to PNB is enclosed (</w:t>
      </w:r>
      <w:r>
        <w:rPr>
          <w:rFonts w:ascii="Arial" w:hAnsi="Arial" w:eastAsia="Arial"/>
          <w:b/>
          <w:i w:val="0"/>
          <w:sz w:val="24"/>
        </w:rPr>
        <w:t>Enclosure 1</w:t>
      </w:r>
      <w:r>
        <w:rPr>
          <w:rFonts w:ascii="Arial" w:hAnsi="Arial" w:eastAsia="Arial"/>
          <w:b w:val="0"/>
          <w:i w:val="0"/>
          <w:sz w:val="24"/>
        </w:rPr>
        <w:t xml:space="preserve">). We shall act on </w:t>
      </w:r>
      <w:r>
        <w:rPr>
          <w:rFonts w:ascii="Arial" w:hAnsi="Arial" w:eastAsia="Arial"/>
          <w:b/>
          <w:i w:val="0"/>
          <w:sz w:val="24"/>
        </w:rPr>
        <w:t>PNB’s written reply</w:t>
      </w:r>
      <w:r>
        <w:rPr>
          <w:rFonts w:ascii="Arial" w:hAnsi="Arial" w:eastAsia="Arial"/>
          <w:b w:val="0"/>
          <w:i w:val="0"/>
          <w:sz w:val="24"/>
        </w:rPr>
        <w:t xml:space="preserve"> — not on unilateral conditions imposed by the builder.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 Reply to conditions listed in your email dated 22.06.2026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Until PNB confirms in writing what is </w:t>
      </w:r>
      <w:r>
        <w:rPr>
          <w:rFonts w:ascii="Arial" w:hAnsi="Arial" w:eastAsia="Arial"/>
          <w:b/>
          <w:i w:val="0"/>
          <w:sz w:val="24"/>
        </w:rPr>
        <w:t>actually required</w:t>
      </w:r>
      <w:r>
        <w:rPr>
          <w:rFonts w:ascii="Arial" w:hAnsi="Arial" w:eastAsia="Arial"/>
          <w:b w:val="0"/>
          <w:i w:val="0"/>
          <w:sz w:val="24"/>
        </w:rPr>
        <w:t>, our position on the conditions listed by you is as follows: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3.1.</w:t>
      </w:r>
      <w:r>
        <w:rPr>
          <w:rFonts w:ascii="Arial" w:hAnsi="Arial" w:eastAsia="Arial"/>
          <w:b w:val="0"/>
          <w:i w:val="0"/>
          <w:sz w:val="24"/>
        </w:rPr>
        <w:t xml:space="preserve"> We are </w:t>
      </w:r>
      <w:r>
        <w:rPr>
          <w:rFonts w:ascii="Arial" w:hAnsi="Arial" w:eastAsia="Arial"/>
          <w:b/>
          <w:i w:val="0"/>
          <w:sz w:val="24"/>
        </w:rPr>
        <w:t>willing to cooperate</w:t>
      </w:r>
      <w:r>
        <w:rPr>
          <w:rFonts w:ascii="Arial" w:hAnsi="Arial" w:eastAsia="Arial"/>
          <w:b w:val="0"/>
          <w:i w:val="0"/>
          <w:sz w:val="24"/>
        </w:rPr>
        <w:t xml:space="preserve"> with furnishing </w:t>
      </w:r>
      <w:r>
        <w:rPr>
          <w:rFonts w:ascii="Arial" w:hAnsi="Arial" w:eastAsia="Arial"/>
          <w:b/>
          <w:i w:val="0"/>
          <w:sz w:val="24"/>
        </w:rPr>
        <w:t>loan statements</w:t>
      </w:r>
      <w:r>
        <w:rPr>
          <w:rFonts w:ascii="Arial" w:hAnsi="Arial" w:eastAsia="Arial"/>
          <w:b w:val="0"/>
          <w:i w:val="0"/>
          <w:sz w:val="24"/>
        </w:rPr>
        <w:t xml:space="preserve"> and reasonable borrower documents to </w:t>
      </w:r>
      <w:r>
        <w:rPr>
          <w:rFonts w:ascii="Arial" w:hAnsi="Arial" w:eastAsia="Arial"/>
          <w:b/>
          <w:i w:val="0"/>
          <w:sz w:val="24"/>
        </w:rPr>
        <w:t>facilitate</w:t>
      </w:r>
      <w:r>
        <w:rPr>
          <w:rFonts w:ascii="Arial" w:hAnsi="Arial" w:eastAsia="Arial"/>
          <w:b w:val="0"/>
          <w:i w:val="0"/>
          <w:sz w:val="24"/>
        </w:rPr>
        <w:t xml:space="preserve"> your compliance —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to accept that pre-EMI is our liability.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3.2.</w:t>
      </w:r>
      <w:r>
        <w:rPr>
          <w:rFonts w:ascii="Arial" w:hAnsi="Arial" w:eastAsia="Arial"/>
          <w:b w:val="0"/>
          <w:i w:val="0"/>
          <w:sz w:val="24"/>
        </w:rPr>
        <w:t xml:space="preserve"> We </w:t>
      </w:r>
      <w:r>
        <w:rPr>
          <w:rFonts w:ascii="Arial" w:hAnsi="Arial" w:eastAsia="Arial"/>
          <w:b/>
          <w:i w:val="0"/>
          <w:sz w:val="24"/>
        </w:rPr>
        <w:t>shall not</w:t>
      </w:r>
      <w:r>
        <w:rPr>
          <w:rFonts w:ascii="Arial" w:hAnsi="Arial" w:eastAsia="Arial"/>
          <w:b w:val="0"/>
          <w:i w:val="0"/>
          <w:sz w:val="24"/>
        </w:rPr>
        <w:t xml:space="preserve"> prepare or issue </w:t>
      </w:r>
      <w:r>
        <w:rPr>
          <w:rFonts w:ascii="Arial" w:hAnsi="Arial" w:eastAsia="Arial"/>
          <w:b/>
          <w:i w:val="0"/>
          <w:sz w:val="24"/>
        </w:rPr>
        <w:t>allottee cheques</w:t>
      </w:r>
      <w:r>
        <w:rPr>
          <w:rFonts w:ascii="Arial" w:hAnsi="Arial" w:eastAsia="Arial"/>
          <w:b w:val="0"/>
          <w:i w:val="0"/>
          <w:sz w:val="24"/>
        </w:rPr>
        <w:t xml:space="preserve"> for pre-EMI during the subvention period. Payment must be </w:t>
      </w:r>
      <w:r>
        <w:rPr>
          <w:rFonts w:ascii="Arial" w:hAnsi="Arial" w:eastAsia="Arial"/>
          <w:b/>
          <w:i w:val="0"/>
          <w:sz w:val="24"/>
        </w:rPr>
        <w:t>directly by the builder group to PNB</w:t>
      </w:r>
      <w:r>
        <w:rPr>
          <w:rFonts w:ascii="Arial" w:hAnsi="Arial" w:eastAsia="Arial"/>
          <w:b w:val="0"/>
          <w:i w:val="0"/>
          <w:sz w:val="24"/>
        </w:rPr>
        <w:t xml:space="preserve">, as per the </w:t>
      </w:r>
      <w:r>
        <w:rPr>
          <w:rFonts w:ascii="Arial" w:hAnsi="Arial" w:eastAsia="Arial"/>
          <w:b/>
          <w:i w:val="0"/>
          <w:sz w:val="24"/>
        </w:rPr>
        <w:t>HARERA order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3.3.</w:t>
      </w:r>
      <w:r>
        <w:rPr>
          <w:rFonts w:ascii="Arial" w:hAnsi="Arial" w:eastAsia="Arial"/>
          <w:b w:val="0"/>
          <w:i w:val="0"/>
          <w:sz w:val="24"/>
        </w:rPr>
        <w:t xml:space="preserve"> We </w:t>
      </w:r>
      <w:r>
        <w:rPr>
          <w:rFonts w:ascii="Arial" w:hAnsi="Arial" w:eastAsia="Arial"/>
          <w:b/>
          <w:i w:val="0"/>
          <w:sz w:val="24"/>
        </w:rPr>
        <w:t>shall not</w:t>
      </w:r>
      <w:r>
        <w:rPr>
          <w:rFonts w:ascii="Arial" w:hAnsi="Arial" w:eastAsia="Arial"/>
          <w:b w:val="0"/>
          <w:i w:val="0"/>
          <w:sz w:val="24"/>
        </w:rPr>
        <w:t xml:space="preserve"> execute any </w:t>
      </w:r>
      <w:r>
        <w:rPr>
          <w:rFonts w:ascii="Arial" w:hAnsi="Arial" w:eastAsia="Arial"/>
          <w:b/>
          <w:i w:val="0"/>
          <w:sz w:val="24"/>
        </w:rPr>
        <w:t>indemnity affidavit</w:t>
      </w:r>
      <w:r>
        <w:rPr>
          <w:rFonts w:ascii="Arial" w:hAnsi="Arial" w:eastAsia="Arial"/>
          <w:b w:val="0"/>
          <w:i w:val="0"/>
          <w:sz w:val="24"/>
        </w:rPr>
        <w:t xml:space="preserve"> in your favour (including on Rs. 100/- stamp paper) as a </w:t>
      </w:r>
      <w:r>
        <w:rPr>
          <w:rFonts w:ascii="Arial" w:hAnsi="Arial" w:eastAsia="Arial"/>
          <w:b/>
          <w:i w:val="0"/>
          <w:sz w:val="24"/>
        </w:rPr>
        <w:t>precondition</w:t>
      </w:r>
      <w:r>
        <w:rPr>
          <w:rFonts w:ascii="Arial" w:hAnsi="Arial" w:eastAsia="Arial"/>
          <w:b w:val="0"/>
          <w:i w:val="0"/>
          <w:sz w:val="24"/>
        </w:rPr>
        <w:t xml:space="preserve"> to your HARERA compliance. Such a demand seeks to </w:t>
      </w:r>
      <w:r>
        <w:rPr>
          <w:rFonts w:ascii="Arial" w:hAnsi="Arial" w:eastAsia="Arial"/>
          <w:b/>
          <w:i w:val="0"/>
          <w:sz w:val="24"/>
        </w:rPr>
        <w:t>transfer legal and financial risk</w:t>
      </w:r>
      <w:r>
        <w:rPr>
          <w:rFonts w:ascii="Arial" w:hAnsi="Arial" w:eastAsia="Arial"/>
          <w:b w:val="0"/>
          <w:i w:val="0"/>
          <w:sz w:val="24"/>
        </w:rPr>
        <w:t xml:space="preserve"> to the allottees and is </w:t>
      </w:r>
      <w:r>
        <w:rPr>
          <w:rFonts w:ascii="Arial" w:hAnsi="Arial" w:eastAsia="Arial"/>
          <w:b/>
          <w:i w:val="0"/>
          <w:sz w:val="24"/>
        </w:rPr>
        <w:t>not acceptable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3.4.</w:t>
      </w:r>
      <w:r>
        <w:rPr>
          <w:rFonts w:ascii="Arial" w:hAnsi="Arial" w:eastAsia="Arial"/>
          <w:b w:val="0"/>
          <w:i w:val="0"/>
          <w:sz w:val="24"/>
        </w:rPr>
        <w:t xml:space="preserve"> Any </w:t>
      </w:r>
      <w:r>
        <w:rPr>
          <w:rFonts w:ascii="Arial" w:hAnsi="Arial" w:eastAsia="Arial"/>
          <w:b/>
          <w:i w:val="0"/>
          <w:sz w:val="24"/>
        </w:rPr>
        <w:t>tripartite agreement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NoC</w:t>
      </w:r>
      <w:r>
        <w:rPr>
          <w:rFonts w:ascii="Arial" w:hAnsi="Arial" w:eastAsia="Arial"/>
          <w:b w:val="0"/>
          <w:i w:val="0"/>
          <w:sz w:val="24"/>
        </w:rPr>
        <w:t xml:space="preserve">, or </w:t>
      </w:r>
      <w:r>
        <w:rPr>
          <w:rFonts w:ascii="Arial" w:hAnsi="Arial" w:eastAsia="Arial"/>
          <w:b/>
          <w:i w:val="0"/>
          <w:sz w:val="24"/>
        </w:rPr>
        <w:t>bank confirmation</w:t>
      </w:r>
      <w:r>
        <w:rPr>
          <w:rFonts w:ascii="Arial" w:hAnsi="Arial" w:eastAsia="Arial"/>
          <w:b w:val="0"/>
          <w:i w:val="0"/>
          <w:sz w:val="24"/>
        </w:rPr>
        <w:t xml:space="preserve"> must be pursued by the </w:t>
      </w:r>
      <w:r>
        <w:rPr>
          <w:rFonts w:ascii="Arial" w:hAnsi="Arial" w:eastAsia="Arial"/>
          <w:b/>
          <w:i w:val="0"/>
          <w:sz w:val="24"/>
        </w:rPr>
        <w:t>builder group</w:t>
      </w:r>
      <w:r>
        <w:rPr>
          <w:rFonts w:ascii="Arial" w:hAnsi="Arial" w:eastAsia="Arial"/>
          <w:b w:val="0"/>
          <w:i w:val="0"/>
          <w:sz w:val="24"/>
        </w:rPr>
        <w:t xml:space="preserve"> as the </w:t>
      </w:r>
      <w:r>
        <w:rPr>
          <w:rFonts w:ascii="Arial" w:hAnsi="Arial" w:eastAsia="Arial"/>
          <w:b/>
          <w:i w:val="0"/>
          <w:sz w:val="24"/>
        </w:rPr>
        <w:t>primary obligor</w:t>
      </w:r>
      <w:r>
        <w:rPr>
          <w:rFonts w:ascii="Arial" w:hAnsi="Arial" w:eastAsia="Arial"/>
          <w:b w:val="0"/>
          <w:i w:val="0"/>
          <w:sz w:val="24"/>
        </w:rPr>
        <w:t xml:space="preserve">, with allottee cooperation only to the extent </w:t>
      </w:r>
      <w:r>
        <w:rPr>
          <w:rFonts w:ascii="Arial" w:hAnsi="Arial" w:eastAsia="Arial"/>
          <w:b/>
          <w:i w:val="0"/>
          <w:sz w:val="24"/>
        </w:rPr>
        <w:t>PNB’s standard requirements</w:t>
      </w:r>
      <w:r>
        <w:rPr>
          <w:rFonts w:ascii="Arial" w:hAnsi="Arial" w:eastAsia="Arial"/>
          <w:b w:val="0"/>
          <w:i w:val="0"/>
          <w:sz w:val="24"/>
        </w:rPr>
        <w:t xml:space="preserve"> apply to borrowers.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3.5.</w:t>
      </w:r>
      <w:r>
        <w:rPr>
          <w:rFonts w:ascii="Arial" w:hAnsi="Arial" w:eastAsia="Arial"/>
          <w:b w:val="0"/>
          <w:i w:val="0"/>
          <w:sz w:val="24"/>
        </w:rPr>
        <w:t xml:space="preserve"> Your email’s suggestion that we furnish an affidavit stating that </w:t>
      </w:r>
      <w:r>
        <w:rPr>
          <w:rFonts w:ascii="Arial" w:hAnsi="Arial" w:eastAsia="Arial"/>
          <w:b/>
          <w:i w:val="0"/>
          <w:sz w:val="24"/>
        </w:rPr>
        <w:t>“no other order has been passed by Hon’ble RERA”</w:t>
      </w:r>
      <w:r>
        <w:rPr>
          <w:rFonts w:ascii="Arial" w:hAnsi="Arial" w:eastAsia="Arial"/>
          <w:b w:val="0"/>
          <w:i w:val="0"/>
          <w:sz w:val="24"/>
        </w:rPr>
        <w:t xml:space="preserve"> is </w:t>
      </w:r>
      <w:r>
        <w:rPr>
          <w:rFonts w:ascii="Arial" w:hAnsi="Arial" w:eastAsia="Arial"/>
          <w:b/>
          <w:i w:val="0"/>
          <w:sz w:val="24"/>
        </w:rPr>
        <w:t>factually incorrect</w:t>
      </w:r>
      <w:r>
        <w:rPr>
          <w:rFonts w:ascii="Arial" w:hAnsi="Arial" w:eastAsia="Arial"/>
          <w:b w:val="0"/>
          <w:i w:val="0"/>
          <w:sz w:val="24"/>
        </w:rPr>
        <w:t xml:space="preserve"> and is </w:t>
      </w:r>
      <w:r>
        <w:rPr>
          <w:rFonts w:ascii="Arial" w:hAnsi="Arial" w:eastAsia="Arial"/>
          <w:b/>
          <w:i w:val="0"/>
          <w:sz w:val="24"/>
        </w:rPr>
        <w:t>declined</w:t>
      </w:r>
      <w:r>
        <w:rPr>
          <w:rFonts w:ascii="Arial" w:hAnsi="Arial" w:eastAsia="Arial"/>
          <w:b w:val="0"/>
          <w:i w:val="0"/>
          <w:sz w:val="24"/>
        </w:rPr>
        <w:t xml:space="preserve">. A </w:t>
      </w:r>
      <w:r>
        <w:rPr>
          <w:rFonts w:ascii="Arial" w:hAnsi="Arial" w:eastAsia="Arial"/>
          <w:b/>
          <w:i w:val="0"/>
          <w:sz w:val="24"/>
        </w:rPr>
        <w:t>binding 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exists and </w:t>
      </w:r>
      <w:r>
        <w:rPr>
          <w:rFonts w:ascii="Arial" w:hAnsi="Arial" w:eastAsia="Arial"/>
          <w:b/>
          <w:i w:val="0"/>
          <w:sz w:val="24"/>
        </w:rPr>
        <w:t>execution is pending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 What the builder group must do forthwith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Without prejudice to HARERA execution, the builder group is requested to: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4.1.</w:t>
      </w:r>
      <w:r>
        <w:rPr>
          <w:rFonts w:ascii="Arial" w:hAnsi="Arial" w:eastAsia="Arial"/>
          <w:b w:val="0"/>
          <w:i w:val="0"/>
          <w:sz w:val="24"/>
        </w:rPr>
        <w:t xml:space="preserve"> Issue an </w:t>
      </w:r>
      <w:r>
        <w:rPr>
          <w:rFonts w:ascii="Arial" w:hAnsi="Arial" w:eastAsia="Arial"/>
          <w:b/>
          <w:i w:val="0"/>
          <w:sz w:val="24"/>
        </w:rPr>
        <w:t>irrevocable written undertaking</w:t>
      </w:r>
      <w:r>
        <w:rPr>
          <w:rFonts w:ascii="Arial" w:hAnsi="Arial" w:eastAsia="Arial"/>
          <w:b w:val="0"/>
          <w:i w:val="0"/>
          <w:sz w:val="24"/>
        </w:rPr>
        <w:t xml:space="preserve"> to </w:t>
      </w:r>
      <w:r>
        <w:rPr>
          <w:rFonts w:ascii="Arial" w:hAnsi="Arial" w:eastAsia="Arial"/>
          <w:b/>
          <w:i w:val="0"/>
          <w:sz w:val="24"/>
        </w:rPr>
        <w:t>PNB Housing Finance Limited</w:t>
      </w:r>
      <w:r>
        <w:rPr>
          <w:rFonts w:ascii="Arial" w:hAnsi="Arial" w:eastAsia="Arial"/>
          <w:b w:val="0"/>
          <w:i w:val="0"/>
          <w:sz w:val="24"/>
        </w:rPr>
        <w:t xml:space="preserve"> and to us, confirming </w:t>
      </w:r>
      <w:r>
        <w:rPr>
          <w:rFonts w:ascii="Arial" w:hAnsi="Arial" w:eastAsia="Arial"/>
          <w:b/>
          <w:i w:val="0"/>
          <w:sz w:val="24"/>
        </w:rPr>
        <w:t>joint and several liability</w:t>
      </w:r>
      <w:r>
        <w:rPr>
          <w:rFonts w:ascii="Arial" w:hAnsi="Arial" w:eastAsia="Arial"/>
          <w:b w:val="0"/>
          <w:i w:val="0"/>
          <w:sz w:val="24"/>
        </w:rPr>
        <w:t xml:space="preserve"> of </w:t>
      </w:r>
      <w:r>
        <w:rPr>
          <w:rFonts w:ascii="Arial" w:hAnsi="Arial" w:eastAsia="Arial"/>
          <w:b/>
          <w:i w:val="0"/>
          <w:sz w:val="24"/>
        </w:rPr>
        <w:t>ATS Realworth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Hasta</w:t>
      </w:r>
      <w:r>
        <w:rPr>
          <w:rFonts w:ascii="Arial" w:hAnsi="Arial" w:eastAsia="Arial"/>
          <w:b w:val="0"/>
          <w:i w:val="0"/>
          <w:sz w:val="24"/>
        </w:rPr>
        <w:t xml:space="preserve">, and </w:t>
      </w:r>
      <w:r>
        <w:rPr>
          <w:rFonts w:ascii="Arial" w:hAnsi="Arial" w:eastAsia="Arial"/>
          <w:b/>
          <w:i w:val="0"/>
          <w:sz w:val="24"/>
        </w:rPr>
        <w:t>Homekraft</w:t>
      </w:r>
      <w:r>
        <w:rPr>
          <w:rFonts w:ascii="Arial" w:hAnsi="Arial" w:eastAsia="Arial"/>
          <w:b w:val="0"/>
          <w:i w:val="0"/>
          <w:sz w:val="24"/>
        </w:rPr>
        <w:t xml:space="preserve"> for </w:t>
      </w:r>
      <w:r>
        <w:rPr>
          <w:rFonts w:ascii="Arial" w:hAnsi="Arial" w:eastAsia="Arial"/>
          <w:b/>
          <w:i w:val="0"/>
          <w:sz w:val="24"/>
        </w:rPr>
        <w:t>direct monthly pre-EMI payment</w:t>
      </w:r>
      <w:r>
        <w:rPr>
          <w:rFonts w:ascii="Arial" w:hAnsi="Arial" w:eastAsia="Arial"/>
          <w:b w:val="0"/>
          <w:i w:val="0"/>
          <w:sz w:val="24"/>
        </w:rPr>
        <w:t xml:space="preserve"> 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till </w:t>
      </w:r>
      <w:r>
        <w:rPr>
          <w:rFonts w:ascii="Arial" w:hAnsi="Arial" w:eastAsia="Arial"/>
          <w:b/>
          <w:i w:val="0"/>
          <w:sz w:val="24"/>
        </w:rPr>
        <w:t>lawful physical possession</w:t>
      </w:r>
      <w:r>
        <w:rPr>
          <w:rFonts w:ascii="Arial" w:hAnsi="Arial" w:eastAsia="Arial"/>
          <w:b w:val="0"/>
          <w:i w:val="0"/>
          <w:sz w:val="24"/>
        </w:rPr>
        <w:t xml:space="preserve"> of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4.2.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Credit / refund</w:t>
      </w:r>
      <w:r>
        <w:rPr>
          <w:rFonts w:ascii="Arial" w:hAnsi="Arial" w:eastAsia="Arial"/>
          <w:b w:val="0"/>
          <w:i w:val="0"/>
          <w:sz w:val="24"/>
        </w:rPr>
        <w:t xml:space="preserve"> all pre-EMI already paid by us that was </w:t>
      </w:r>
      <w:r>
        <w:rPr>
          <w:rFonts w:ascii="Arial" w:hAnsi="Arial" w:eastAsia="Arial"/>
          <w:b/>
          <w:i w:val="0"/>
          <w:sz w:val="24"/>
        </w:rPr>
        <w:t>your obligation</w:t>
      </w:r>
      <w:r>
        <w:rPr>
          <w:rFonts w:ascii="Arial" w:hAnsi="Arial" w:eastAsia="Arial"/>
          <w:b w:val="0"/>
          <w:i w:val="0"/>
          <w:sz w:val="24"/>
        </w:rPr>
        <w:t xml:space="preserve"> under the HARERA order;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4.3.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Commence direct pre-EMI payment</w:t>
      </w:r>
      <w:r>
        <w:rPr>
          <w:rFonts w:ascii="Arial" w:hAnsi="Arial" w:eastAsia="Arial"/>
          <w:b w:val="0"/>
          <w:i w:val="0"/>
          <w:sz w:val="24"/>
        </w:rPr>
        <w:t xml:space="preserve"> to PNB </w:t>
      </w:r>
      <w:r>
        <w:rPr>
          <w:rFonts w:ascii="Arial" w:hAnsi="Arial" w:eastAsia="Arial"/>
          <w:b/>
          <w:i w:val="0"/>
          <w:sz w:val="24"/>
        </w:rPr>
        <w:t>without delay</w:t>
      </w:r>
      <w:r>
        <w:rPr>
          <w:rFonts w:ascii="Arial" w:hAnsi="Arial" w:eastAsia="Arial"/>
          <w:b w:val="0"/>
          <w:i w:val="0"/>
          <w:sz w:val="24"/>
        </w:rPr>
        <w:t xml:space="preserve">, and furnish </w:t>
      </w:r>
      <w:r>
        <w:rPr>
          <w:rFonts w:ascii="Arial" w:hAnsi="Arial" w:eastAsia="Arial"/>
          <w:b/>
          <w:i w:val="0"/>
          <w:sz w:val="24"/>
        </w:rPr>
        <w:t>monthly proof of payment</w:t>
      </w:r>
      <w:r>
        <w:rPr>
          <w:rFonts w:ascii="Arial" w:hAnsi="Arial" w:eastAsia="Arial"/>
          <w:b w:val="0"/>
          <w:i w:val="0"/>
          <w:sz w:val="24"/>
        </w:rPr>
        <w:t xml:space="preserve"> to PNB and to us;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4.4.</w:t>
      </w:r>
      <w:r>
        <w:rPr>
          <w:rFonts w:ascii="Arial" w:hAnsi="Arial" w:eastAsia="Arial"/>
          <w:b w:val="0"/>
          <w:i w:val="0"/>
          <w:sz w:val="24"/>
        </w:rPr>
        <w:t xml:space="preserve"> Execute </w:t>
      </w:r>
      <w:r>
        <w:rPr>
          <w:rFonts w:ascii="Arial" w:hAnsi="Arial" w:eastAsia="Arial"/>
          <w:b/>
          <w:i w:val="0"/>
          <w:sz w:val="24"/>
        </w:rPr>
        <w:t>tripartite / subvention documentation</w:t>
      </w:r>
      <w:r>
        <w:rPr>
          <w:rFonts w:ascii="Arial" w:hAnsi="Arial" w:eastAsia="Arial"/>
          <w:b w:val="0"/>
          <w:i w:val="0"/>
          <w:sz w:val="24"/>
        </w:rPr>
        <w:t xml:space="preserve"> on </w:t>
      </w:r>
      <w:r>
        <w:rPr>
          <w:rFonts w:ascii="Arial" w:hAnsi="Arial" w:eastAsia="Arial"/>
          <w:b/>
          <w:i w:val="0"/>
          <w:sz w:val="24"/>
        </w:rPr>
        <w:t>PNB’s format</w:t>
      </w:r>
      <w:r>
        <w:rPr>
          <w:rFonts w:ascii="Arial" w:hAnsi="Arial" w:eastAsia="Arial"/>
          <w:b w:val="0"/>
          <w:i w:val="0"/>
          <w:sz w:val="24"/>
        </w:rPr>
        <w:t xml:space="preserve">, initiated and driven by the </w:t>
      </w:r>
      <w:r>
        <w:rPr>
          <w:rFonts w:ascii="Arial" w:hAnsi="Arial" w:eastAsia="Arial"/>
          <w:b/>
          <w:i w:val="0"/>
          <w:sz w:val="24"/>
        </w:rPr>
        <w:t>builder</w:t>
      </w:r>
      <w:r>
        <w:rPr>
          <w:rFonts w:ascii="Arial" w:hAnsi="Arial" w:eastAsia="Arial"/>
          <w:b w:val="0"/>
          <w:i w:val="0"/>
          <w:sz w:val="24"/>
        </w:rPr>
        <w:t>, not by allottee preconditions; and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4.5.</w:t>
      </w:r>
      <w:r>
        <w:rPr>
          <w:rFonts w:ascii="Arial" w:hAnsi="Arial" w:eastAsia="Arial"/>
          <w:b w:val="0"/>
          <w:i w:val="0"/>
          <w:sz w:val="24"/>
        </w:rPr>
        <w:t xml:space="preserve"> File a </w:t>
      </w:r>
      <w:r>
        <w:rPr>
          <w:rFonts w:ascii="Arial" w:hAnsi="Arial" w:eastAsia="Arial"/>
          <w:b/>
          <w:i w:val="0"/>
          <w:sz w:val="24"/>
        </w:rPr>
        <w:t>Unit No. 3051-specific affidavit-cum-undertaking</w:t>
      </w:r>
      <w:r>
        <w:rPr>
          <w:rFonts w:ascii="Arial" w:hAnsi="Arial" w:eastAsia="Arial"/>
          <w:b w:val="0"/>
          <w:i w:val="0"/>
          <w:sz w:val="24"/>
        </w:rPr>
        <w:t xml:space="preserve"> before the competent authorities, </w:t>
      </w:r>
      <w:r>
        <w:rPr>
          <w:rFonts w:ascii="Arial" w:hAnsi="Arial" w:eastAsia="Arial"/>
          <w:b/>
          <w:i w:val="0"/>
          <w:sz w:val="24"/>
        </w:rPr>
        <w:t>with</w:t>
      </w:r>
      <w:r>
        <w:rPr>
          <w:rFonts w:ascii="Arial" w:hAnsi="Arial" w:eastAsia="Arial"/>
          <w:b w:val="0"/>
          <w:i w:val="0"/>
          <w:sz w:val="24"/>
        </w:rPr>
        <w:t xml:space="preserve"> (not in place of) the general joint affidavit dated </w:t>
      </w:r>
      <w:r>
        <w:rPr>
          <w:rFonts w:ascii="Arial" w:hAnsi="Arial" w:eastAsia="Arial"/>
          <w:b/>
          <w:i w:val="0"/>
          <w:sz w:val="24"/>
        </w:rPr>
        <w:t>08.06.2026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5. Meeting on 25.06.2026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We are </w:t>
      </w:r>
      <w:r>
        <w:rPr>
          <w:rFonts w:ascii="Arial" w:hAnsi="Arial" w:eastAsia="Arial"/>
          <w:b/>
          <w:i w:val="0"/>
          <w:sz w:val="24"/>
        </w:rPr>
        <w:t>not available</w:t>
      </w:r>
      <w:r>
        <w:rPr>
          <w:rFonts w:ascii="Arial" w:hAnsi="Arial" w:eastAsia="Arial"/>
          <w:b w:val="0"/>
          <w:i w:val="0"/>
          <w:sz w:val="24"/>
        </w:rPr>
        <w:t xml:space="preserve"> to attend a meeting on </w:t>
      </w:r>
      <w:r>
        <w:rPr>
          <w:rFonts w:ascii="Arial" w:hAnsi="Arial" w:eastAsia="Arial"/>
          <w:b/>
          <w:i w:val="0"/>
          <w:sz w:val="24"/>
        </w:rPr>
        <w:t>25.06.2026 at 11:00 AM</w:t>
      </w:r>
      <w:r>
        <w:rPr>
          <w:rFonts w:ascii="Arial" w:hAnsi="Arial" w:eastAsia="Arial"/>
          <w:b w:val="0"/>
          <w:i w:val="0"/>
          <w:sz w:val="24"/>
        </w:rPr>
        <w:t xml:space="preserve"> on the terms set out in your email. We are </w:t>
      </w:r>
      <w:r>
        <w:rPr>
          <w:rFonts w:ascii="Arial" w:hAnsi="Arial" w:eastAsia="Arial"/>
          <w:b/>
          <w:i w:val="0"/>
          <w:sz w:val="24"/>
        </w:rPr>
        <w:t>willing</w:t>
      </w:r>
      <w:r>
        <w:rPr>
          <w:rFonts w:ascii="Arial" w:hAnsi="Arial" w:eastAsia="Arial"/>
          <w:b w:val="0"/>
          <w:i w:val="0"/>
          <w:sz w:val="24"/>
        </w:rPr>
        <w:t xml:space="preserve"> to discuss </w:t>
      </w:r>
      <w:r>
        <w:rPr>
          <w:rFonts w:ascii="Arial" w:hAnsi="Arial" w:eastAsia="Arial"/>
          <w:b/>
          <w:i w:val="0"/>
          <w:sz w:val="24"/>
        </w:rPr>
        <w:t>lawful compliance</w:t>
      </w:r>
      <w:r>
        <w:rPr>
          <w:rFonts w:ascii="Arial" w:hAnsi="Arial" w:eastAsia="Arial"/>
          <w:b w:val="0"/>
          <w:i w:val="0"/>
          <w:sz w:val="24"/>
        </w:rPr>
        <w:t xml:space="preserve"> only after: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(a)</w:t>
      </w:r>
      <w:r>
        <w:rPr>
          <w:rFonts w:ascii="Arial" w:hAnsi="Arial" w:eastAsia="Arial"/>
          <w:b w:val="0"/>
          <w:i w:val="0"/>
          <w:sz w:val="24"/>
        </w:rPr>
        <w:t xml:space="preserve"> PNB’s </w:t>
      </w:r>
      <w:r>
        <w:rPr>
          <w:rFonts w:ascii="Arial" w:hAnsi="Arial" w:eastAsia="Arial"/>
          <w:b/>
          <w:i w:val="0"/>
          <w:sz w:val="24"/>
        </w:rPr>
        <w:t>written procedure / document checklist</w:t>
      </w:r>
      <w:r>
        <w:rPr>
          <w:rFonts w:ascii="Arial" w:hAnsi="Arial" w:eastAsia="Arial"/>
          <w:b w:val="0"/>
          <w:i w:val="0"/>
          <w:sz w:val="24"/>
        </w:rPr>
        <w:t xml:space="preserve"> is received; and</w:t>
      </w:r>
      <w:r>
        <w:br/>
      </w:r>
      <w:r>
        <w:rPr>
          <w:rFonts w:ascii="Arial" w:hAnsi="Arial" w:eastAsia="Arial"/>
          <w:b/>
          <w:i w:val="0"/>
          <w:sz w:val="24"/>
        </w:rPr>
        <w:t>(b)</w:t>
      </w:r>
      <w:r>
        <w:rPr>
          <w:rFonts w:ascii="Arial" w:hAnsi="Arial" w:eastAsia="Arial"/>
          <w:b w:val="0"/>
          <w:i w:val="0"/>
          <w:sz w:val="24"/>
        </w:rPr>
        <w:t xml:space="preserve"> the builder group confirms in writing that it accepts </w:t>
      </w:r>
      <w:r>
        <w:rPr>
          <w:rFonts w:ascii="Arial" w:hAnsi="Arial" w:eastAsia="Arial"/>
          <w:b/>
          <w:i w:val="0"/>
          <w:sz w:val="24"/>
        </w:rPr>
        <w:t>direct pre-EMI liability</w:t>
      </w:r>
      <w:r>
        <w:rPr>
          <w:rFonts w:ascii="Arial" w:hAnsi="Arial" w:eastAsia="Arial"/>
          <w:b w:val="0"/>
          <w:i w:val="0"/>
          <w:sz w:val="24"/>
        </w:rPr>
        <w:t xml:space="preserve"> as above </w:t>
      </w:r>
      <w:r>
        <w:rPr>
          <w:rFonts w:ascii="Arial" w:hAnsi="Arial" w:eastAsia="Arial"/>
          <w:b/>
          <w:i w:val="0"/>
          <w:sz w:val="24"/>
        </w:rPr>
        <w:t>without</w:t>
      </w:r>
      <w:r>
        <w:rPr>
          <w:rFonts w:ascii="Arial" w:hAnsi="Arial" w:eastAsia="Arial"/>
          <w:b w:val="0"/>
          <w:i w:val="0"/>
          <w:sz w:val="24"/>
        </w:rPr>
        <w:t xml:space="preserve"> allottee indemnity or cheque route.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Any future meeting may be fixed </w:t>
      </w:r>
      <w:r>
        <w:rPr>
          <w:rFonts w:ascii="Arial" w:hAnsi="Arial" w:eastAsia="Arial"/>
          <w:b/>
          <w:i w:val="0"/>
          <w:sz w:val="24"/>
        </w:rPr>
        <w:t>after</w:t>
      </w:r>
      <w:r>
        <w:rPr>
          <w:rFonts w:ascii="Arial" w:hAnsi="Arial" w:eastAsia="Arial"/>
          <w:b w:val="0"/>
          <w:i w:val="0"/>
          <w:sz w:val="24"/>
        </w:rPr>
        <w:t xml:space="preserve"> the above, with </w:t>
      </w:r>
      <w:r>
        <w:rPr>
          <w:rFonts w:ascii="Arial" w:hAnsi="Arial" w:eastAsia="Arial"/>
          <w:b/>
          <w:i w:val="0"/>
          <w:sz w:val="24"/>
        </w:rPr>
        <w:t>reasonable notice</w:t>
      </w:r>
      <w:r>
        <w:rPr>
          <w:rFonts w:ascii="Arial" w:hAnsi="Arial" w:eastAsia="Arial"/>
          <w:b w:val="0"/>
          <w:i w:val="0"/>
          <w:sz w:val="24"/>
        </w:rPr>
        <w:t xml:space="preserve"> and an </w:t>
      </w:r>
      <w:r>
        <w:rPr>
          <w:rFonts w:ascii="Arial" w:hAnsi="Arial" w:eastAsia="Arial"/>
          <w:b/>
          <w:i w:val="0"/>
          <w:sz w:val="24"/>
        </w:rPr>
        <w:t>agenda</w:t>
      </w:r>
      <w:r>
        <w:rPr>
          <w:rFonts w:ascii="Arial" w:hAnsi="Arial" w:eastAsia="Arial"/>
          <w:b w:val="0"/>
          <w:i w:val="0"/>
          <w:sz w:val="24"/>
        </w:rPr>
        <w:t xml:space="preserve"> confined to </w:t>
      </w:r>
      <w:r>
        <w:rPr>
          <w:rFonts w:ascii="Arial" w:hAnsi="Arial" w:eastAsia="Arial"/>
          <w:b/>
          <w:i w:val="0"/>
          <w:sz w:val="24"/>
        </w:rPr>
        <w:t>HARERA-order compliance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Unit 3051</w:t>
      </w:r>
      <w:r>
        <w:rPr>
          <w:rFonts w:ascii="Arial" w:hAnsi="Arial" w:eastAsia="Arial"/>
          <w:b w:val="0"/>
          <w:i w:val="0"/>
          <w:sz w:val="24"/>
        </w:rPr>
        <w:t xml:space="preserve"> specifics.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6. Reservation of rights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All rights under the </w:t>
      </w:r>
      <w:r>
        <w:rPr>
          <w:rFonts w:ascii="Arial" w:hAnsi="Arial" w:eastAsia="Arial"/>
          <w:b/>
          <w:i w:val="0"/>
          <w:sz w:val="24"/>
        </w:rPr>
        <w:t>BBA</w:t>
      </w:r>
      <w:r>
        <w:rPr>
          <w:rFonts w:ascii="Arial" w:hAnsi="Arial" w:eastAsia="Arial"/>
          <w:b w:val="0"/>
          <w:i w:val="0"/>
          <w:sz w:val="24"/>
        </w:rPr>
        <w:t xml:space="preserve">, the </w:t>
      </w:r>
      <w:r>
        <w:rPr>
          <w:rFonts w:ascii="Arial" w:hAnsi="Arial" w:eastAsia="Arial"/>
          <w:b/>
          <w:i w:val="0"/>
          <w:sz w:val="24"/>
        </w:rPr>
        <w:t>RERA Act, 2016</w:t>
      </w:r>
      <w:r>
        <w:rPr>
          <w:rFonts w:ascii="Arial" w:hAnsi="Arial" w:eastAsia="Arial"/>
          <w:b w:val="0"/>
          <w:i w:val="0"/>
          <w:sz w:val="24"/>
        </w:rPr>
        <w:t xml:space="preserve">, the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, delay compensation, </w:t>
      </w:r>
      <w:r>
        <w:rPr>
          <w:rFonts w:ascii="Arial" w:hAnsi="Arial" w:eastAsia="Arial"/>
          <w:b/>
          <w:i w:val="0"/>
          <w:sz w:val="24"/>
        </w:rPr>
        <w:t>Section 71</w:t>
      </w:r>
      <w:r>
        <w:rPr>
          <w:rFonts w:ascii="Arial" w:hAnsi="Arial" w:eastAsia="Arial"/>
          <w:b w:val="0"/>
          <w:i w:val="0"/>
          <w:sz w:val="24"/>
        </w:rPr>
        <w:t xml:space="preserve"> claims, execution proceedings, and our </w:t>
      </w:r>
      <w:r>
        <w:rPr>
          <w:rFonts w:ascii="Arial" w:hAnsi="Arial" w:eastAsia="Arial"/>
          <w:b/>
          <w:i w:val="0"/>
          <w:sz w:val="24"/>
        </w:rPr>
        <w:t>withholding of consent</w:t>
      </w:r>
      <w:r>
        <w:rPr>
          <w:rFonts w:ascii="Arial" w:hAnsi="Arial" w:eastAsia="Arial"/>
          <w:b w:val="0"/>
          <w:i w:val="0"/>
          <w:sz w:val="24"/>
        </w:rPr>
        <w:t xml:space="preserve"> to the revised building plan (where applicable) are </w:t>
      </w:r>
      <w:r>
        <w:rPr>
          <w:rFonts w:ascii="Arial" w:hAnsi="Arial" w:eastAsia="Arial"/>
          <w:b/>
          <w:i w:val="0"/>
          <w:sz w:val="24"/>
        </w:rPr>
        <w:t>fully reserved</w:t>
      </w:r>
      <w:r>
        <w:rPr>
          <w:rFonts w:ascii="Arial" w:hAnsi="Arial" w:eastAsia="Arial"/>
          <w:b w:val="0"/>
          <w:i w:val="0"/>
          <w:sz w:val="24"/>
        </w:rPr>
        <w:t xml:space="preserve">. Nothing in this email shall constitute </w:t>
      </w:r>
      <w:r>
        <w:rPr>
          <w:rFonts w:ascii="Arial" w:hAnsi="Arial" w:eastAsia="Arial"/>
          <w:b/>
          <w:i w:val="0"/>
          <w:sz w:val="24"/>
        </w:rPr>
        <w:t>waiver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acquiescence</w:t>
      </w:r>
      <w:r>
        <w:rPr>
          <w:rFonts w:ascii="Arial" w:hAnsi="Arial" w:eastAsia="Arial"/>
          <w:b w:val="0"/>
          <w:i w:val="0"/>
          <w:sz w:val="24"/>
        </w:rPr>
        <w:t xml:space="preserve">, or </w:t>
      </w:r>
      <w:r>
        <w:rPr>
          <w:rFonts w:ascii="Arial" w:hAnsi="Arial" w:eastAsia="Arial"/>
          <w:b/>
          <w:i w:val="0"/>
          <w:sz w:val="24"/>
        </w:rPr>
        <w:t>consent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7. Enclosures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7.1.</w:t>
      </w:r>
      <w:r>
        <w:rPr>
          <w:rFonts w:ascii="Arial" w:hAnsi="Arial" w:eastAsia="Arial"/>
          <w:b w:val="0"/>
          <w:i w:val="0"/>
          <w:sz w:val="24"/>
        </w:rPr>
        <w:t xml:space="preserve"> Copy of allottees’ letter / email dated </w:t>
      </w:r>
      <w:r>
        <w:rPr>
          <w:rFonts w:ascii="Arial" w:hAnsi="Arial" w:eastAsia="Arial"/>
          <w:b/>
          <w:i w:val="0"/>
          <w:sz w:val="24"/>
        </w:rPr>
        <w:t>23.06.2026</w:t>
      </w:r>
      <w:r>
        <w:rPr>
          <w:rFonts w:ascii="Arial" w:hAnsi="Arial" w:eastAsia="Arial"/>
          <w:b w:val="0"/>
          <w:i w:val="0"/>
          <w:sz w:val="24"/>
        </w:rPr>
        <w:t xml:space="preserve"> to </w:t>
      </w:r>
      <w:r>
        <w:rPr>
          <w:rFonts w:ascii="Arial" w:hAnsi="Arial" w:eastAsia="Arial"/>
          <w:b/>
          <w:i w:val="0"/>
          <w:sz w:val="24"/>
        </w:rPr>
        <w:t>PNB Housing Finance Limited</w:t>
      </w:r>
      <w:r>
        <w:rPr>
          <w:rFonts w:ascii="Arial" w:hAnsi="Arial" w:eastAsia="Arial"/>
          <w:b w:val="0"/>
          <w:i w:val="0"/>
          <w:sz w:val="24"/>
        </w:rPr>
        <w:t xml:space="preserve"> (procedure and document checklist).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Thanking you,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(Prof. Vijyant Agarwal)</w:t>
      </w:r>
      <w:r>
        <w:br/>
      </w:r>
      <w:r>
        <w:rPr>
          <w:rFonts w:ascii="Arial" w:hAnsi="Arial" w:eastAsia="Arial"/>
          <w:b/>
          <w:i w:val="0"/>
          <w:sz w:val="24"/>
        </w:rPr>
        <w:t>(Mrs. Vineeta Agarwal)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Allottees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Tower No. </w:t>
      </w:r>
      <w:r>
        <w:rPr>
          <w:rFonts w:ascii="Arial" w:hAnsi="Arial" w:eastAsia="Arial"/>
          <w:b/>
          <w:i w:val="0"/>
          <w:sz w:val="24"/>
        </w:rPr>
        <w:t>03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