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both"/>
      </w:pPr>
      <w:r>
        <w:rPr>
          <w:rFonts w:ascii="Calibri" w:hAnsi="Calibri" w:eastAsia="Calibri"/>
          <w:b/>
          <w:i w:val="0"/>
          <w:color w:val="000000"/>
          <w:sz w:val="36"/>
        </w:rPr>
        <w:t>Literature survey titles and the literature gap</w:t>
      </w:r>
    </w:p>
    <w:p>
      <w:pPr>
        <w:spacing w:before="0" w:after="160"/>
        <w:jc w:val="both"/>
      </w:pPr>
      <w:r>
        <w:rPr>
          <w:rFonts w:ascii="Calibri" w:hAnsi="Calibri" w:eastAsia="Calibri"/>
          <w:b/>
          <w:i w:val="0"/>
          <w:color w:val="000000"/>
          <w:sz w:val="24"/>
        </w:rPr>
        <w:t>For a possible patent based on large deviation theory and rare-event analysis in antivirus software</w:t>
      </w:r>
    </w:p>
    <w:p>
      <w:pPr>
        <w:spacing w:before="0" w:after="40"/>
        <w:jc w:val="both"/>
      </w:pPr>
      <w:r>
        <w:rPr>
          <w:rFonts w:ascii="Calibri" w:hAnsi="Calibri" w:eastAsia="Calibri"/>
          <w:b w:val="0"/>
          <w:i w:val="0"/>
          <w:color w:val="000000"/>
          <w:sz w:val="22"/>
        </w:rPr>
        <w:t>Date: 30 October 2026</w:t>
      </w:r>
    </w:p>
    <w:p>
      <w:pPr>
        <w:spacing w:before="0" w:after="40"/>
        <w:jc w:val="both"/>
      </w:pPr>
      <w:r>
        <w:rPr>
          <w:rFonts w:ascii="Calibri" w:hAnsi="Calibri" w:eastAsia="Calibri"/>
          <w:b w:val="0"/>
          <w:i w:val="0"/>
          <w:color w:val="000000"/>
          <w:sz w:val="22"/>
        </w:rPr>
        <w:t>Source note: Application of Large Deviation Theory and Rare-Event Analysis in Antivirus Companies.docx</w:t>
      </w:r>
    </w:p>
    <w:p>
      <w:pPr>
        <w:spacing w:before="0" w:after="160"/>
        <w:jc w:val="both"/>
      </w:pPr>
      <w:r>
        <w:rPr>
          <w:rFonts w:ascii="Calibri" w:hAnsi="Calibri" w:eastAsia="Calibri"/>
          <w:b w:val="0"/>
          <w:i w:val="0"/>
          <w:color w:val="000000"/>
          <w:sz w:val="22"/>
        </w:rPr>
        <w:t>Status: Preliminary list for discussion with a patent attorney. This is not a Patent Office search, not Form 2, and not legal advice. The titles below were checked against public records on 30 October 2026. A filing still needs a full search.</w:t>
      </w:r>
    </w:p>
    <w:p>
      <w:pPr>
        <w:spacing w:before="200" w:after="80"/>
        <w:jc w:val="both"/>
      </w:pPr>
      <w:r>
        <w:rPr>
          <w:rFonts w:ascii="Calibri" w:hAnsi="Calibri" w:eastAsia="Calibri"/>
          <w:b/>
          <w:i w:val="0"/>
          <w:color w:val="000000"/>
          <w:sz w:val="26"/>
        </w:rPr>
        <w:t>1. Working title for the patent</w:t>
      </w:r>
    </w:p>
    <w:p>
      <w:pPr>
        <w:spacing w:before="0" w:after="120"/>
        <w:jc w:val="both"/>
      </w:pPr>
      <w:r>
        <w:rPr>
          <w:rFonts w:ascii="Calibri" w:hAnsi="Calibri" w:eastAsia="Calibri"/>
          <w:b w:val="0"/>
          <w:i w:val="0"/>
          <w:color w:val="000000"/>
          <w:sz w:val="22"/>
        </w:rPr>
        <w:t>Rare-event-aware cyberattack detection and probabilistic security control using large deviation theory.</w:t>
      </w:r>
    </w:p>
    <w:p>
      <w:pPr>
        <w:spacing w:before="0" w:after="120"/>
        <w:jc w:val="both"/>
      </w:pPr>
      <w:r>
        <w:rPr>
          <w:rFonts w:ascii="Calibri" w:hAnsi="Calibri" w:eastAsia="Calibri"/>
          <w:b w:val="0"/>
          <w:i w:val="0"/>
          <w:color w:val="000000"/>
          <w:sz w:val="22"/>
        </w:rPr>
        <w:t>This is the research direction already named in the source note. A longer filing title, if wanted, is: Method and system for estimating the probability that an endpoint will leave a defined safe condition, identifying the most probable behaviour sequence for that exit, and selecting a protective response.</w:t>
      </w:r>
    </w:p>
    <w:p>
      <w:pPr>
        <w:spacing w:before="200" w:after="80"/>
        <w:jc w:val="both"/>
      </w:pPr>
      <w:r>
        <w:rPr>
          <w:rFonts w:ascii="Calibri" w:hAnsi="Calibri" w:eastAsia="Calibri"/>
          <w:b/>
          <w:i w:val="0"/>
          <w:color w:val="000000"/>
          <w:sz w:val="26"/>
        </w:rPr>
        <w:t>2. Suggested titles for the two write-ups</w:t>
      </w:r>
    </w:p>
    <w:p>
      <w:pPr>
        <w:spacing w:before="0" w:after="120"/>
        <w:jc w:val="both"/>
      </w:pPr>
      <w:r>
        <w:rPr>
          <w:rFonts w:ascii="Calibri" w:hAnsi="Calibri" w:eastAsia="Calibri"/>
          <w:b w:val="0"/>
          <w:i w:val="0"/>
          <w:color w:val="000000"/>
          <w:sz w:val="22"/>
        </w:rPr>
        <w:t>Literature survey: Large deviation theory, rare-event estimation, and protective control in endpoint antivirus: a survey of what is already published.</w:t>
      </w:r>
    </w:p>
    <w:p>
      <w:pPr>
        <w:spacing w:before="0" w:after="120"/>
        <w:jc w:val="both"/>
      </w:pPr>
      <w:r>
        <w:rPr>
          <w:rFonts w:ascii="Calibri" w:hAnsi="Calibri" w:eastAsia="Calibri"/>
          <w:b w:val="0"/>
          <w:i w:val="0"/>
          <w:color w:val="000000"/>
          <w:sz w:val="22"/>
        </w:rPr>
        <w:t>Literature gap: From a traffic anomaly or a behaviour score to an endpoint exit probability: what the published work does not yet join together.</w:t>
      </w:r>
    </w:p>
    <w:p>
      <w:pPr>
        <w:spacing w:before="200" w:after="80"/>
        <w:jc w:val="both"/>
      </w:pPr>
      <w:r>
        <w:rPr>
          <w:rFonts w:ascii="Calibri" w:hAnsi="Calibri" w:eastAsia="Calibri"/>
          <w:b/>
          <w:i w:val="0"/>
          <w:color w:val="000000"/>
          <w:sz w:val="26"/>
        </w:rPr>
        <w:t>3. What the source note proposes</w:t>
      </w:r>
    </w:p>
    <w:p>
      <w:pPr>
        <w:spacing w:before="0" w:after="120"/>
        <w:jc w:val="both"/>
      </w:pPr>
      <w:r>
        <w:rPr>
          <w:rFonts w:ascii="Calibri" w:hAnsi="Calibri" w:eastAsia="Calibri"/>
          <w:b w:val="0"/>
          <w:i w:val="0"/>
          <w:color w:val="000000"/>
          <w:sz w:val="22"/>
        </w:rPr>
        <w:t>The source note treats an endpoint as a stochastic system. Normal computer activity is the reference. A serious security incident is an exit from a defined safe condition into a defined compromised condition. Five ideas are to be used together, and they are to complement signatures, behavioural detection, and threat intelligence.</w:t>
      </w:r>
    </w:p>
    <w:p>
      <w:pPr>
        <w:spacing w:before="0" w:after="40"/>
        <w:jc w:val="both"/>
      </w:pPr>
      <w:r>
        <w:rPr>
          <w:rFonts w:ascii="Calibri" w:hAnsi="Calibri" w:eastAsia="Calibri"/>
          <w:b w:val="0"/>
          <w:i w:val="0"/>
          <w:color w:val="000000"/>
          <w:sz w:val="22"/>
        </w:rPr>
        <w:t>1. Large deviation theory: measure host behaviour that departs strongly from the learned normal pattern.</w:t>
      </w:r>
    </w:p>
    <w:p>
      <w:pPr>
        <w:spacing w:before="0" w:after="40"/>
        <w:jc w:val="both"/>
      </w:pPr>
      <w:r>
        <w:rPr>
          <w:rFonts w:ascii="Calibri" w:hAnsi="Calibri" w:eastAsia="Calibri"/>
          <w:b w:val="0"/>
          <w:i w:val="0"/>
          <w:color w:val="000000"/>
          <w:sz w:val="22"/>
        </w:rPr>
        <w:t>2. Rare-event analysis: treat uncommon but catastrophic sequences as rare events, including importance sampling where a probability must be estimated.</w:t>
      </w:r>
    </w:p>
    <w:p>
      <w:pPr>
        <w:spacing w:before="0" w:after="40"/>
        <w:jc w:val="both"/>
      </w:pPr>
      <w:r>
        <w:rPr>
          <w:rFonts w:ascii="Calibri" w:hAnsi="Calibri" w:eastAsia="Calibri"/>
          <w:b w:val="0"/>
          <w:i w:val="0"/>
          <w:color w:val="000000"/>
          <w:sz w:val="22"/>
        </w:rPr>
        <w:t>3. Exit probability: estimate the chance of moving from the safe condition to the compromised condition.</w:t>
      </w:r>
    </w:p>
    <w:p>
      <w:pPr>
        <w:spacing w:before="0" w:after="40"/>
        <w:jc w:val="both"/>
      </w:pPr>
      <w:r>
        <w:rPr>
          <w:rFonts w:ascii="Calibri" w:hAnsi="Calibri" w:eastAsia="Calibri"/>
          <w:b w:val="0"/>
          <w:i w:val="0"/>
          <w:color w:val="000000"/>
          <w:sz w:val="22"/>
        </w:rPr>
        <w:t>4. Most probable escape path: identify the plausible sequence from early unusual activity to compromise.</w:t>
      </w:r>
    </w:p>
    <w:p>
      <w:pPr>
        <w:spacing w:before="0" w:after="120"/>
        <w:jc w:val="both"/>
      </w:pPr>
      <w:r>
        <w:rPr>
          <w:rFonts w:ascii="Calibri" w:hAnsi="Calibri" w:eastAsia="Calibri"/>
          <w:b w:val="0"/>
          <w:i w:val="0"/>
          <w:color w:val="000000"/>
          <w:sz w:val="22"/>
        </w:rPr>
        <w:t>5. Stochastic control: choose a proportionate response, such as monitor, restrict, quarantine, or isolate.</w:t>
      </w:r>
    </w:p>
    <w:p>
      <w:pPr>
        <w:spacing w:before="0" w:after="120"/>
        <w:jc w:val="both"/>
      </w:pPr>
      <w:r>
        <w:rPr>
          <w:rFonts w:ascii="Calibri" w:hAnsi="Calibri" w:eastAsia="Calibri"/>
          <w:b w:val="0"/>
          <w:i w:val="0"/>
          <w:color w:val="000000"/>
          <w:sz w:val="22"/>
        </w:rPr>
        <w:t>The 35 percent figure in the source note is stated there as illustrative. It is not a calculated result and should not be put forward as experimental evidence.</w:t>
      </w:r>
    </w:p>
    <w:p>
      <w:pPr>
        <w:spacing w:before="200" w:after="80"/>
        <w:jc w:val="both"/>
      </w:pPr>
      <w:r>
        <w:rPr>
          <w:rFonts w:ascii="Calibri" w:hAnsi="Calibri" w:eastAsia="Calibri"/>
          <w:b/>
          <w:i w:val="0"/>
          <w:color w:val="000000"/>
          <w:sz w:val="26"/>
        </w:rPr>
        <w:t>4. Already in this folder</w:t>
      </w:r>
    </w:p>
    <w:tbl>
      <w:tblPr>
        <w:tblW w:type="dxa" w:w="9900"/>
        <w:tblLayout w:type="autofit"/>
        <w:tblLook w:firstColumn="1" w:firstRow="1" w:lastColumn="0" w:lastRow="0" w:noHBand="0" w:noVBand="1" w:val="04A0"/>
      </w:tblPr>
      <w:tblGrid>
        <w:gridCol w:w="3289"/>
        <w:gridCol w:w="3289"/>
        <w:gridCol w:w="3289"/>
      </w:tblGrid>
      <w:tr>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i w:val="0"/>
                <w:color w:val="000000"/>
                <w:sz w:val="18"/>
              </w:rPr>
              <w:t>Item</w:t>
            </w:r>
          </w:p>
        </w:tc>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i w:val="0"/>
                <w:color w:val="000000"/>
                <w:sz w:val="18"/>
              </w:rPr>
              <w:t>What it is</w:t>
            </w:r>
          </w:p>
        </w:tc>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i w:val="0"/>
                <w:color w:val="000000"/>
                <w:sz w:val="18"/>
              </w:rPr>
              <w:t>Why it is not the whole invention</w:t>
            </w:r>
          </w:p>
        </w:tc>
      </w:tr>
      <w:tr>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i w:val="0"/>
                <w:color w:val="000000"/>
                <w:sz w:val="18"/>
              </w:rPr>
              <w:t>US8839435B1, Event-based attack detection. Paul King. Cisco Technology, Inc. Filed 4 November 2011. Granted 16 September 2014. File: Literaure_Survey\US8839435.pdf.</w:t>
            </w:r>
          </w:p>
        </w:tc>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val="0"/>
                <w:i w:val="0"/>
                <w:color w:val="000000"/>
                <w:sz w:val="18"/>
              </w:rPr>
              <w:t>Flags an unusual event, or an unusual sequence of events, by comparing one computer's logs with other computers, and then checks malware risk factors and a threshold.</w:t>
            </w:r>
          </w:p>
        </w:tc>
        <w:tc>
          <w:tcPr>
            <w:tcW w:type="dxa" w:w="3289"/>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val="0"/>
                <w:i w:val="0"/>
                <w:color w:val="000000"/>
                <w:sz w:val="18"/>
              </w:rPr>
              <w:t>It does not estimate a large-deviation rate, an exit probability into a defined compromised state, or a most probable escape path, and it does not select the response from that probability.</w:t>
            </w:r>
          </w:p>
        </w:tc>
      </w:tr>
    </w:tbl>
    <w:p>
      <w:pPr>
        <w:spacing w:after="40"/>
      </w:pPr>
    </w:p>
    <w:p>
      <w:pPr>
        <w:spacing w:before="200" w:after="80"/>
        <w:jc w:val="both"/>
      </w:pPr>
      <w:r>
        <w:rPr>
          <w:rFonts w:ascii="Calibri" w:hAnsi="Calibri" w:eastAsia="Calibri"/>
          <w:b/>
          <w:i w:val="0"/>
          <w:color w:val="000000"/>
          <w:sz w:val="26"/>
        </w:rPr>
        <w:t>5. Titles for the literature survey</w:t>
      </w:r>
    </w:p>
    <w:p>
      <w:pPr>
        <w:spacing w:before="0" w:after="120"/>
        <w:jc w:val="both"/>
      </w:pPr>
      <w:r>
        <w:rPr>
          <w:rFonts w:ascii="Calibri" w:hAnsi="Calibri" w:eastAsia="Calibri"/>
          <w:b w:val="0"/>
          <w:i w:val="0"/>
          <w:color w:val="000000"/>
          <w:sz w:val="22"/>
        </w:rPr>
        <w:t>These are published works to read and cite. They are grouped by the idea they are closest to. Each row also states the gap for this filing.</w:t>
      </w:r>
    </w:p>
    <w:p>
      <w:pPr>
        <w:spacing w:before="160" w:after="80"/>
        <w:jc w:val="both"/>
      </w:pPr>
      <w:r>
        <w:rPr>
          <w:rFonts w:ascii="Calibri" w:hAnsi="Calibri" w:eastAsia="Calibri"/>
          <w:b/>
          <w:i w:val="0"/>
          <w:color w:val="000000"/>
          <w:sz w:val="24"/>
        </w:rPr>
        <w:t>5.1 Large deviation theory for anomaly detection</w:t>
      </w:r>
    </w:p>
    <w:tbl>
      <w:tblPr>
        <w:tblW w:type="dxa" w:w="9900"/>
        <w:tblLayout w:type="autofit"/>
        <w:tblLook w:firstColumn="1" w:firstRow="1" w:lastColumn="0" w:lastRow="0" w:noHBand="0" w:noVBand="1" w:val="04A0"/>
      </w:tblPr>
      <w:tblGrid>
        <w:gridCol w:w="4933"/>
        <w:gridCol w:w="4933"/>
      </w:tblGrid>
      <w:tr>
        <w:tc>
          <w:tcPr>
            <w:tcW w:type="dxa" w:w="4933"/>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i w:val="0"/>
                <w:color w:val="000000"/>
                <w:sz w:val="18"/>
              </w:rPr>
              <w:t>Title</w:t>
            </w:r>
          </w:p>
        </w:tc>
        <w:tc>
          <w:tcPr>
            <w:tcW w:type="dxa" w:w="4933"/>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i w:val="0"/>
                <w:color w:val="000000"/>
                <w:sz w:val="18"/>
              </w:rPr>
              <w:t>Gap for this filing</w:t>
            </w:r>
          </w:p>
        </w:tc>
      </w:tr>
      <w:tr>
        <w:tc>
          <w:tcPr>
            <w:tcW w:type="dxa" w:w="4933"/>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i w:val="0"/>
                <w:color w:val="000000"/>
                <w:sz w:val="18"/>
              </w:rPr>
              <w:t>Ioannis Ch. Paschalidis and Georgios Smaragdakis, A large deviations approach to statistical traffic anomaly detection, IEEE Conference on Decision and Control, 2006. DOI: 10.1109/CDC.2006.377716.</w:t>
            </w:r>
          </w:p>
        </w:tc>
        <w:tc>
          <w:tcPr>
            <w:tcW w:type="dxa" w:w="4933"/>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val="0"/>
                <w:i w:val="0"/>
                <w:color w:val="000000"/>
                <w:sz w:val="18"/>
              </w:rPr>
              <w:t>Uses Sanov's theorem and a Markov model on network traffic. It flags a low probability that current traffic matches a normal reference. It does not estimate an endpoint's exit into a compromised state, and it does not choose a protective action.</w:t>
            </w:r>
          </w:p>
        </w:tc>
      </w:tr>
      <w:tr>
        <w:tc>
          <w:tcPr>
            <w:tcW w:type="dxa" w:w="4933"/>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i w:val="0"/>
                <w:color w:val="000000"/>
                <w:sz w:val="18"/>
              </w:rPr>
              <w:t>Ioannis Ch. Paschalidis and Georgios Smaragdakis, Spatio-temporal network anomaly detection by assessing deviations of empirical measures, IEEE/ACM Transactions on Networking, 2009. DOI: 10.1109/TNET.2008.2001468.</w:t>
            </w:r>
          </w:p>
        </w:tc>
        <w:tc>
          <w:tcPr>
            <w:tcW w:type="dxa" w:w="4933"/>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val="0"/>
                <w:i w:val="0"/>
                <w:color w:val="000000"/>
                <w:sz w:val="18"/>
              </w:rPr>
              <w:t>Extends the same large-deviation test to time and to many network elements. The object is still network traffic, not a host file-and-process sequence tied to a safe set and a compromised set.</w:t>
            </w:r>
          </w:p>
        </w:tc>
      </w:tr>
    </w:tbl>
    <w:p>
      <w:pPr>
        <w:spacing w:after="40"/>
      </w:pPr>
    </w:p>
    <w:p>
      <w:pPr>
        <w:spacing w:before="160" w:after="80"/>
        <w:jc w:val="both"/>
      </w:pPr>
      <w:r>
        <w:rPr>
          <w:rFonts w:ascii="Calibri" w:hAnsi="Calibri" w:eastAsia="Calibri"/>
          <w:b/>
          <w:i w:val="0"/>
          <w:color w:val="000000"/>
          <w:sz w:val="24"/>
        </w:rPr>
        <w:t>5.2 Nearby statistical anomaly work, not large deviation theory</w:t>
      </w:r>
    </w:p>
    <w:p>
      <w:pPr>
        <w:spacing w:before="0" w:after="120"/>
        <w:jc w:val="both"/>
      </w:pPr>
      <w:r>
        <w:rPr>
          <w:rFonts w:ascii="Calibri" w:hAnsi="Calibri" w:eastAsia="Calibri"/>
          <w:b w:val="0"/>
          <w:i w:val="0"/>
          <w:color w:val="000000"/>
          <w:sz w:val="22"/>
        </w:rPr>
        <w:t>These papers are easy to confuse with the source note because they also look for rare extremes. They use extreme value theory, not a large-deviation rate function for an exit path. They belong in the survey so the two theories are not mixed.</w:t>
      </w:r>
    </w:p>
    <w:tbl>
      <w:tblPr>
        <w:tblW w:type="dxa" w:w="9900"/>
        <w:tblLayout w:type="autofit"/>
        <w:tblLook w:firstColumn="1" w:firstRow="1" w:lastColumn="0" w:lastRow="0" w:noHBand="0" w:noVBand="1" w:val="04A0"/>
      </w:tblPr>
      <w:tblGrid>
        <w:gridCol w:w="4933"/>
        <w:gridCol w:w="4933"/>
      </w:tblGrid>
      <w:tr>
        <w:tc>
          <w:tcPr>
            <w:tcW w:type="dxa" w:w="4933"/>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i w:val="0"/>
                <w:color w:val="000000"/>
                <w:sz w:val="18"/>
              </w:rPr>
              <w:t>Title</w:t>
            </w:r>
          </w:p>
        </w:tc>
        <w:tc>
          <w:tcPr>
            <w:tcW w:type="dxa" w:w="4933"/>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i w:val="0"/>
                <w:color w:val="000000"/>
                <w:sz w:val="18"/>
              </w:rPr>
              <w:t>Gap for this filing</w:t>
            </w:r>
          </w:p>
        </w:tc>
      </w:tr>
      <w:tr>
        <w:tc>
          <w:tcPr>
            <w:tcW w:type="dxa" w:w="4933"/>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i w:val="0"/>
                <w:color w:val="000000"/>
                <w:sz w:val="18"/>
              </w:rPr>
              <w:t>Alban Siffer, Pierre-Alain Fouque, Alexandre Termier, and Christine Largouet, Anomaly detection in streams with extreme value theory, Proceedings of the 23rd ACM SIGKDD International Conference on Knowledge Discovery and Data Mining, 2017, pp. 1067-1075.</w:t>
            </w:r>
          </w:p>
        </w:tc>
        <w:tc>
          <w:tcPr>
            <w:tcW w:type="dxa" w:w="4933"/>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val="0"/>
                <w:i w:val="0"/>
                <w:color w:val="000000"/>
                <w:sz w:val="18"/>
              </w:rPr>
              <w:t>Sets a streaming threshold for extreme values. It does not give an exit probability or a most probable path, and it does not select monitor, restrict, quarantine, or isolate.</w:t>
            </w:r>
          </w:p>
        </w:tc>
      </w:tr>
      <w:tr>
        <w:tc>
          <w:tcPr>
            <w:tcW w:type="dxa" w:w="4933"/>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i w:val="0"/>
                <w:color w:val="000000"/>
                <w:sz w:val="18"/>
              </w:rPr>
              <w:t>Alban Siffer, Alexandre Termier, Pierre-Alain Fouque, and Christine Largouet, NetSpot: a simple intrusion detection system with statistical learning, IEEE TrustCom, 2020.</w:t>
            </w:r>
          </w:p>
        </w:tc>
        <w:tc>
          <w:tcPr>
            <w:tcW w:type="dxa" w:w="4933"/>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val="0"/>
                <w:i w:val="0"/>
                <w:color w:val="000000"/>
                <w:sz w:val="18"/>
              </w:rPr>
              <w:t>Puts the streaming extreme-value test into a network intrusion detector. It is a network module. It is not an endpoint exit-probability controller.</w:t>
            </w:r>
          </w:p>
        </w:tc>
      </w:tr>
      <w:tr>
        <w:tc>
          <w:tcPr>
            <w:tcW w:type="dxa" w:w="4933"/>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i w:val="0"/>
                <w:color w:val="000000"/>
                <w:sz w:val="18"/>
              </w:rPr>
              <w:t>Sevvandi Kandanaarachchi, Mahdi Abolghasemi, Hideya Ochiai, Asha Rao, and Conrad Sanderson, Detection of anomalous network nodes via hierarchical prediction and extreme value theory, arXiv:2304.13941.</w:t>
            </w:r>
          </w:p>
        </w:tc>
        <w:tc>
          <w:tcPr>
            <w:tcW w:type="dxa" w:w="4933"/>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val="0"/>
                <w:i w:val="0"/>
                <w:color w:val="000000"/>
                <w:sz w:val="18"/>
              </w:rPr>
              <w:t>Detects unusual ARP behaviour of network nodes and aims at fewer false alarms. The deviation test is extreme value theory on network calls, not a large-deviation exit path on one endpoint.</w:t>
            </w:r>
          </w:p>
        </w:tc>
      </w:tr>
    </w:tbl>
    <w:p>
      <w:pPr>
        <w:spacing w:after="40"/>
      </w:pPr>
    </w:p>
    <w:p>
      <w:pPr>
        <w:spacing w:before="160" w:after="80"/>
        <w:jc w:val="both"/>
      </w:pPr>
      <w:r>
        <w:rPr>
          <w:rFonts w:ascii="Calibri" w:hAnsi="Calibri" w:eastAsia="Calibri"/>
          <w:b/>
          <w:i w:val="0"/>
          <w:color w:val="000000"/>
          <w:sz w:val="24"/>
        </w:rPr>
        <w:t>5.3 Rare-event analysis and importance sampling</w:t>
      </w:r>
    </w:p>
    <w:tbl>
      <w:tblPr>
        <w:tblW w:type="dxa" w:w="9900"/>
        <w:tblLayout w:type="autofit"/>
        <w:tblLook w:firstColumn="1" w:firstRow="1" w:lastColumn="0" w:lastRow="0" w:noHBand="0" w:noVBand="1" w:val="04A0"/>
      </w:tblPr>
      <w:tblGrid>
        <w:gridCol w:w="4933"/>
        <w:gridCol w:w="4933"/>
      </w:tblGrid>
      <w:tr>
        <w:tc>
          <w:tcPr>
            <w:tcW w:type="dxa" w:w="4933"/>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i w:val="0"/>
                <w:color w:val="000000"/>
                <w:sz w:val="18"/>
              </w:rPr>
              <w:t>Title</w:t>
            </w:r>
          </w:p>
        </w:tc>
        <w:tc>
          <w:tcPr>
            <w:tcW w:type="dxa" w:w="4933"/>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i w:val="0"/>
                <w:color w:val="000000"/>
                <w:sz w:val="18"/>
              </w:rPr>
              <w:t>Gap for this filing</w:t>
            </w:r>
          </w:p>
        </w:tc>
      </w:tr>
      <w:tr>
        <w:tc>
          <w:tcPr>
            <w:tcW w:type="dxa" w:w="4933"/>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i w:val="0"/>
                <w:color w:val="000000"/>
                <w:sz w:val="18"/>
              </w:rPr>
              <w:t>Alexander L. Krall, Michael E. Kuhl, Stephen F. Moskal, and Shanchieh J. Yang, Assessing the likelihood of cyber network infiltration using rare-event simulation, IEEE Symposium Series on Computational Intelligence, 2016. DOI: 10.1109/SSCI.2016.7849913.</w:t>
            </w:r>
          </w:p>
        </w:tc>
        <w:tc>
          <w:tcPr>
            <w:tcW w:type="dxa" w:w="4933"/>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val="0"/>
                <w:i w:val="0"/>
                <w:color w:val="000000"/>
                <w:sz w:val="18"/>
              </w:rPr>
              <w:t>Uses importance sampling to estimate the chance of a network infiltration when few alerts have been raised. The estimate is for a network mission goal in simulation. It is not a live endpoint control law.</w:t>
            </w:r>
          </w:p>
        </w:tc>
      </w:tr>
      <w:tr>
        <w:tc>
          <w:tcPr>
            <w:tcW w:type="dxa" w:w="4933"/>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i w:val="0"/>
                <w:color w:val="000000"/>
                <w:sz w:val="18"/>
              </w:rPr>
              <w:t>Alexander L. Krall, Michael E. Kuhl, and Shanchieh J. Yang, Estimation of cyber network risk using rare event simulation, Journal of Defense Modeling and Simulation, first published 27 June 2020. DOI: 10.1177/1548512920934551.</w:t>
            </w:r>
          </w:p>
        </w:tc>
        <w:tc>
          <w:tcPr>
            <w:tcW w:type="dxa" w:w="4933"/>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val="0"/>
                <w:i w:val="0"/>
                <w:color w:val="000000"/>
                <w:sz w:val="18"/>
              </w:rPr>
              <w:t>Designs importance sampling for cyber-network risk, including attacker success, failure, and targeting. It supports offline comparison of defences. It does not watch one computer's files and processes and update a graded response.</w:t>
            </w:r>
          </w:p>
        </w:tc>
      </w:tr>
    </w:tbl>
    <w:p>
      <w:pPr>
        <w:spacing w:after="40"/>
      </w:pPr>
    </w:p>
    <w:p>
      <w:pPr>
        <w:spacing w:before="160" w:after="80"/>
        <w:jc w:val="both"/>
      </w:pPr>
      <w:r>
        <w:rPr>
          <w:rFonts w:ascii="Calibri" w:hAnsi="Calibri" w:eastAsia="Calibri"/>
          <w:b/>
          <w:i w:val="0"/>
          <w:color w:val="000000"/>
          <w:sz w:val="24"/>
        </w:rPr>
        <w:t>5.4 Most probable path</w:t>
      </w:r>
    </w:p>
    <w:tbl>
      <w:tblPr>
        <w:tblW w:type="dxa" w:w="9900"/>
        <w:tblLayout w:type="autofit"/>
        <w:tblLook w:firstColumn="1" w:firstRow="1" w:lastColumn="0" w:lastRow="0" w:noHBand="0" w:noVBand="1" w:val="04A0"/>
      </w:tblPr>
      <w:tblGrid>
        <w:gridCol w:w="4933"/>
        <w:gridCol w:w="4933"/>
      </w:tblGrid>
      <w:tr>
        <w:tc>
          <w:tcPr>
            <w:tcW w:type="dxa" w:w="4933"/>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i w:val="0"/>
                <w:color w:val="000000"/>
                <w:sz w:val="18"/>
              </w:rPr>
              <w:t>Title</w:t>
            </w:r>
          </w:p>
        </w:tc>
        <w:tc>
          <w:tcPr>
            <w:tcW w:type="dxa" w:w="4933"/>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i w:val="0"/>
                <w:color w:val="000000"/>
                <w:sz w:val="18"/>
              </w:rPr>
              <w:t>Gap for this filing</w:t>
            </w:r>
          </w:p>
        </w:tc>
      </w:tr>
      <w:tr>
        <w:tc>
          <w:tcPr>
            <w:tcW w:type="dxa" w:w="4933"/>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i w:val="0"/>
                <w:color w:val="000000"/>
                <w:sz w:val="18"/>
              </w:rPr>
              <w:t>Xuanli Lin, Zhaofeng Zhang, Yinxin Wan, Ethan Teo, Guoliang Xue, and Yanchao Zhang, Most vulnerable attack trace in a probabilistic attack graph, IEEE Military Communications Conference, 2024. DOI: 10.1109/MILCOM61039.2024.10773995.</w:t>
            </w:r>
          </w:p>
        </w:tc>
        <w:tc>
          <w:tcPr>
            <w:tcW w:type="dxa" w:w="4933"/>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val="0"/>
                <w:i w:val="0"/>
                <w:color w:val="000000"/>
                <w:sz w:val="18"/>
              </w:rPr>
              <w:t>Finds the attack trace of highest cumulative success probability on a network attack graph. That trace is not the most probable escape path of a host behaviour process under a large-deviation rate, and the paper does not select an endpoint response.</w:t>
            </w:r>
          </w:p>
        </w:tc>
      </w:tr>
      <w:tr>
        <w:tc>
          <w:tcPr>
            <w:tcW w:type="dxa" w:w="4933"/>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i w:val="0"/>
                <w:color w:val="000000"/>
                <w:sz w:val="18"/>
              </w:rPr>
              <w:t>M. I. Freidlin and A. D. Wentzell, Random Perturbations of Dynamical Systems, Springer.</w:t>
            </w:r>
          </w:p>
        </w:tc>
        <w:tc>
          <w:tcPr>
            <w:tcW w:type="dxa" w:w="4933"/>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val="0"/>
                <w:i w:val="0"/>
                <w:color w:val="000000"/>
                <w:sz w:val="18"/>
              </w:rPr>
              <w:t>This is the mathematical source of the most probable escape path from one region of a stochastic system to another. It is not a cybersecurity paper and it does not define a safe computer state, a compromised state, or an antivirus action.</w:t>
            </w:r>
          </w:p>
        </w:tc>
      </w:tr>
    </w:tbl>
    <w:p>
      <w:pPr>
        <w:spacing w:after="40"/>
      </w:pPr>
    </w:p>
    <w:p>
      <w:pPr>
        <w:spacing w:before="160" w:after="80"/>
        <w:jc w:val="both"/>
      </w:pPr>
      <w:r>
        <w:rPr>
          <w:rFonts w:ascii="Calibri" w:hAnsi="Calibri" w:eastAsia="Calibri"/>
          <w:b/>
          <w:i w:val="0"/>
          <w:color w:val="000000"/>
          <w:sz w:val="24"/>
        </w:rPr>
        <w:t>5.5 Behaviour scores, quarantine, and early ransomware indication</w:t>
      </w:r>
    </w:p>
    <w:p>
      <w:pPr>
        <w:spacing w:before="0" w:after="120"/>
        <w:jc w:val="both"/>
      </w:pPr>
      <w:r>
        <w:rPr>
          <w:rFonts w:ascii="Calibri" w:hAnsi="Calibri" w:eastAsia="Calibri"/>
          <w:b w:val="0"/>
          <w:i w:val="0"/>
          <w:color w:val="000000"/>
          <w:sz w:val="22"/>
        </w:rPr>
        <w:t>These patents already detect suspicious host or storage behaviour and can quarantine. A new filing has to stay clear of a plain score, a file-encryption count, or a change-rate threshold.</w:t>
      </w:r>
    </w:p>
    <w:tbl>
      <w:tblPr>
        <w:tblW w:type="dxa" w:w="9900"/>
        <w:tblLayout w:type="autofit"/>
        <w:tblLook w:firstColumn="1" w:firstRow="1" w:lastColumn="0" w:lastRow="0" w:noHBand="0" w:noVBand="1" w:val="04A0"/>
      </w:tblPr>
      <w:tblGrid>
        <w:gridCol w:w="4933"/>
        <w:gridCol w:w="4933"/>
      </w:tblGrid>
      <w:tr>
        <w:tc>
          <w:tcPr>
            <w:tcW w:type="dxa" w:w="4933"/>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i w:val="0"/>
                <w:color w:val="000000"/>
                <w:sz w:val="18"/>
              </w:rPr>
              <w:t>Title</w:t>
            </w:r>
          </w:p>
        </w:tc>
        <w:tc>
          <w:tcPr>
            <w:tcW w:type="dxa" w:w="4933"/>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i w:val="0"/>
                <w:color w:val="000000"/>
                <w:sz w:val="18"/>
              </w:rPr>
              <w:t>Gap for this filing</w:t>
            </w:r>
          </w:p>
        </w:tc>
      </w:tr>
      <w:tr>
        <w:tc>
          <w:tcPr>
            <w:tcW w:type="dxa" w:w="4933"/>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i w:val="0"/>
                <w:color w:val="000000"/>
                <w:sz w:val="18"/>
              </w:rPr>
              <w:t>US9734337B1, Behavior-based ransomware detection. Mark William Patton and Ares Lopez Ituiño. Malwarebytes Inc. Filed 24 January 2017. Granted 15 August 2017.</w:t>
            </w:r>
          </w:p>
        </w:tc>
        <w:tc>
          <w:tcPr>
            <w:tcW w:type="dxa" w:w="4933"/>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val="0"/>
                <w:i w:val="0"/>
                <w:color w:val="000000"/>
                <w:sz w:val="18"/>
              </w:rPr>
              <w:t>Scores ransomware-like thread behaviour and, above a threshold, stops the thread and quarantines the source file, with safeguards for trusted files. The score is not an exit probability from a large-deviation model, and there is no most probable escape path.</w:t>
            </w:r>
          </w:p>
        </w:tc>
      </w:tr>
      <w:tr>
        <w:tc>
          <w:tcPr>
            <w:tcW w:type="dxa" w:w="4933"/>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i w:val="0"/>
                <w:color w:val="000000"/>
                <w:sz w:val="18"/>
              </w:rPr>
              <w:t>US12074906, System and method for ransomware early detection using a security appliance as default gateway with point-to-point links between endpoints. Satish M. Mohan, Vinay Adavi, and Ritesh R. Agrawal. Filed 5 December 2023. Granted 27 August 2024.</w:t>
            </w:r>
          </w:p>
        </w:tc>
        <w:tc>
          <w:tcPr>
            <w:tcW w:type="dxa" w:w="4933"/>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val="0"/>
                <w:i w:val="0"/>
                <w:color w:val="000000"/>
                <w:sz w:val="18"/>
              </w:rPr>
              <w:t>Uses statistical and behavioural anomaly detection on gateway traffic and can quarantine an endpoint. The decision is on network traffic at a security appliance, not on a large-deviation exit probability computed from that endpoint's own activity.</w:t>
            </w:r>
          </w:p>
        </w:tc>
      </w:tr>
      <w:tr>
        <w:tc>
          <w:tcPr>
            <w:tcW w:type="dxa" w:w="4933"/>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i w:val="0"/>
                <w:color w:val="000000"/>
                <w:sz w:val="18"/>
              </w:rPr>
              <w:t>US11949710, System and method for efficient early indication of ransomware attack for damage prevention and control. Dell Products L.P.</w:t>
            </w:r>
          </w:p>
        </w:tc>
        <w:tc>
          <w:tcPr>
            <w:tcW w:type="dxa" w:w="4933"/>
            <w:tcBorders>
              <w:top w:val="single" w:sz="4" w:space="0" w:color="000000"/>
              <w:left w:val="single" w:sz="4" w:space="0" w:color="000000"/>
              <w:bottom w:val="single" w:sz="4" w:space="0" w:color="000000"/>
              <w:right w:val="single" w:sz="4" w:space="0" w:color="000000"/>
            </w:tcBorders>
            <w:shd w:val="clear" w:fill="FFFFFF"/>
          </w:tcPr>
          <w:p>
            <w:pPr>
              <w:spacing w:before="20" w:after="20"/>
              <w:jc w:val="both"/>
            </w:pPr>
            <w:r>
              <w:rPr>
                <w:rFonts w:ascii="Calibri" w:hAnsi="Calibri" w:eastAsia="Calibri"/>
                <w:b w:val="0"/>
                <w:i w:val="0"/>
                <w:color w:val="000000"/>
                <w:sz w:val="18"/>
              </w:rPr>
              <w:t>Flags ransomware from the rate and pattern of changed data blocks between snapshots. It does not estimate the probability of reaching a defined compromised state, and it does not name the most probable sequence of host actions.</w:t>
            </w:r>
          </w:p>
        </w:tc>
      </w:tr>
    </w:tbl>
    <w:p>
      <w:pPr>
        <w:spacing w:after="40"/>
      </w:pPr>
    </w:p>
    <w:p>
      <w:pPr>
        <w:spacing w:before="160" w:after="80"/>
        <w:jc w:val="both"/>
      </w:pPr>
      <w:r>
        <w:rPr>
          <w:rFonts w:ascii="Calibri" w:hAnsi="Calibri" w:eastAsia="Calibri"/>
          <w:b/>
          <w:i w:val="0"/>
          <w:color w:val="000000"/>
          <w:sz w:val="24"/>
        </w:rPr>
        <w:t>5.6 Mathematical background, only for the rate function</w:t>
      </w:r>
    </w:p>
    <w:p>
      <w:pPr>
        <w:spacing w:before="0" w:after="120"/>
        <w:jc w:val="both"/>
      </w:pPr>
      <w:r>
        <w:rPr>
          <w:rFonts w:ascii="Calibri" w:hAnsi="Calibri" w:eastAsia="Calibri"/>
          <w:b w:val="0"/>
          <w:i w:val="0"/>
          <w:color w:val="000000"/>
          <w:sz w:val="22"/>
        </w:rPr>
        <w:t>Amir Dembo and Ofer Zeitouni, Large Deviations Techniques and Applications, Springer. This is the reference for Sanov's theorem and the rate function used by the traffic papers in section 5.1. It contains no antivirus system.</w:t>
      </w:r>
    </w:p>
    <w:p>
      <w:pPr>
        <w:spacing w:before="200" w:after="80"/>
        <w:jc w:val="both"/>
      </w:pPr>
      <w:r>
        <w:rPr>
          <w:rFonts w:ascii="Calibri" w:hAnsi="Calibri" w:eastAsia="Calibri"/>
          <w:b/>
          <w:i w:val="0"/>
          <w:color w:val="000000"/>
          <w:sz w:val="26"/>
        </w:rPr>
        <w:t>6. The literature gap</w:t>
      </w:r>
    </w:p>
    <w:p>
      <w:pPr>
        <w:spacing w:before="0" w:after="120"/>
        <w:jc w:val="both"/>
      </w:pPr>
      <w:r>
        <w:rPr>
          <w:rFonts w:ascii="Calibri" w:hAnsi="Calibri" w:eastAsia="Calibri"/>
          <w:b w:val="0"/>
          <w:i w:val="0"/>
          <w:color w:val="000000"/>
          <w:sz w:val="22"/>
        </w:rPr>
        <w:t>Read together, the works above cover four separate tasks. Large-deviation tests detect that network traffic is unlike a learned normal measure. Importance sampling estimates a rare network-infiltration probability offline. Attack graphs name a high-probability trace across machines. Endpoint and storage products score ransomware-like behaviour and then quarantine.</w:t>
      </w:r>
    </w:p>
    <w:p>
      <w:pPr>
        <w:spacing w:before="0" w:after="120"/>
        <w:jc w:val="both"/>
      </w:pPr>
      <w:r>
        <w:rPr>
          <w:rFonts w:ascii="Calibri" w:hAnsi="Calibri" w:eastAsia="Calibri"/>
          <w:b w:val="0"/>
          <w:i w:val="0"/>
          <w:color w:val="000000"/>
          <w:sz w:val="22"/>
        </w:rPr>
        <w:t>No item in this list joins all five of the following on one endpoint, while signatures and threat intelligence remain separate inputs:</w:t>
      </w:r>
    </w:p>
    <w:p>
      <w:pPr>
        <w:spacing w:before="0" w:after="40"/>
        <w:jc w:val="both"/>
      </w:pPr>
      <w:r>
        <w:rPr>
          <w:rFonts w:ascii="Calibri" w:hAnsi="Calibri" w:eastAsia="Calibri"/>
          <w:b w:val="0"/>
          <w:i w:val="0"/>
          <w:color w:val="000000"/>
          <w:sz w:val="22"/>
        </w:rPr>
        <w:t>1. a learned reference measure of that endpoint's own activity;</w:t>
      </w:r>
    </w:p>
    <w:p>
      <w:pPr>
        <w:spacing w:before="0" w:after="40"/>
        <w:jc w:val="both"/>
      </w:pPr>
      <w:r>
        <w:rPr>
          <w:rFonts w:ascii="Calibri" w:hAnsi="Calibri" w:eastAsia="Calibri"/>
          <w:b w:val="0"/>
          <w:i w:val="0"/>
          <w:color w:val="000000"/>
          <w:sz w:val="22"/>
        </w:rPr>
        <w:t>2. a large-deviation rate for the current activity against that reference;</w:t>
      </w:r>
    </w:p>
    <w:p>
      <w:pPr>
        <w:spacing w:before="0" w:after="40"/>
        <w:jc w:val="both"/>
      </w:pPr>
      <w:r>
        <w:rPr>
          <w:rFonts w:ascii="Calibri" w:hAnsi="Calibri" w:eastAsia="Calibri"/>
          <w:b w:val="0"/>
          <w:i w:val="0"/>
          <w:color w:val="000000"/>
          <w:sz w:val="22"/>
        </w:rPr>
        <w:t>3. an estimated probability of exit from a defined safe condition into a defined compromised condition;</w:t>
      </w:r>
    </w:p>
    <w:p>
      <w:pPr>
        <w:spacing w:before="0" w:after="40"/>
        <w:jc w:val="both"/>
      </w:pPr>
      <w:r>
        <w:rPr>
          <w:rFonts w:ascii="Calibri" w:hAnsi="Calibri" w:eastAsia="Calibri"/>
          <w:b w:val="0"/>
          <w:i w:val="0"/>
          <w:color w:val="000000"/>
          <w:sz w:val="22"/>
        </w:rPr>
        <w:t>4. the most probable sequence of host events for that exit;</w:t>
      </w:r>
    </w:p>
    <w:p>
      <w:pPr>
        <w:spacing w:before="0" w:after="120"/>
        <w:jc w:val="both"/>
      </w:pPr>
      <w:r>
        <w:rPr>
          <w:rFonts w:ascii="Calibri" w:hAnsi="Calibri" w:eastAsia="Calibri"/>
          <w:b w:val="0"/>
          <w:i w:val="0"/>
          <w:color w:val="000000"/>
          <w:sz w:val="22"/>
        </w:rPr>
        <w:t>5. a protective response, chosen from monitor, restrict, quarantine, and isolate, that can change as the exit probability changes.</w:t>
      </w:r>
    </w:p>
    <w:p>
      <w:pPr>
        <w:spacing w:before="0" w:after="120"/>
        <w:jc w:val="both"/>
      </w:pPr>
      <w:r>
        <w:rPr>
          <w:rFonts w:ascii="Calibri" w:hAnsi="Calibri" w:eastAsia="Calibri"/>
          <w:b w:val="0"/>
          <w:i w:val="0"/>
          <w:color w:val="000000"/>
          <w:sz w:val="22"/>
        </w:rPr>
        <w:t>Two limits in the source note should be written into the background, because they are part of what makes the combination new rather than a restatement of anomaly detection. An unusual event is not by itself an attack: a backup, a software update, or a legitimate encryption tool can be statistically rare. A response driven only by unusualness will block ordinary work. The exit probability and the escape path are what would separate a rare but legitimate burst from a path that is moving toward the compromised condition. Also, activity that imitates normal behaviour can keep the large-deviation rate small, which is why the source note keeps signatures and threat intelligence in the system.</w:t>
      </w:r>
    </w:p>
    <w:p>
      <w:pPr>
        <w:spacing w:before="0" w:after="120"/>
        <w:jc w:val="both"/>
      </w:pPr>
      <w:r>
        <w:rPr>
          <w:rFonts w:ascii="Calibri" w:hAnsi="Calibri" w:eastAsia="Calibri"/>
          <w:b w:val="0"/>
          <w:i w:val="0"/>
          <w:color w:val="000000"/>
          <w:sz w:val="22"/>
        </w:rPr>
        <w:t>The gap is not 'antivirus using statistics'. That is already published and patented. The gap is the joint use of the exit probability and the most probable host sequence to choose the strength of the response.</w:t>
      </w:r>
    </w:p>
    <w:p>
      <w:pPr>
        <w:spacing w:before="200" w:after="80"/>
        <w:jc w:val="both"/>
      </w:pPr>
      <w:r>
        <w:rPr>
          <w:rFonts w:ascii="Calibri" w:hAnsi="Calibri" w:eastAsia="Calibri"/>
          <w:b/>
          <w:i w:val="0"/>
          <w:color w:val="000000"/>
          <w:sz w:val="26"/>
        </w:rPr>
        <w:t>7. What a later specification would have to show</w:t>
      </w:r>
    </w:p>
    <w:p>
      <w:pPr>
        <w:spacing w:before="0" w:after="120"/>
        <w:jc w:val="both"/>
      </w:pPr>
      <w:r>
        <w:rPr>
          <w:rFonts w:ascii="Calibri" w:hAnsi="Calibri" w:eastAsia="Calibri"/>
          <w:b w:val="0"/>
          <w:i w:val="0"/>
          <w:color w:val="000000"/>
          <w:sz w:val="22"/>
        </w:rPr>
        <w:t>This list does not draft claims. For a patent attorney, the points that follow from the source note, and that are not answered by the titles above, are these.</w:t>
      </w:r>
    </w:p>
    <w:p>
      <w:pPr>
        <w:spacing w:before="0" w:after="40"/>
        <w:jc w:val="both"/>
      </w:pPr>
      <w:r>
        <w:rPr>
          <w:rFonts w:ascii="Calibri" w:hAnsi="Calibri" w:eastAsia="Calibri"/>
          <w:b w:val="0"/>
          <w:i w:val="0"/>
          <w:color w:val="000000"/>
          <w:sz w:val="22"/>
        </w:rPr>
        <w:t>1. Define the safe condition and the compromised condition in observable host events, not only as a verbal label.</w:t>
      </w:r>
    </w:p>
    <w:p>
      <w:pPr>
        <w:spacing w:before="0" w:after="40"/>
        <w:jc w:val="both"/>
      </w:pPr>
      <w:r>
        <w:rPr>
          <w:rFonts w:ascii="Calibri" w:hAnsi="Calibri" w:eastAsia="Calibri"/>
          <w:b w:val="0"/>
          <w:i w:val="0"/>
          <w:color w:val="000000"/>
          <w:sz w:val="22"/>
        </w:rPr>
        <w:t>2. State how the normal reference is learned, and how a legitimate rare event remains inside the safe condition.</w:t>
      </w:r>
    </w:p>
    <w:p>
      <w:pPr>
        <w:spacing w:before="0" w:after="40"/>
        <w:jc w:val="both"/>
      </w:pPr>
      <w:r>
        <w:rPr>
          <w:rFonts w:ascii="Calibri" w:hAnsi="Calibri" w:eastAsia="Calibri"/>
          <w:b w:val="0"/>
          <w:i w:val="0"/>
          <w:color w:val="000000"/>
          <w:sz w:val="22"/>
        </w:rPr>
        <w:t>3. State how the exit probability is computed or approximated, including importance sampling if the event is too rare for ordinary counts. Do not reuse the illustrative 35 percent figure as a result.</w:t>
      </w:r>
    </w:p>
    <w:p>
      <w:pPr>
        <w:spacing w:before="0" w:after="40"/>
        <w:jc w:val="both"/>
      </w:pPr>
      <w:r>
        <w:rPr>
          <w:rFonts w:ascii="Calibri" w:hAnsi="Calibri" w:eastAsia="Calibri"/>
          <w:b w:val="0"/>
          <w:i w:val="0"/>
          <w:color w:val="000000"/>
          <w:sz w:val="22"/>
        </w:rPr>
        <w:t>4. State how the most probable sequence is obtained from the same model, and how it differs from a shortest path on a network attack graph.</w:t>
      </w:r>
    </w:p>
    <w:p>
      <w:pPr>
        <w:spacing w:before="0" w:after="40"/>
        <w:jc w:val="both"/>
      </w:pPr>
      <w:r>
        <w:rPr>
          <w:rFonts w:ascii="Calibri" w:hAnsi="Calibri" w:eastAsia="Calibri"/>
          <w:b w:val="0"/>
          <w:i w:val="0"/>
          <w:color w:val="000000"/>
          <w:sz w:val="22"/>
        </w:rPr>
        <w:t>5. State the rule that maps a rising exit probability to monitor, then restrict, then quarantine or isolate, and who or what may reverse that step.</w:t>
      </w:r>
    </w:p>
    <w:p>
      <w:pPr>
        <w:spacing w:before="0" w:after="120"/>
        <w:jc w:val="both"/>
      </w:pPr>
      <w:r>
        <w:rPr>
          <w:rFonts w:ascii="Calibri" w:hAnsi="Calibri" w:eastAsia="Calibri"/>
          <w:b w:val="0"/>
          <w:i w:val="0"/>
          <w:color w:val="000000"/>
          <w:sz w:val="22"/>
        </w:rPr>
        <w:t>6. Keep malware signatures and threat intelligence as a separate input, as the source note requires.</w:t>
      </w:r>
    </w:p>
    <w:p>
      <w:pPr>
        <w:spacing w:before="0" w:after="120"/>
        <w:jc w:val="both"/>
      </w:pPr>
      <w:r>
        <w:rPr>
          <w:rFonts w:ascii="Calibri" w:hAnsi="Calibri" w:eastAsia="Calibri"/>
          <w:b w:val="0"/>
          <w:i w:val="0"/>
          <w:color w:val="000000"/>
          <w:sz w:val="22"/>
        </w:rPr>
        <w:t>A complete Indian filing would still need Form 1, Form 2, Form 3, and Form 5 as applicable, and a search beyond this list, including the Indian Patent Office, USPTO, EPO, and WIPO. US8839435B1 should be cited because the PDF is already in this survey folder.</w:t>
      </w:r>
    </w:p>
    <w:sectPr w:rsidR="00FC693F" w:rsidRPr="0006063C" w:rsidSect="00034616">
      <w:footerReference w:type="default" r:id="rId9"/>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000000"/>
        <w:sz w:val="18"/>
      </w:rPr>
      <w:t xml:space="preserve">Literature list | 30 October 2026 | Page </w:t>
    </w:r>
    <w:r>
      <w:rPr>
        <w:rFonts w:ascii="Calibri" w:hAnsi="Calibri" w:eastAsia="Calibri"/>
        <w:b w:val="0"/>
        <w:i w:val="0"/>
        <w:color w:val="000000"/>
        <w:sz w:val="18"/>
      </w:rPr>
      <w:fldChar w:fldCharType="begin"/>
    </w:r>
    <w:r>
      <w:rPr>
        <w:rFonts w:ascii="Calibri" w:hAnsi="Calibri" w:eastAsia="Calibri"/>
        <w:b w:val="0"/>
        <w:i w:val="0"/>
        <w:color w:val="000000"/>
        <w:sz w:val="18"/>
      </w:rPr>
      <w:instrText xml:space="preserve"> PAGE </w:instrText>
    </w:r>
    <w:r>
      <w:rPr>
        <w:rFonts w:ascii="Calibri" w:hAnsi="Calibri" w:eastAsia="Calibri"/>
        <w:b w:val="0"/>
        <w:i w:val="0"/>
        <w:color w:val="000000"/>
        <w:sz w:val="18"/>
      </w:rPr>
      <w:fldChar w:fldCharType="separate"/>
    </w:r>
    <w:r>
      <w:rPr>
        <w:rFonts w:ascii="Calibri" w:hAnsi="Calibri" w:eastAsia="Calibri"/>
        <w:b w:val="0"/>
        <w:i w:val="0"/>
        <w:color w:val="000000"/>
        <w:sz w:val="18"/>
      </w:rPr>
      <w:t xml:space="preserve"> </w:t>
    </w:r>
    <w:r>
      <w:rPr>
        <w:rFonts w:ascii="Calibri" w:hAnsi="Calibri" w:eastAsia="Calibri"/>
        <w:b w:val="0"/>
        <w:i w:val="0"/>
        <w:color w:val="000000"/>
        <w:sz w:val="18"/>
      </w:rPr>
      <w:fldChar w:fldCharType="end"/>
    </w:r>
    <w:r>
      <w:rPr>
        <w:rFonts w:ascii="Calibri" w:hAnsi="Calibri" w:eastAsia="Calibri"/>
        <w:b w:val="0"/>
        <w:i w:val="0"/>
        <w:color w:val="000000"/>
        <w:sz w:val="18"/>
      </w:rPr>
      <w:t xml:space="preserve"> of </w:t>
    </w:r>
    <w:r>
      <w:rPr>
        <w:rFonts w:ascii="Calibri" w:hAnsi="Calibri" w:eastAsia="Calibri"/>
        <w:b w:val="0"/>
        <w:i w:val="0"/>
        <w:color w:val="000000"/>
        <w:sz w:val="18"/>
      </w:rPr>
      <w:fldChar w:fldCharType="begin"/>
    </w:r>
    <w:r>
      <w:rPr>
        <w:rFonts w:ascii="Calibri" w:hAnsi="Calibri" w:eastAsia="Calibri"/>
        <w:b w:val="0"/>
        <w:i w:val="0"/>
        <w:color w:val="000000"/>
        <w:sz w:val="18"/>
      </w:rPr>
      <w:instrText xml:space="preserve"> NUMPAGES </w:instrText>
    </w:r>
    <w:r>
      <w:rPr>
        <w:rFonts w:ascii="Calibri" w:hAnsi="Calibri" w:eastAsia="Calibri"/>
        <w:b w:val="0"/>
        <w:i w:val="0"/>
        <w:color w:val="000000"/>
        <w:sz w:val="18"/>
      </w:rPr>
      <w:fldChar w:fldCharType="separate"/>
    </w:r>
    <w:r>
      <w:rPr>
        <w:rFonts w:ascii="Calibri" w:hAnsi="Calibri" w:eastAsia="Calibri"/>
        <w:b w:val="0"/>
        <w:i w:val="0"/>
        <w:color w:val="000000"/>
        <w:sz w:val="18"/>
      </w:rPr>
      <w:t xml:space="preserve"> </w:t>
    </w:r>
    <w:r>
      <w:rPr>
        <w:rFonts w:ascii="Calibri" w:hAnsi="Calibri" w:eastAsia="Calibri"/>
        <w:b w:val="0"/>
        <w:i w:val="0"/>
        <w:color w:val="000000"/>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