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  <w:r>
        <w:rPr>
          <w:rFonts w:ascii="Calibri" w:hAnsi="Calibri" w:eastAsia="Calibri"/>
          <w:b/>
          <w:i w:val="0"/>
          <w:color w:val="000000"/>
          <w:sz w:val="36"/>
        </w:rPr>
        <w:t>PRISMA 2020 mapping review</w:t>
      </w:r>
    </w:p>
    <w:p>
      <w:pPr>
        <w:spacing w:before="0" w:after="12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Large deviation theory and rare-event analysis for an endpoint antivirus response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Date: 30 October 2026. One reviewer. Not registered. Not a meta-analysis. Not legal advice.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This report follows the shape of the PRISMA 2020 statement (Page and others, The PRISMA 2020 statement, BMJ 2021;372:n71). The public search pages did not return a trustworthy total of hits. The flow therefore counts only records captured into the screening log. It is not a count of every document in the Indian Patent Office, USPTO, EPO, or WIPO.</w:t>
      </w: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1. Objective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To map published articles and patent publications, captured on 30 October 2026, against five elements in the concept note: a large-deviation rate, a rare-event estimate, an exit probability from a defined safe condition, the most probable host sequence for that exit, and a graded response (monitor, restrict, quarantine, or isolate).</w:t>
      </w: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2. Eligibility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Include an English article, monograph, or patent publication if it concerns cyber anomaly detection, malware, ransomware, or intrusion response, or if it sets out large deviation theory, rare-event simulation, or a most probable escape path in a form that could be read onto that problem. A record had to have a stable title and, for a patent, a publication number.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Exclude a record if "large deviation" means a physical offset, if the theory is used only for bandwidth, queueing, games, economics, health, factories, or circuit yield, if it is a copyright diary entry, or if it is the same patent family as a record already kept.</w:t>
      </w: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3. Sources and search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Sources on 30 October 2026: Google Patents, which indexes USPTO, EPO, WIPO PCT, and published Indian patent documents; WIPO PatentScope; journal pages reached by web search (IEEE, ACM, Sage, arXiv). One record was already in the project folder: US8839435.pdf. The exact phrase "large deviation theory" in the Indian collection returned 0 records. The Indian Patent Office form itself was not queried as a logged session.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Words used: "large deviation theory"; "large deviation" or "large deviations" with malware, ransomware, antivirus, intrusion detection, or endpoint; "importance sampling" with malware, ransomware, antivirus, or intrusion detection; titles containing "large deviation" or "large deviations". Country filters: India, EP, and WO.</w:t>
      </w: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4. Selection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One reviewer screened titles and abstracts, then the claims or the abstract of records that remained. Two reviewers were not used. No automation ranked the records. Meta-analysis was not done: the records do not share one numerical outcome.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48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02026_PRISM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4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Figure 1. PRISMA 2020 flow for records captured on 30 October 2026.</w:t>
      </w: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5. Flow numbers</w:t>
      </w:r>
    </w:p>
    <w:tbl>
      <w:tblPr>
        <w:tblW w:type="dxa" w:w="1040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Stage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What the number is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Identified from databases and registers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Records written into the log from the searches. Not a hidden hit total.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Identified from the project folder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US8839435.pdf.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Duplicates removed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Same family or the same patent filed in a second office.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Screened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72 minus 8.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Excluded on title or abstract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Wrong subject, listed in section 8.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Reports sought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64 minus 34.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Reports not retrieved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 Brown University PCT on rare-event sampling whose publication number was not captured, and a third-party ransomware page whose office number was not confirmed.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Assessed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30 minus 2.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Excluded after full check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Each of the 28 met the eligibility rule.</w:t>
            </w:r>
          </w:p>
        </w:tc>
      </w:tr>
      <w:tr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Included in the mapping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3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Section 6. None has all five elements.</w:t>
            </w:r>
          </w:p>
        </w:tc>
      </w:tr>
    </w:tbl>
    <w:p>
      <w:pPr>
        <w:spacing w:after="40"/>
      </w:pP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6. Included records, mapped to the five elements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Y means the record contains that element. N means it does not. A quarantine by itself is N in the last column, because the concept note requires the response to follow the exit probability.</w:t>
      </w:r>
    </w:p>
    <w:tbl>
      <w:tblPr>
        <w:tblW w:type="dxa" w:w="1040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Record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Rate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Rare event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Exit probability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Most probable path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Graded response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Paschalidis and Smaragdakis, CDC 2006. DOI 10.1109/CDC.2006.377716.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Paschalidis and Smaragdakis, IEEE/ACM Trans. Networking 2009. DOI 10.1109/TNET.2008.2001468.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Paschalidis and Chen, CDC 2008. DOI 10.1109/CDC.2008.4738773.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Siffer, Fouque, Termier, and Largouet, KDD 2017, pp. 1067-1075.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Siffer, Termier, Fouque, and Largouet, NetSpot, TrustCom 2020.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Kandanaarachchi and others, arXiv:2304.13941.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Krall, Kuhl, Moskal, and Yang, IEEE SSCI 2016. DOI 10.1109/SSCI.2016.7849913.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Krall, Kuhl, and Yang, JDMS 2020. DOI 10.1177/1548512920934551.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Lin and others, MILCOM 2024. DOI 10.1109/MILCOM61039.2024.10773995.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Zhou, Chen, Mei, Adam, Aggarwal, Bastian, and Lan, IEEE MASS 2024. DOI 10.1109/MASS62177.2024.00022.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Freidlin and Wentzell, Random Perturbations of Dynamical Systems, Springer.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Dembo and Zeitouni, Large Deviations Techniques and Applications, Springer.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US8839435B1. Cisco.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US9734337B1. Malwarebytes.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US9961091B2. Symantec. Ordinary deviation, not the theory.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US10599998B2. Yahoo Japan. Large deviation principle for a feature, not for a host.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US11171985. Airgap Networks.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US11361077B2.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US11201885B2.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US11949710. Dell.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US12074906.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US12513177B2. DBAPPSecurity.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US9807115B2.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AU2020315905A1. Cyber Crucible.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WO2006/067770. Corvil.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WO2014152469A1.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WO2019133316A1.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  <w:tr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US20200057854A1.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6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FFFFF"/>
          </w:tcPr>
          <w:p>
            <w:pPr>
              <w:spacing w:before="20" w:after="2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</w:t>
            </w:r>
          </w:p>
        </w:tc>
      </w:tr>
    </w:tbl>
    <w:p>
      <w:pPr>
        <w:spacing w:after="40"/>
      </w:pP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7. Synthesis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No included record is Y in all five columns. Large-deviation rates appear for network traffic (Paschalidis; Corvil WO2006/067770), for sensor Markov models (Paschalidis and Chen), for a classifier feature (US10599998B2), and as mathematics (Dembo and Zeitouni; Freidlin and Wentzell). Rare-event simulation of a network compromise appears in Krall and co-authors, offline. Importance sampling in Zhou and co-authors reduces bias in a packet detector. It is not an endpoint exit probability. The most probable path appears as mathematics in Freidlin and Wentzell, as a network attack trace in Lin and co-authors, and as a traffic attack path in US12513177B2. Quarantine and blocking appear in several patents, but not as a step that follows an exit probability.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Indian collection added no record for the exact phrase "large deviation theory". The gap stated in the literature list stands: the joint endpoint use of the rate, the exit probability, the most probable host sequence, and the graded response was not among the 28 included records.</w:t>
      </w: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8. Records excluded on title or abstract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Thirty-four records were excluded before full assessment. Eight use "large-deviation" for an optical or civil offset (aspheric polishing, jacking, a flap). The other twenty-six are outside the eligibility subject: nine telecommunications or wireless records (Lau; Ohio State; Davies; CSIRO; Botvich; Nokia; Alcatel-Lucent; Telecom Italia; LG), a game server (Ericsson), an economic model (Kauffman), an earthquake model, a sewage model, a ship model, two virus-risk models, a particle sensor, an LTE scheduler, a blockchain sampler, a software-fault counter, a deep-learning setting, a plant rare-event model (WO2018/009643), a patient rare-event model (WO/2026/185471), a general network-threat application (US20170063905), and two circuit-yield importance-sampling patents (US10627446B2 and US11768986).</w:t>
      </w:r>
    </w:p>
    <w:p>
      <w:pPr>
        <w:spacing w:before="160" w:after="80"/>
        <w:jc w:val="both"/>
      </w:pPr>
      <w:r>
        <w:rPr>
          <w:rFonts w:ascii="Calibri" w:hAnsi="Calibri" w:eastAsia="Calibri"/>
          <w:b/>
          <w:i w:val="0"/>
          <w:color w:val="000000"/>
          <w:sz w:val="26"/>
        </w:rPr>
        <w:t>9. Limits, in PRISMA terms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The review was not registered. One person selected the records, so a second reviewer did not check the screening. Databases did not supply a total hit count, so a missed record is possible. Unpublished applications are absent. Non-English records were not included. Patent families were not opened one member at a time beyond the eight duplicates removed. Risk-of-bias scores were not used: for this mapping, a patent is relevant whether or not its experiment is strong. Certainty of evidence was not graded, because there is no pooled effect. Support: none. Competing interests: none.</w:t>
      </w:r>
    </w:p>
    <w:sectPr w:rsidR="00FC693F" w:rsidRPr="0006063C" w:rsidSect="00034616"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000000"/>
        <w:sz w:val="18"/>
      </w:rPr>
      <w:t xml:space="preserve">PRISMA mapping | 30 October 2026 | Page </w:t>
    </w:r>
    <w:r>
      <w:rPr>
        <w:rFonts w:ascii="Calibri" w:hAnsi="Calibri" w:eastAsia="Calibri"/>
        <w:b w:val="0"/>
        <w:i w:val="0"/>
        <w:color w:val="000000"/>
        <w:sz w:val="18"/>
      </w:rPr>
      <w:fldChar w:fldCharType="begin"/>
    </w:r>
    <w:r>
      <w:rPr>
        <w:rFonts w:ascii="Calibri" w:hAnsi="Calibri" w:eastAsia="Calibri"/>
        <w:b w:val="0"/>
        <w:i w:val="0"/>
        <w:color w:val="000000"/>
        <w:sz w:val="18"/>
      </w:rPr>
      <w:instrText xml:space="preserve"> PAGE </w:instrText>
    </w:r>
    <w:r>
      <w:rPr>
        <w:rFonts w:ascii="Calibri" w:hAnsi="Calibri" w:eastAsia="Calibri"/>
        <w:b w:val="0"/>
        <w:i w:val="0"/>
        <w:color w:val="000000"/>
        <w:sz w:val="18"/>
      </w:rPr>
      <w:fldChar w:fldCharType="separate"/>
    </w:r>
    <w:r>
      <w:rPr>
        <w:rFonts w:ascii="Calibri" w:hAnsi="Calibri" w:eastAsia="Calibri"/>
        <w:b w:val="0"/>
        <w:i w:val="0"/>
        <w:color w:val="000000"/>
        <w:sz w:val="18"/>
      </w:rPr>
      <w:t xml:space="preserve"> </w:t>
    </w:r>
    <w:r>
      <w:rPr>
        <w:rFonts w:ascii="Calibri" w:hAnsi="Calibri" w:eastAsia="Calibri"/>
        <w:b w:val="0"/>
        <w:i w:val="0"/>
        <w:color w:val="000000"/>
        <w:sz w:val="18"/>
      </w:rPr>
      <w:fldChar w:fldCharType="end"/>
    </w:r>
    <w:r>
      <w:rPr>
        <w:rFonts w:ascii="Calibri" w:hAnsi="Calibri" w:eastAsia="Calibri"/>
        <w:b w:val="0"/>
        <w:i w:val="0"/>
        <w:color w:val="000000"/>
        <w:sz w:val="18"/>
      </w:rPr>
      <w:t xml:space="preserve"> of </w:t>
    </w:r>
    <w:r>
      <w:rPr>
        <w:rFonts w:ascii="Calibri" w:hAnsi="Calibri" w:eastAsia="Calibri"/>
        <w:b w:val="0"/>
        <w:i w:val="0"/>
        <w:color w:val="000000"/>
        <w:sz w:val="18"/>
      </w:rPr>
      <w:fldChar w:fldCharType="begin"/>
    </w:r>
    <w:r>
      <w:rPr>
        <w:rFonts w:ascii="Calibri" w:hAnsi="Calibri" w:eastAsia="Calibri"/>
        <w:b w:val="0"/>
        <w:i w:val="0"/>
        <w:color w:val="000000"/>
        <w:sz w:val="18"/>
      </w:rPr>
      <w:instrText xml:space="preserve"> NUMPAGES </w:instrText>
    </w:r>
    <w:r>
      <w:rPr>
        <w:rFonts w:ascii="Calibri" w:hAnsi="Calibri" w:eastAsia="Calibri"/>
        <w:b w:val="0"/>
        <w:i w:val="0"/>
        <w:color w:val="000000"/>
        <w:sz w:val="18"/>
      </w:rPr>
      <w:fldChar w:fldCharType="separate"/>
    </w:r>
    <w:r>
      <w:rPr>
        <w:rFonts w:ascii="Calibri" w:hAnsi="Calibri" w:eastAsia="Calibri"/>
        <w:b w:val="0"/>
        <w:i w:val="0"/>
        <w:color w:val="000000"/>
        <w:sz w:val="18"/>
      </w:rPr>
      <w:t xml:space="preserve"> </w:t>
    </w:r>
    <w:r>
      <w:rPr>
        <w:rFonts w:ascii="Calibri" w:hAnsi="Calibri" w:eastAsia="Calibri"/>
        <w:b w:val="0"/>
        <w:i w:val="0"/>
        <w:color w:val="00000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