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both"/>
      </w:pPr>
      <w:r>
        <w:rPr>
          <w:rFonts w:ascii="Calibri" w:hAnsi="Calibri" w:eastAsia="Calibri"/>
          <w:b/>
          <w:i w:val="0"/>
          <w:color w:val="000000"/>
          <w:sz w:val="32"/>
        </w:rPr>
        <w:t>Patent office search: Indian Patent Office, USPTO, EPO, and WIPO</w:t>
      </w:r>
    </w:p>
    <w:p>
      <w:pPr>
        <w:spacing w:before="0" w:after="120"/>
        <w:jc w:val="both"/>
      </w:pPr>
      <w:r>
        <w:rPr>
          <w:rFonts w:ascii="Calibri" w:hAnsi="Calibri" w:eastAsia="Calibri"/>
          <w:b w:val="0"/>
          <w:i w:val="0"/>
          <w:color w:val="000000"/>
          <w:sz w:val="22"/>
        </w:rPr>
        <w:t>Subject: rare-event-aware endpoint detection and a protective response using large deviation theory.</w:t>
      </w:r>
    </w:p>
    <w:p>
      <w:pPr>
        <w:spacing w:before="0" w:after="40"/>
        <w:jc w:val="both"/>
      </w:pPr>
      <w:r>
        <w:rPr>
          <w:rFonts w:ascii="Calibri" w:hAnsi="Calibri" w:eastAsia="Calibri"/>
          <w:b w:val="0"/>
          <w:i w:val="0"/>
          <w:color w:val="000000"/>
          <w:sz w:val="22"/>
        </w:rPr>
        <w:t>Date of search: 30 October 2026.</w:t>
      </w:r>
    </w:p>
    <w:p>
      <w:pPr>
        <w:spacing w:before="0" w:after="120"/>
        <w:jc w:val="both"/>
      </w:pPr>
      <w:r>
        <w:rPr>
          <w:rFonts w:ascii="Calibri" w:hAnsi="Calibri" w:eastAsia="Calibri"/>
          <w:b w:val="0"/>
          <w:i w:val="0"/>
          <w:color w:val="000000"/>
          <w:sz w:val="22"/>
        </w:rPr>
        <w:t>Related list: 30102026_Literature_Survey_and_Gap.docx.</w:t>
      </w:r>
    </w:p>
    <w:p>
      <w:pPr>
        <w:spacing w:before="0" w:after="120"/>
        <w:jc w:val="both"/>
      </w:pPr>
      <w:r>
        <w:rPr>
          <w:rFonts w:ascii="Calibri" w:hAnsi="Calibri" w:eastAsia="Calibri"/>
          <w:b w:val="0"/>
          <w:i w:val="0"/>
          <w:color w:val="000000"/>
          <w:sz w:val="22"/>
        </w:rPr>
        <w:t>This is a search of public patent indexes. It is not an official search report, not a clearance to file, and not legal advice. Unpublished applications are not in these indexes. The Indian Patent Office public search form did not return a keyword result set through the web; the Indian result below is from the Indian documents indexed in Google Patents, which draws on published Indian patent data. A patent attorney should repeat the same words inside iprsearch.ipindia.gov.in before filing.</w:t>
      </w:r>
    </w:p>
    <w:p>
      <w:pPr>
        <w:spacing w:before="200" w:after="80"/>
        <w:jc w:val="both"/>
      </w:pPr>
      <w:r>
        <w:rPr>
          <w:rFonts w:ascii="Calibri" w:hAnsi="Calibri" w:eastAsia="Calibri"/>
          <w:b/>
          <w:i w:val="0"/>
          <w:color w:val="000000"/>
          <w:sz w:val="26"/>
        </w:rPr>
        <w:t>1. Words searched</w:t>
      </w:r>
    </w:p>
    <w:p>
      <w:pPr>
        <w:spacing w:before="0" w:after="120"/>
        <w:jc w:val="both"/>
      </w:pPr>
      <w:r>
        <w:rPr>
          <w:rFonts w:ascii="Calibri" w:hAnsi="Calibri" w:eastAsia="Calibri"/>
          <w:b w:val="0"/>
          <w:i w:val="0"/>
          <w:color w:val="000000"/>
          <w:sz w:val="22"/>
        </w:rPr>
        <w:t>The same idea was searched in four ways: the exact phrase "large deviation theory"; "large deviation" or "large deviations" together with malware, ransomware, antivirus, intrusion detection, or endpoint; "importance sampling" together with malware, ransomware, antivirus, or intrusion detection; and titles containing "large deviation" or "large deviations". Country filters were India, the European Patent Office collection, and WIPO PCT publications. USPTO documents were taken from the same public index and from the patent pages opened during the search.</w:t>
      </w:r>
    </w:p>
    <w:p>
      <w:pPr>
        <w:spacing w:before="200" w:after="80"/>
        <w:jc w:val="both"/>
      </w:pPr>
      <w:r>
        <w:rPr>
          <w:rFonts w:ascii="Calibri" w:hAnsi="Calibri" w:eastAsia="Calibri"/>
          <w:b/>
          <w:i w:val="0"/>
          <w:color w:val="000000"/>
          <w:sz w:val="26"/>
        </w:rPr>
        <w:t>2. Indian Patent Office collection</w:t>
      </w:r>
    </w:p>
    <w:p>
      <w:pPr>
        <w:spacing w:before="0" w:after="120"/>
        <w:jc w:val="both"/>
      </w:pPr>
      <w:r>
        <w:rPr>
          <w:rFonts w:ascii="Calibri" w:hAnsi="Calibri" w:eastAsia="Calibri"/>
          <w:b w:val="0"/>
          <w:i w:val="0"/>
          <w:color w:val="000000"/>
          <w:sz w:val="22"/>
        </w:rPr>
        <w:t>The exact phrase "large deviation theory", limited to Indian documents in the public patent index, returned no document. No Indian publication was found that claims large deviation theory for antivirus, ransomware, an endpoint exit probability, or a most probable host escape path.</w:t>
      </w:r>
    </w:p>
    <w:p>
      <w:pPr>
        <w:spacing w:before="0" w:after="120"/>
        <w:jc w:val="both"/>
      </w:pPr>
      <w:r>
        <w:rPr>
          <w:rFonts w:ascii="Calibri" w:hAnsi="Calibri" w:eastAsia="Calibri"/>
          <w:b w:val="0"/>
          <w:i w:val="0"/>
          <w:color w:val="000000"/>
          <w:sz w:val="22"/>
        </w:rPr>
        <w:t>This does not prove that no Indian application exists. An application that is not yet published, or that uses different words, would not appear. Copyright diary entries for intrusion-detection writings are not patents and were not treated as prior art.</w:t>
      </w:r>
    </w:p>
    <w:p>
      <w:pPr>
        <w:spacing w:before="200" w:after="80"/>
        <w:jc w:val="both"/>
      </w:pPr>
      <w:r>
        <w:rPr>
          <w:rFonts w:ascii="Calibri" w:hAnsi="Calibri" w:eastAsia="Calibri"/>
          <w:b/>
          <w:i w:val="0"/>
          <w:color w:val="000000"/>
          <w:sz w:val="26"/>
        </w:rPr>
        <w:t>3. USPTO</w:t>
      </w:r>
    </w:p>
    <w:p>
      <w:pPr>
        <w:spacing w:before="0" w:after="120"/>
        <w:jc w:val="both"/>
      </w:pPr>
      <w:r>
        <w:rPr>
          <w:rFonts w:ascii="Calibri" w:hAnsi="Calibri" w:eastAsia="Calibri"/>
          <w:b w:val="0"/>
          <w:i w:val="0"/>
          <w:color w:val="000000"/>
          <w:sz w:val="22"/>
        </w:rPr>
        <w:t>No USPTO patent was found whose claims use large deviation theory, or a large-deviation rate function, to estimate an endpoint's probability of leaving a defined safe condition and then to choose monitor, restrict, quarantine, or isolate.</w:t>
      </w:r>
    </w:p>
    <w:p>
      <w:pPr>
        <w:spacing w:before="0" w:after="120"/>
        <w:jc w:val="both"/>
      </w:pPr>
      <w:r>
        <w:rPr>
          <w:rFonts w:ascii="Calibri" w:hAnsi="Calibri" w:eastAsia="Calibri"/>
          <w:b w:val="0"/>
          <w:i w:val="0"/>
          <w:color w:val="000000"/>
          <w:sz w:val="22"/>
        </w:rPr>
        <w:t>The closest USPTO documents are below. "Large deviations" in the Symantec patents means a count far from an average. That is ordinary statistics, not large deviation theory.</w:t>
      </w:r>
    </w:p>
    <w:tbl>
      <w:tblPr>
        <w:tblW w:type="dxa" w:w="9900"/>
        <w:tblLayout w:type="autofit"/>
        <w:tblLook w:firstColumn="1" w:firstRow="1" w:lastColumn="0" w:lastRow="0" w:noHBand="0" w:noVBand="1" w:val="04A0"/>
      </w:tblPr>
      <w:tblGrid>
        <w:gridCol w:w="3289"/>
        <w:gridCol w:w="3289"/>
        <w:gridCol w:w="3289"/>
      </w:tblGrid>
      <w:tr>
        <w:tc>
          <w:tcPr>
            <w:tcW w:type="dxa" w:w="3289"/>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i w:val="0"/>
                <w:color w:val="000000"/>
                <w:sz w:val="18"/>
              </w:rPr>
              <w:t>Document</w:t>
            </w:r>
          </w:p>
        </w:tc>
        <w:tc>
          <w:tcPr>
            <w:tcW w:type="dxa" w:w="3289"/>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i w:val="0"/>
                <w:color w:val="000000"/>
                <w:sz w:val="18"/>
              </w:rPr>
              <w:t>What it actually covers</w:t>
            </w:r>
          </w:p>
        </w:tc>
        <w:tc>
          <w:tcPr>
            <w:tcW w:type="dxa" w:w="3289"/>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i w:val="0"/>
                <w:color w:val="000000"/>
                <w:sz w:val="18"/>
              </w:rPr>
              <w:t>Office</w:t>
            </w:r>
          </w:p>
        </w:tc>
      </w:tr>
      <w:tr>
        <w:tc>
          <w:tcPr>
            <w:tcW w:type="dxa" w:w="3289"/>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i w:val="0"/>
                <w:color w:val="000000"/>
                <w:sz w:val="18"/>
              </w:rPr>
              <w:t>US8839435B1, Event-based attack detection. Paul King. Cisco. Granted 16 September 2014. Already in this folder.</w:t>
            </w:r>
          </w:p>
        </w:tc>
        <w:tc>
          <w:tcPr>
            <w:tcW w:type="dxa" w:w="3289"/>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val="0"/>
                <w:i w:val="0"/>
                <w:color w:val="000000"/>
                <w:sz w:val="18"/>
              </w:rPr>
              <w:t>Unusual event or event sequence by comparing logs, then a risk-factor threshold.</w:t>
            </w:r>
          </w:p>
        </w:tc>
        <w:tc>
          <w:tcPr>
            <w:tcW w:type="dxa" w:w="3289"/>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val="0"/>
                <w:i w:val="0"/>
                <w:color w:val="000000"/>
                <w:sz w:val="18"/>
              </w:rPr>
              <w:t>USPTO</w:t>
            </w:r>
          </w:p>
        </w:tc>
      </w:tr>
      <w:tr>
        <w:tc>
          <w:tcPr>
            <w:tcW w:type="dxa" w:w="3289"/>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i w:val="0"/>
                <w:color w:val="000000"/>
                <w:sz w:val="18"/>
              </w:rPr>
              <w:t>US9734337B1, Behavior-based ransomware detection. Patton and Ituiño. Malwarebytes. Granted 15 August 2017.</w:t>
            </w:r>
          </w:p>
        </w:tc>
        <w:tc>
          <w:tcPr>
            <w:tcW w:type="dxa" w:w="3289"/>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val="0"/>
                <w:i w:val="0"/>
                <w:color w:val="000000"/>
                <w:sz w:val="18"/>
              </w:rPr>
              <w:t>Behaviour score, then stop and quarantine. No exit probability.</w:t>
            </w:r>
          </w:p>
        </w:tc>
        <w:tc>
          <w:tcPr>
            <w:tcW w:type="dxa" w:w="3289"/>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val="0"/>
                <w:i w:val="0"/>
                <w:color w:val="000000"/>
                <w:sz w:val="18"/>
              </w:rPr>
              <w:t>USPTO</w:t>
            </w:r>
          </w:p>
        </w:tc>
      </w:tr>
      <w:tr>
        <w:tc>
          <w:tcPr>
            <w:tcW w:type="dxa" w:w="3289"/>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i w:val="0"/>
                <w:color w:val="000000"/>
                <w:sz w:val="18"/>
              </w:rPr>
              <w:t>US9961091B2, Apparatus and method for characterizing the risk of a user contracting malicious software. Levy and Wood. Symantec. Granted 1 May 2018. Earlier related grant US9419990.</w:t>
            </w:r>
          </w:p>
        </w:tc>
        <w:tc>
          <w:tcPr>
            <w:tcW w:type="dxa" w:w="3289"/>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val="0"/>
                <w:i w:val="0"/>
                <w:color w:val="000000"/>
                <w:sz w:val="18"/>
              </w:rPr>
              <w:t>A promiscuity score from network interactions, then an optional isolating action. The words "large deviations" mean far from a mean count.</w:t>
            </w:r>
          </w:p>
        </w:tc>
        <w:tc>
          <w:tcPr>
            <w:tcW w:type="dxa" w:w="3289"/>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val="0"/>
                <w:i w:val="0"/>
                <w:color w:val="000000"/>
                <w:sz w:val="18"/>
              </w:rPr>
              <w:t>USPTO</w:t>
            </w:r>
          </w:p>
        </w:tc>
      </w:tr>
      <w:tr>
        <w:tc>
          <w:tcPr>
            <w:tcW w:type="dxa" w:w="3289"/>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i w:val="0"/>
                <w:color w:val="000000"/>
                <w:sz w:val="18"/>
              </w:rPr>
              <w:t>US10599998B2, Feature selection using a large deviation principle. Shinkichi Horie. Yahoo Japan. Granted 24 March 2020.</w:t>
            </w:r>
          </w:p>
        </w:tc>
        <w:tc>
          <w:tcPr>
            <w:tcW w:type="dxa" w:w="3289"/>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val="0"/>
                <w:i w:val="0"/>
                <w:color w:val="000000"/>
                <w:sz w:val="18"/>
              </w:rPr>
              <w:t>Uses a large deviation principle to decide whether a classifier needs another feature. Not malware detection and not a protective response.</w:t>
            </w:r>
          </w:p>
        </w:tc>
        <w:tc>
          <w:tcPr>
            <w:tcW w:type="dxa" w:w="3289"/>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val="0"/>
                <w:i w:val="0"/>
                <w:color w:val="000000"/>
                <w:sz w:val="18"/>
              </w:rPr>
              <w:t>USPTO</w:t>
            </w:r>
          </w:p>
        </w:tc>
      </w:tr>
      <w:tr>
        <w:tc>
          <w:tcPr>
            <w:tcW w:type="dxa" w:w="3289"/>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i w:val="0"/>
                <w:color w:val="000000"/>
                <w:sz w:val="18"/>
              </w:rPr>
              <w:t>US20240314155A1, now US12513177B2, Method and apparatus for detecting traffic anomaly. Hao, Liu, Wang, and Ye. DBAPPSecurity. Priority 16 March 2023. Grant recorded 30 December 2025.</w:t>
            </w:r>
          </w:p>
        </w:tc>
        <w:tc>
          <w:tcPr>
            <w:tcW w:type="dxa" w:w="3289"/>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val="0"/>
                <w:i w:val="0"/>
                <w:color w:val="000000"/>
                <w:sz w:val="18"/>
              </w:rPr>
              <w:t>Traffic-anomaly detection across security domains and a dynamic attack path. The path is built from deviation of traffic, not from a large-deviation rate on one endpoint.</w:t>
            </w:r>
          </w:p>
        </w:tc>
        <w:tc>
          <w:tcPr>
            <w:tcW w:type="dxa" w:w="3289"/>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val="0"/>
                <w:i w:val="0"/>
                <w:color w:val="000000"/>
                <w:sz w:val="18"/>
              </w:rPr>
              <w:t>USPTO</w:t>
            </w:r>
          </w:p>
        </w:tc>
      </w:tr>
      <w:tr>
        <w:tc>
          <w:tcPr>
            <w:tcW w:type="dxa" w:w="3289"/>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i w:val="0"/>
                <w:color w:val="000000"/>
                <w:sz w:val="18"/>
              </w:rPr>
              <w:t>US12074906, ransomware early detection at a security appliance. Mohan, Adavi, and Agrawal. Granted 27 August 2024.</w:t>
            </w:r>
          </w:p>
        </w:tc>
        <w:tc>
          <w:tcPr>
            <w:tcW w:type="dxa" w:w="3289"/>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val="0"/>
                <w:i w:val="0"/>
                <w:color w:val="000000"/>
                <w:sz w:val="18"/>
              </w:rPr>
              <w:t>Statistical and behavioural anomaly detection on gateway traffic, with quarantine.</w:t>
            </w:r>
          </w:p>
        </w:tc>
        <w:tc>
          <w:tcPr>
            <w:tcW w:type="dxa" w:w="3289"/>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val="0"/>
                <w:i w:val="0"/>
                <w:color w:val="000000"/>
                <w:sz w:val="18"/>
              </w:rPr>
              <w:t>USPTO</w:t>
            </w:r>
          </w:p>
        </w:tc>
      </w:tr>
      <w:tr>
        <w:tc>
          <w:tcPr>
            <w:tcW w:type="dxa" w:w="3289"/>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i w:val="0"/>
                <w:color w:val="000000"/>
                <w:sz w:val="18"/>
              </w:rPr>
              <w:t>US11949710, early indication of ransomware from changed blocks. Dell Products L.P.</w:t>
            </w:r>
          </w:p>
        </w:tc>
        <w:tc>
          <w:tcPr>
            <w:tcW w:type="dxa" w:w="3289"/>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val="0"/>
                <w:i w:val="0"/>
                <w:color w:val="000000"/>
                <w:sz w:val="18"/>
              </w:rPr>
              <w:t>Change rate and change pattern between storage snapshots.</w:t>
            </w:r>
          </w:p>
        </w:tc>
        <w:tc>
          <w:tcPr>
            <w:tcW w:type="dxa" w:w="3289"/>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val="0"/>
                <w:i w:val="0"/>
                <w:color w:val="000000"/>
                <w:sz w:val="18"/>
              </w:rPr>
              <w:t>USPTO</w:t>
            </w:r>
          </w:p>
        </w:tc>
      </w:tr>
      <w:tr>
        <w:tc>
          <w:tcPr>
            <w:tcW w:type="dxa" w:w="3289"/>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i w:val="0"/>
                <w:color w:val="000000"/>
                <w:sz w:val="18"/>
              </w:rPr>
              <w:t>US10627446B2, Importance sampling method for multiple failure regions.</w:t>
            </w:r>
          </w:p>
        </w:tc>
        <w:tc>
          <w:tcPr>
            <w:tcW w:type="dxa" w:w="3289"/>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val="0"/>
                <w:i w:val="0"/>
                <w:color w:val="000000"/>
                <w:sz w:val="18"/>
              </w:rPr>
              <w:t>Importance sampling for circuit yield. Not cybersecurity.</w:t>
            </w:r>
          </w:p>
        </w:tc>
        <w:tc>
          <w:tcPr>
            <w:tcW w:type="dxa" w:w="3289"/>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val="0"/>
                <w:i w:val="0"/>
                <w:color w:val="000000"/>
                <w:sz w:val="18"/>
              </w:rPr>
              <w:t>USPTO</w:t>
            </w:r>
          </w:p>
        </w:tc>
      </w:tr>
    </w:tbl>
    <w:p>
      <w:pPr>
        <w:spacing w:after="40"/>
      </w:pPr>
    </w:p>
    <w:p>
      <w:pPr>
        <w:spacing w:before="200" w:after="80"/>
        <w:jc w:val="both"/>
      </w:pPr>
      <w:r>
        <w:rPr>
          <w:rFonts w:ascii="Calibri" w:hAnsi="Calibri" w:eastAsia="Calibri"/>
          <w:b/>
          <w:i w:val="0"/>
          <w:color w:val="000000"/>
          <w:sz w:val="26"/>
        </w:rPr>
        <w:t>4. European Patent Office collection</w:t>
      </w:r>
    </w:p>
    <w:p>
      <w:pPr>
        <w:spacing w:before="0" w:after="120"/>
        <w:jc w:val="both"/>
      </w:pPr>
      <w:r>
        <w:rPr>
          <w:rFonts w:ascii="Calibri" w:hAnsi="Calibri" w:eastAsia="Calibri"/>
          <w:b w:val="0"/>
          <w:i w:val="0"/>
          <w:color w:val="000000"/>
          <w:sz w:val="22"/>
        </w:rPr>
        <w:t>The exact phrase "large deviation theory" in European documents returns telecommunications work: effective bandwidth, connection admission, packet shaping, and queueing. Assignees in the first result page include Nokia, CSIRO, Measure Technology Ireland, Telecom Italia, and Alcatel-Lucent. Those documents estimate loss or bandwidth. They do not detect malware on an endpoint and they do not choose a quarantine.</w:t>
      </w:r>
    </w:p>
    <w:p>
      <w:pPr>
        <w:spacing w:before="0" w:after="120"/>
        <w:jc w:val="both"/>
      </w:pPr>
      <w:r>
        <w:rPr>
          <w:rFonts w:ascii="Calibri" w:hAnsi="Calibri" w:eastAsia="Calibri"/>
          <w:b w:val="0"/>
          <w:i w:val="0"/>
          <w:color w:val="000000"/>
          <w:sz w:val="22"/>
        </w:rPr>
        <w:t>No European document in that result set claims the five-part endpoint combination in the concept note. A separate European family search for each USPTO number above was not opened document by document. Where a US document is the one that matters, it is listed in section 3.</w:t>
      </w:r>
    </w:p>
    <w:p>
      <w:pPr>
        <w:spacing w:before="200" w:after="80"/>
        <w:jc w:val="both"/>
      </w:pPr>
      <w:r>
        <w:rPr>
          <w:rFonts w:ascii="Calibri" w:hAnsi="Calibri" w:eastAsia="Calibri"/>
          <w:b/>
          <w:i w:val="0"/>
          <w:color w:val="000000"/>
          <w:sz w:val="26"/>
        </w:rPr>
        <w:t>5. WIPO PCT collection</w:t>
      </w:r>
    </w:p>
    <w:p>
      <w:pPr>
        <w:spacing w:before="0" w:after="120"/>
        <w:jc w:val="both"/>
      </w:pPr>
      <w:r>
        <w:rPr>
          <w:rFonts w:ascii="Calibri" w:hAnsi="Calibri" w:eastAsia="Calibri"/>
          <w:b w:val="0"/>
          <w:i w:val="0"/>
          <w:color w:val="000000"/>
          <w:sz w:val="22"/>
        </w:rPr>
        <w:t>PatentScope and the WIPO collection in the public index were searched for the same phrases. The rare-event PCT documents that appeared are industrial-plant events and patient-risk events, not antivirus. The large-deviation-theory PCT documents that appeared are network quality and general Monte Carlo sampling.</w:t>
      </w:r>
    </w:p>
    <w:tbl>
      <w:tblPr>
        <w:tblW w:type="dxa" w:w="9900"/>
        <w:tblLayout w:type="autofit"/>
        <w:tblLook w:firstColumn="1" w:firstRow="1" w:lastColumn="0" w:lastRow="0" w:noHBand="0" w:noVBand="1" w:val="04A0"/>
      </w:tblPr>
      <w:tblGrid>
        <w:gridCol w:w="3289"/>
        <w:gridCol w:w="3289"/>
        <w:gridCol w:w="3289"/>
      </w:tblGrid>
      <w:tr>
        <w:tc>
          <w:tcPr>
            <w:tcW w:type="dxa" w:w="3289"/>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i w:val="0"/>
                <w:color w:val="000000"/>
                <w:sz w:val="18"/>
              </w:rPr>
              <w:t>Document</w:t>
            </w:r>
          </w:p>
        </w:tc>
        <w:tc>
          <w:tcPr>
            <w:tcW w:type="dxa" w:w="3289"/>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i w:val="0"/>
                <w:color w:val="000000"/>
                <w:sz w:val="18"/>
              </w:rPr>
              <w:t>What it actually covers</w:t>
            </w:r>
          </w:p>
        </w:tc>
        <w:tc>
          <w:tcPr>
            <w:tcW w:type="dxa" w:w="3289"/>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i w:val="0"/>
                <w:color w:val="000000"/>
                <w:sz w:val="18"/>
              </w:rPr>
              <w:t>Office</w:t>
            </w:r>
          </w:p>
        </w:tc>
      </w:tr>
      <w:tr>
        <w:tc>
          <w:tcPr>
            <w:tcW w:type="dxa" w:w="3289"/>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i w:val="0"/>
                <w:color w:val="000000"/>
                <w:sz w:val="18"/>
              </w:rPr>
              <w:t>WO2006/067770, A network analysis tool. Fergal Toomey and Brian McGurk. Corvil Limited. Filed 23 December 2004. Published 29 June 2006. US publication US2008/0089240.</w:t>
            </w:r>
          </w:p>
        </w:tc>
        <w:tc>
          <w:tcPr>
            <w:tcW w:type="dxa" w:w="3289"/>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val="0"/>
                <w:i w:val="0"/>
                <w:color w:val="000000"/>
                <w:sz w:val="18"/>
              </w:rPr>
              <w:t>Large deviation theory for the service given to traffic classes at a router scheduler. Network quality, not an antivirus response.</w:t>
            </w:r>
          </w:p>
        </w:tc>
        <w:tc>
          <w:tcPr>
            <w:tcW w:type="dxa" w:w="3289"/>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val="0"/>
                <w:i w:val="0"/>
                <w:color w:val="000000"/>
                <w:sz w:val="18"/>
              </w:rPr>
              <w:t>WIPO, and a US publication</w:t>
            </w:r>
          </w:p>
        </w:tc>
      </w:tr>
      <w:tr>
        <w:tc>
          <w:tcPr>
            <w:tcW w:type="dxa" w:w="3289"/>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i w:val="0"/>
                <w:color w:val="000000"/>
                <w:sz w:val="18"/>
              </w:rPr>
              <w:t>PCT publication titled Rare event sampling. Paul Dupuis. Brown University. Priority 6 July 2011. Published 10 January 2013.</w:t>
            </w:r>
          </w:p>
        </w:tc>
        <w:tc>
          <w:tcPr>
            <w:tcW w:type="dxa" w:w="3289"/>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val="0"/>
                <w:i w:val="0"/>
                <w:color w:val="000000"/>
                <w:sz w:val="18"/>
              </w:rPr>
              <w:t>A Monte Carlo method for sampling rare events in general. Not a computer-security control.</w:t>
            </w:r>
          </w:p>
        </w:tc>
        <w:tc>
          <w:tcPr>
            <w:tcW w:type="dxa" w:w="3289"/>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val="0"/>
                <w:i w:val="0"/>
                <w:color w:val="000000"/>
                <w:sz w:val="18"/>
              </w:rPr>
              <w:t>WIPO</w:t>
            </w:r>
          </w:p>
        </w:tc>
      </w:tr>
      <w:tr>
        <w:tc>
          <w:tcPr>
            <w:tcW w:type="dxa" w:w="3289"/>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i w:val="0"/>
                <w:color w:val="000000"/>
                <w:sz w:val="18"/>
              </w:rPr>
              <w:t>WO2014152469A1, Unsupervised anomaly-based malware detection using hardware features.</w:t>
            </w:r>
          </w:p>
        </w:tc>
        <w:tc>
          <w:tcPr>
            <w:tcW w:type="dxa" w:w="3289"/>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val="0"/>
                <w:i w:val="0"/>
                <w:color w:val="000000"/>
                <w:sz w:val="18"/>
              </w:rPr>
              <w:t>Detects exploit behaviour from hardware-counter deviations. The word deviation is ordinary. It is not a large-deviation exit probability.</w:t>
            </w:r>
          </w:p>
        </w:tc>
        <w:tc>
          <w:tcPr>
            <w:tcW w:type="dxa" w:w="3289"/>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val="0"/>
                <w:i w:val="0"/>
                <w:color w:val="000000"/>
                <w:sz w:val="18"/>
              </w:rPr>
              <w:t>WIPO</w:t>
            </w:r>
          </w:p>
        </w:tc>
      </w:tr>
      <w:tr>
        <w:tc>
          <w:tcPr>
            <w:tcW w:type="dxa" w:w="3289"/>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i w:val="0"/>
                <w:color w:val="000000"/>
                <w:sz w:val="18"/>
              </w:rPr>
              <w:t>WO2019133316A1, Reconstruction-based anomaly detection.</w:t>
            </w:r>
          </w:p>
        </w:tc>
        <w:tc>
          <w:tcPr>
            <w:tcW w:type="dxa" w:w="3289"/>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val="0"/>
                <w:i w:val="0"/>
                <w:color w:val="000000"/>
                <w:sz w:val="18"/>
              </w:rPr>
              <w:t>Compares live sensor data with predicted normal behaviour and can take a corrective action. "Large deviations" in the text means a large percentage error, not the theory.</w:t>
            </w:r>
          </w:p>
        </w:tc>
        <w:tc>
          <w:tcPr>
            <w:tcW w:type="dxa" w:w="3289"/>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val="0"/>
                <w:i w:val="0"/>
                <w:color w:val="000000"/>
                <w:sz w:val="18"/>
              </w:rPr>
              <w:t>WIPO</w:t>
            </w:r>
          </w:p>
        </w:tc>
      </w:tr>
    </w:tbl>
    <w:p>
      <w:pPr>
        <w:spacing w:after="40"/>
      </w:pPr>
    </w:p>
    <w:p>
      <w:pPr>
        <w:spacing w:before="200" w:after="80"/>
        <w:jc w:val="both"/>
      </w:pPr>
      <w:r>
        <w:rPr>
          <w:rFonts w:ascii="Calibri" w:hAnsi="Calibri" w:eastAsia="Calibri"/>
          <w:b/>
          <w:i w:val="0"/>
          <w:color w:val="000000"/>
          <w:sz w:val="26"/>
        </w:rPr>
        <w:t>6. What the four offices did not show</w:t>
      </w:r>
    </w:p>
    <w:p>
      <w:pPr>
        <w:spacing w:before="0" w:after="120"/>
        <w:jc w:val="both"/>
      </w:pPr>
      <w:r>
        <w:rPr>
          <w:rFonts w:ascii="Calibri" w:hAnsi="Calibri" w:eastAsia="Calibri"/>
          <w:b w:val="0"/>
          <w:i w:val="0"/>
          <w:color w:val="000000"/>
          <w:sz w:val="22"/>
        </w:rPr>
        <w:t>Across the queries above, no published document of the Indian collection, USPTO, EPO collection, or WIPO collection was found that joins all five of the following on one endpoint:</w:t>
      </w:r>
    </w:p>
    <w:p>
      <w:pPr>
        <w:spacing w:before="0" w:after="40"/>
        <w:jc w:val="both"/>
      </w:pPr>
      <w:r>
        <w:rPr>
          <w:rFonts w:ascii="Calibri" w:hAnsi="Calibri" w:eastAsia="Calibri"/>
          <w:b w:val="0"/>
          <w:i w:val="0"/>
          <w:color w:val="000000"/>
          <w:sz w:val="22"/>
        </w:rPr>
        <w:t>1. a learned reference of that endpoint's own activity;</w:t>
      </w:r>
    </w:p>
    <w:p>
      <w:pPr>
        <w:spacing w:before="0" w:after="40"/>
        <w:jc w:val="both"/>
      </w:pPr>
      <w:r>
        <w:rPr>
          <w:rFonts w:ascii="Calibri" w:hAnsi="Calibri" w:eastAsia="Calibri"/>
          <w:b w:val="0"/>
          <w:i w:val="0"/>
          <w:color w:val="000000"/>
          <w:sz w:val="22"/>
        </w:rPr>
        <w:t>2. a large-deviation rate against that reference;</w:t>
      </w:r>
    </w:p>
    <w:p>
      <w:pPr>
        <w:spacing w:before="0" w:after="40"/>
        <w:jc w:val="both"/>
      </w:pPr>
      <w:r>
        <w:rPr>
          <w:rFonts w:ascii="Calibri" w:hAnsi="Calibri" w:eastAsia="Calibri"/>
          <w:b w:val="0"/>
          <w:i w:val="0"/>
          <w:color w:val="000000"/>
          <w:sz w:val="22"/>
        </w:rPr>
        <w:t>3. a probability of exit from a defined safe condition into a defined compromised condition;</w:t>
      </w:r>
    </w:p>
    <w:p>
      <w:pPr>
        <w:spacing w:before="0" w:after="40"/>
        <w:jc w:val="both"/>
      </w:pPr>
      <w:r>
        <w:rPr>
          <w:rFonts w:ascii="Calibri" w:hAnsi="Calibri" w:eastAsia="Calibri"/>
          <w:b w:val="0"/>
          <w:i w:val="0"/>
          <w:color w:val="000000"/>
          <w:sz w:val="22"/>
        </w:rPr>
        <w:t>4. the most probable sequence of host events for that exit;</w:t>
      </w:r>
    </w:p>
    <w:p>
      <w:pPr>
        <w:spacing w:before="0" w:after="120"/>
        <w:jc w:val="both"/>
      </w:pPr>
      <w:r>
        <w:rPr>
          <w:rFonts w:ascii="Calibri" w:hAnsi="Calibri" w:eastAsia="Calibri"/>
          <w:b w:val="0"/>
          <w:i w:val="0"/>
          <w:color w:val="000000"/>
          <w:sz w:val="22"/>
        </w:rPr>
        <w:t>5. a response chosen from monitor, restrict, quarantine, and isolate as that probability changes.</w:t>
      </w:r>
    </w:p>
    <w:p>
      <w:pPr>
        <w:spacing w:before="0" w:after="120"/>
        <w:jc w:val="both"/>
      </w:pPr>
      <w:r>
        <w:rPr>
          <w:rFonts w:ascii="Calibri" w:hAnsi="Calibri" w:eastAsia="Calibri"/>
          <w:b w:val="0"/>
          <w:i w:val="0"/>
          <w:color w:val="000000"/>
          <w:sz w:val="22"/>
        </w:rPr>
        <w:t>Importance sampling appears in patents for circuit yield, and in journal papers for offline cyber-network risk. It was not found as a claimed live antivirus control in these office searches.</w:t>
      </w:r>
    </w:p>
    <w:p>
      <w:pPr>
        <w:spacing w:before="0" w:after="120"/>
        <w:jc w:val="both"/>
      </w:pPr>
      <w:r>
        <w:rPr>
          <w:rFonts w:ascii="Calibri" w:hAnsi="Calibri" w:eastAsia="Calibri"/>
          <w:b w:val="0"/>
          <w:i w:val="0"/>
          <w:color w:val="000000"/>
          <w:sz w:val="22"/>
        </w:rPr>
        <w:t>The journal papers in the literature list, in particular Paschalidis and Smaragdakis (2006 and 2009) and Krall, Kuhl, and Yang (2020), are not patent publications. They remain relevant prior art. A patent-office search does not remove them.</w:t>
      </w:r>
    </w:p>
    <w:p>
      <w:pPr>
        <w:spacing w:before="200" w:after="80"/>
        <w:jc w:val="both"/>
      </w:pPr>
      <w:r>
        <w:rPr>
          <w:rFonts w:ascii="Calibri" w:hAnsi="Calibri" w:eastAsia="Calibri"/>
          <w:b/>
          <w:i w:val="0"/>
          <w:color w:val="000000"/>
          <w:sz w:val="26"/>
        </w:rPr>
        <w:t>7. Effect on a possible filing</w:t>
      </w:r>
    </w:p>
    <w:p>
      <w:pPr>
        <w:spacing w:before="0" w:after="120"/>
        <w:jc w:val="both"/>
      </w:pPr>
      <w:r>
        <w:rPr>
          <w:rFonts w:ascii="Calibri" w:hAnsi="Calibri" w:eastAsia="Calibri"/>
          <w:b w:val="0"/>
          <w:i w:val="0"/>
          <w:color w:val="000000"/>
          <w:sz w:val="22"/>
        </w:rPr>
        <w:t>The office search does not close the gap stated in the literature list. It does add four cautions for the attorney.</w:t>
      </w:r>
    </w:p>
    <w:p>
      <w:pPr>
        <w:spacing w:before="0" w:after="40"/>
        <w:jc w:val="both"/>
      </w:pPr>
      <w:r>
        <w:rPr>
          <w:rFonts w:ascii="Calibri" w:hAnsi="Calibri" w:eastAsia="Calibri"/>
          <w:b w:val="0"/>
          <w:i w:val="0"/>
          <w:color w:val="000000"/>
          <w:sz w:val="22"/>
        </w:rPr>
        <w:t>1. Do not claim "detect an anomaly and quarantine". US9734337B1, US9961091B2, US12074906, and US11949710 already do versions of that.</w:t>
      </w:r>
    </w:p>
    <w:p>
      <w:pPr>
        <w:spacing w:before="0" w:after="40"/>
        <w:jc w:val="both"/>
      </w:pPr>
      <w:r>
        <w:rPr>
          <w:rFonts w:ascii="Calibri" w:hAnsi="Calibri" w:eastAsia="Calibri"/>
          <w:b w:val="0"/>
          <w:i w:val="0"/>
          <w:color w:val="000000"/>
          <w:sz w:val="22"/>
        </w:rPr>
        <w:t>2. Do not claim large deviation theory for network traffic quality or network anomaly counts. WO2006/067770 and the Paschalidis papers already occupy that ground.</w:t>
      </w:r>
    </w:p>
    <w:p>
      <w:pPr>
        <w:spacing w:before="0" w:after="40"/>
        <w:jc w:val="both"/>
      </w:pPr>
      <w:r>
        <w:rPr>
          <w:rFonts w:ascii="Calibri" w:hAnsi="Calibri" w:eastAsia="Calibri"/>
          <w:b w:val="0"/>
          <w:i w:val="0"/>
          <w:color w:val="000000"/>
          <w:sz w:val="22"/>
        </w:rPr>
        <w:t>3. Do not claim a dynamic attack path built from traffic deviation across many machines. US12513177B2 does that without large deviation theory.</w:t>
      </w:r>
    </w:p>
    <w:p>
      <w:pPr>
        <w:spacing w:before="0" w:after="120"/>
        <w:jc w:val="both"/>
      </w:pPr>
      <w:r>
        <w:rPr>
          <w:rFonts w:ascii="Calibri" w:hAnsi="Calibri" w:eastAsia="Calibri"/>
          <w:b w:val="0"/>
          <w:i w:val="0"/>
          <w:color w:val="000000"/>
          <w:sz w:val="22"/>
        </w:rPr>
        <w:t>4. Do not treat the phrase "large deviation" as unused. US10599998B2 uses the large deviation principle for feature selection, and US9961091B2 uses the everyday phrase for a score far from a mean.</w:t>
      </w:r>
    </w:p>
    <w:p>
      <w:pPr>
        <w:spacing w:before="0" w:after="120"/>
        <w:jc w:val="both"/>
      </w:pPr>
      <w:r>
        <w:rPr>
          <w:rFonts w:ascii="Calibri" w:hAnsi="Calibri" w:eastAsia="Calibri"/>
          <w:b w:val="0"/>
          <w:i w:val="0"/>
          <w:color w:val="000000"/>
          <w:sz w:val="22"/>
        </w:rPr>
        <w:t>A filing can still be discussed around the joint endpoint test: large-deviation rate, exit probability, most probable host sequence, and a graded response, with signatures kept separate. That combination was not found in this search. It still has to be written as a technical method. The illustrative 35 percent figure in the concept note is not a result.</w:t>
      </w:r>
    </w:p>
    <w:p>
      <w:pPr>
        <w:spacing w:before="0" w:after="120"/>
        <w:jc w:val="both"/>
      </w:pPr>
      <w:r>
        <w:rPr>
          <w:rFonts w:ascii="Calibri" w:hAnsi="Calibri" w:eastAsia="Calibri"/>
          <w:b w:val="0"/>
          <w:i w:val="0"/>
          <w:color w:val="000000"/>
          <w:sz w:val="22"/>
        </w:rPr>
        <w:t>Before any Indian filing, the attorney should repeat this search inside the Indian Patent Office public search, Espacenet, PatentScope, and USPTO Patent Public Search, and should check patent families, not only the one publication number cited here. Unpublished applications filed in the last 18 months will not be visible.</w:t>
      </w:r>
    </w:p>
    <w:sectPr w:rsidR="00FC693F" w:rsidRPr="0006063C" w:rsidSect="00034616">
      <w:footerReference w:type="default" r:id="rId9"/>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000000"/>
        <w:sz w:val="18"/>
      </w:rPr>
      <w:t xml:space="preserve">Patent office search | 30 October 2026 | Page </w:t>
    </w:r>
    <w:r>
      <w:rPr>
        <w:rFonts w:ascii="Calibri" w:hAnsi="Calibri" w:eastAsia="Calibri"/>
        <w:b w:val="0"/>
        <w:i w:val="0"/>
        <w:color w:val="000000"/>
        <w:sz w:val="18"/>
      </w:rPr>
      <w:fldChar w:fldCharType="begin"/>
    </w:r>
    <w:r>
      <w:rPr>
        <w:rFonts w:ascii="Calibri" w:hAnsi="Calibri" w:eastAsia="Calibri"/>
        <w:b w:val="0"/>
        <w:i w:val="0"/>
        <w:color w:val="000000"/>
        <w:sz w:val="18"/>
      </w:rPr>
      <w:instrText xml:space="preserve"> PAGE </w:instrText>
    </w:r>
    <w:r>
      <w:rPr>
        <w:rFonts w:ascii="Calibri" w:hAnsi="Calibri" w:eastAsia="Calibri"/>
        <w:b w:val="0"/>
        <w:i w:val="0"/>
        <w:color w:val="000000"/>
        <w:sz w:val="18"/>
      </w:rPr>
      <w:fldChar w:fldCharType="separate"/>
    </w:r>
    <w:r>
      <w:rPr>
        <w:rFonts w:ascii="Calibri" w:hAnsi="Calibri" w:eastAsia="Calibri"/>
        <w:b w:val="0"/>
        <w:i w:val="0"/>
        <w:color w:val="000000"/>
        <w:sz w:val="18"/>
      </w:rPr>
      <w:t xml:space="preserve"> </w:t>
    </w:r>
    <w:r>
      <w:rPr>
        <w:rFonts w:ascii="Calibri" w:hAnsi="Calibri" w:eastAsia="Calibri"/>
        <w:b w:val="0"/>
        <w:i w:val="0"/>
        <w:color w:val="000000"/>
        <w:sz w:val="18"/>
      </w:rPr>
      <w:fldChar w:fldCharType="end"/>
    </w:r>
    <w:r>
      <w:rPr>
        <w:rFonts w:ascii="Calibri" w:hAnsi="Calibri" w:eastAsia="Calibri"/>
        <w:b w:val="0"/>
        <w:i w:val="0"/>
        <w:color w:val="000000"/>
        <w:sz w:val="18"/>
      </w:rPr>
      <w:t xml:space="preserve"> of </w:t>
    </w:r>
    <w:r>
      <w:rPr>
        <w:rFonts w:ascii="Calibri" w:hAnsi="Calibri" w:eastAsia="Calibri"/>
        <w:b w:val="0"/>
        <w:i w:val="0"/>
        <w:color w:val="000000"/>
        <w:sz w:val="18"/>
      </w:rPr>
      <w:fldChar w:fldCharType="begin"/>
    </w:r>
    <w:r>
      <w:rPr>
        <w:rFonts w:ascii="Calibri" w:hAnsi="Calibri" w:eastAsia="Calibri"/>
        <w:b w:val="0"/>
        <w:i w:val="0"/>
        <w:color w:val="000000"/>
        <w:sz w:val="18"/>
      </w:rPr>
      <w:instrText xml:space="preserve"> NUMPAGES </w:instrText>
    </w:r>
    <w:r>
      <w:rPr>
        <w:rFonts w:ascii="Calibri" w:hAnsi="Calibri" w:eastAsia="Calibri"/>
        <w:b w:val="0"/>
        <w:i w:val="0"/>
        <w:color w:val="000000"/>
        <w:sz w:val="18"/>
      </w:rPr>
      <w:fldChar w:fldCharType="separate"/>
    </w:r>
    <w:r>
      <w:rPr>
        <w:rFonts w:ascii="Calibri" w:hAnsi="Calibri" w:eastAsia="Calibri"/>
        <w:b w:val="0"/>
        <w:i w:val="0"/>
        <w:color w:val="000000"/>
        <w:sz w:val="18"/>
      </w:rPr>
      <w:t xml:space="preserve"> </w:t>
    </w:r>
    <w:r>
      <w:rPr>
        <w:rFonts w:ascii="Calibri" w:hAnsi="Calibri" w:eastAsia="Calibri"/>
        <w:b w:val="0"/>
        <w:i w:val="0"/>
        <w:color w:val="000000"/>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