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spacing w:after="40" w:before="120"/>
      </w:pPr>
      <w:r>
        <w:rPr>
          <w:rFonts w:ascii="Calibri" w:cs="Calibri" w:eastAsia="Calibri" w:hAnsi="Calibri"/>
          <w:b/>
          <w:bCs/>
          <w:color w:val="15803D"/>
          <w:sz w:val="26"/>
          <w:szCs w:val="26"/>
        </w:rPr>
        <w:t xml:space="preserve">Project 4: Personal Finance Tracker with Budgets &amp; Reports</w:t>
      </w:r>
    </w:p>
    <w:p>
      <w:pPr>
        <w:pBdr>
          <w:bottom w:val="single" w:color="DDEEE2" w:sz="6"/>
        </w:pBdr>
        <w:spacing w:after="140"/>
      </w:pPr>
      <w:r>
        <w:rPr>
          <w:rFonts w:ascii="Calibri" w:cs="Calibri" w:eastAsia="Calibri" w:hAnsi="Calibri"/>
          <w:b/>
          <w:bCs/>
          <w:color w:val="2E7D32"/>
          <w:sz w:val="18"/>
          <w:szCs w:val="18"/>
        </w:rPr>
        <w:t xml:space="preserve">Beginner  •  32-40 hours (9-10 days part-time)  •  Deployment complexity: Basic</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6826"/>
      </w:tblGrid>
      <w:tr>
        <w:tc>
          <w:tcPr>
            <w:tcW w:type="dxa" w:w="2200"/>
            <w:shd w:fill="DDEEE2" w:color="auto" w:val="clear"/>
            <w:tcMar>
              <w:top w:type="dxa" w:w="80"/>
              <w:left w:type="dxa" w:w="120"/>
              <w:bottom w:type="dxa" w:w="80"/>
              <w:right w:type="dxa" w:w="120"/>
            </w:tcMar>
            <w:vAlign w:val="top"/>
          </w:tcPr>
          <w:p>
            <w:pPr>
              <w:spacing w:after="60"/>
            </w:pPr>
            <w:r>
              <w:rPr>
                <w:rFonts w:ascii="Calibri" w:cs="Calibri" w:eastAsia="Calibri" w:hAnsi="Calibri"/>
                <w:b/>
                <w:bCs/>
                <w:color w:val="14532D"/>
                <w:sz w:val="20"/>
                <w:szCs w:val="20"/>
              </w:rPr>
              <w:t xml:space="preserve">Difficulty Level</w:t>
            </w:r>
          </w:p>
        </w:tc>
        <w:tc>
          <w:tcPr>
            <w:tcW w:type="dxa" w:w="6826"/>
            <w:tcMar>
              <w:top w:type="dxa" w:w="80"/>
              <w:left w:type="dxa" w:w="120"/>
              <w:bottom w:type="dxa" w:w="80"/>
              <w:right w:type="dxa" w:w="120"/>
            </w:tcMar>
            <w:vAlign w:val="top"/>
          </w:tcPr>
          <w:p>
            <w:pPr>
              <w:spacing w:after="60"/>
            </w:pPr>
            <w:r>
              <w:rPr>
                <w:rFonts w:ascii="Calibri" w:cs="Calibri" w:eastAsia="Calibri" w:hAnsi="Calibri"/>
                <w:sz w:val="20"/>
                <w:szCs w:val="20"/>
              </w:rPr>
              <w:t xml:space="preserve">Beginner   |   Deployment complexity: Basic</w:t>
            </w:r>
          </w:p>
        </w:tc>
      </w:tr>
      <w:tr>
        <w:tc>
          <w:tcPr>
            <w:tcW w:type="dxa" w:w="2200"/>
            <w:shd w:fill="DDEEE2" w:color="auto" w:val="clear"/>
            <w:tcMar>
              <w:top w:type="dxa" w:w="80"/>
              <w:left w:type="dxa" w:w="120"/>
              <w:bottom w:type="dxa" w:w="80"/>
              <w:right w:type="dxa" w:w="120"/>
            </w:tcMar>
            <w:vAlign w:val="top"/>
          </w:tcPr>
          <w:p>
            <w:pPr>
              <w:spacing w:after="60"/>
            </w:pPr>
            <w:r>
              <w:rPr>
                <w:rFonts w:ascii="Calibri" w:cs="Calibri" w:eastAsia="Calibri" w:hAnsi="Calibri"/>
                <w:b/>
                <w:bCs/>
                <w:color w:val="14532D"/>
                <w:sz w:val="20"/>
                <w:szCs w:val="20"/>
              </w:rPr>
              <w:t xml:space="preserve">Description</w:t>
            </w:r>
          </w:p>
        </w:tc>
        <w:tc>
          <w:tcPr>
            <w:tcW w:type="dxa" w:w="6826"/>
            <w:tcMar>
              <w:top w:type="dxa" w:w="80"/>
              <w:left w:type="dxa" w:w="120"/>
              <w:bottom w:type="dxa" w:w="80"/>
              <w:right w:type="dxa" w:w="120"/>
            </w:tcMar>
            <w:vAlign w:val="top"/>
          </w:tcPr>
          <w:p>
            <w:pPr>
              <w:spacing w:after="60"/>
            </w:pPr>
            <w:r>
              <w:rPr>
                <w:rFonts w:ascii="Calibri" w:cs="Calibri" w:eastAsia="Calibri" w:hAnsi="Calibri"/>
                <w:sz w:val="20"/>
                <w:szCs w:val="20"/>
              </w:rPr>
              <w:t xml:space="preserve">A finance application where users record income and expenses, set category budgets and view aggregated monthly reports and charts. The distinguishing feature is that all summarisation happens in MongoDB aggregation pipelines rather than in JavaScript, which is the correct production approach. Recurring transactions and budget alerts add scheduled background work. It is the best beginner project for learning the aggregation framework.</w:t>
            </w:r>
          </w:p>
        </w:tc>
      </w:tr>
      <w:tr>
        <w:tc>
          <w:tcPr>
            <w:tcW w:type="dxa" w:w="2200"/>
            <w:shd w:fill="DDEEE2" w:color="auto" w:val="clear"/>
            <w:tcMar>
              <w:top w:type="dxa" w:w="80"/>
              <w:left w:type="dxa" w:w="120"/>
              <w:bottom w:type="dxa" w:w="80"/>
              <w:right w:type="dxa" w:w="120"/>
            </w:tcMar>
            <w:vAlign w:val="top"/>
          </w:tcPr>
          <w:p>
            <w:pPr>
              <w:spacing w:after="60"/>
            </w:pPr>
            <w:r>
              <w:rPr>
                <w:rFonts w:ascii="Calibri" w:cs="Calibri" w:eastAsia="Calibri" w:hAnsi="Calibri"/>
                <w:b/>
                <w:bCs/>
                <w:color w:val="14532D"/>
                <w:sz w:val="20"/>
                <w:szCs w:val="20"/>
              </w:rPr>
              <w:t xml:space="preserve">Learning Objectives</w:t>
            </w:r>
          </w:p>
        </w:tc>
        <w:tc>
          <w:tcPr>
            <w:tcW w:type="dxa" w:w="6826"/>
            <w:tcMar>
              <w:top w:type="dxa" w:w="80"/>
              <w:left w:type="dxa" w:w="120"/>
              <w:bottom w:type="dxa" w:w="80"/>
              <w:right w:type="dxa" w:w="120"/>
            </w:tcMar>
            <w:vAlign w:val="top"/>
          </w:tcPr>
          <w:p>
            <w:pPr>
              <w:pStyle w:val="ListParagraph"/>
              <w:numPr>
                <w:ilvl w:val="0"/>
                <w:numId w:val="2"/>
              </w:numPr>
              <w:spacing w:after="40"/>
            </w:pPr>
            <w:r>
              <w:rPr>
                <w:rFonts w:ascii="Calibri" w:cs="Calibri" w:eastAsia="Calibri" w:hAnsi="Calibri"/>
                <w:sz w:val="20"/>
                <w:szCs w:val="20"/>
              </w:rPr>
              <w:t xml:space="preserve">MongoDB aggregation framework: $match, $group, $sum, $sort, $project, $facet</w:t>
            </w:r>
          </w:p>
          <w:p>
            <w:pPr>
              <w:pStyle w:val="ListParagraph"/>
              <w:numPr>
                <w:ilvl w:val="0"/>
                <w:numId w:val="2"/>
              </w:numPr>
              <w:spacing w:after="40"/>
            </w:pPr>
            <w:r>
              <w:rPr>
                <w:rFonts w:ascii="Calibri" w:cs="Calibri" w:eastAsia="Calibri" w:hAnsi="Calibri"/>
                <w:sz w:val="20"/>
                <w:szCs w:val="20"/>
              </w:rPr>
              <w:t xml:space="preserve">Date handling, time zones and month-boundary queries</w:t>
            </w:r>
          </w:p>
          <w:p>
            <w:pPr>
              <w:pStyle w:val="ListParagraph"/>
              <w:numPr>
                <w:ilvl w:val="0"/>
                <w:numId w:val="2"/>
              </w:numPr>
              <w:spacing w:after="40"/>
            </w:pPr>
            <w:r>
              <w:rPr>
                <w:rFonts w:ascii="Calibri" w:cs="Calibri" w:eastAsia="Calibri" w:hAnsi="Calibri"/>
                <w:sz w:val="20"/>
                <w:szCs w:val="20"/>
              </w:rPr>
              <w:t xml:space="preserve">Scheduled jobs with node-cron for recurring transactions and alerts</w:t>
            </w:r>
          </w:p>
          <w:p>
            <w:pPr>
              <w:pStyle w:val="ListParagraph"/>
              <w:numPr>
                <w:ilvl w:val="0"/>
                <w:numId w:val="2"/>
              </w:numPr>
              <w:spacing w:after="40"/>
            </w:pPr>
            <w:r>
              <w:rPr>
                <w:rFonts w:ascii="Calibri" w:cs="Calibri" w:eastAsia="Calibri" w:hAnsi="Calibri"/>
                <w:sz w:val="20"/>
                <w:szCs w:val="20"/>
              </w:rPr>
              <w:t xml:space="preserve">Chart data contracts: shaping the API response for the frontend chart</w:t>
            </w:r>
          </w:p>
          <w:p>
            <w:pPr>
              <w:pStyle w:val="ListParagraph"/>
              <w:numPr>
                <w:ilvl w:val="0"/>
                <w:numId w:val="2"/>
              </w:numPr>
              <w:spacing w:after="40"/>
            </w:pPr>
            <w:r>
              <w:rPr>
                <w:rFonts w:ascii="Calibri" w:cs="Calibri" w:eastAsia="Calibri" w:hAnsi="Calibri"/>
                <w:sz w:val="20"/>
                <w:szCs w:val="20"/>
              </w:rPr>
              <w:t xml:space="preserve">Decimal and currency handling without floating-point errors</w:t>
            </w:r>
          </w:p>
          <w:p>
            <w:pPr>
              <w:pStyle w:val="ListParagraph"/>
              <w:numPr>
                <w:ilvl w:val="0"/>
                <w:numId w:val="2"/>
              </w:numPr>
              <w:spacing w:after="40"/>
            </w:pPr>
            <w:r>
              <w:rPr>
                <w:rFonts w:ascii="Calibri" w:cs="Calibri" w:eastAsia="Calibri" w:hAnsi="Calibri"/>
                <w:sz w:val="20"/>
                <w:szCs w:val="20"/>
              </w:rPr>
              <w:t xml:space="preserve">Compound indexes for user plus date range queries</w:t>
            </w:r>
          </w:p>
          <w:p>
            <w:pPr>
              <w:pStyle w:val="ListParagraph"/>
              <w:numPr>
                <w:ilvl w:val="0"/>
                <w:numId w:val="2"/>
              </w:numPr>
              <w:spacing w:after="40"/>
            </w:pPr>
            <w:r>
              <w:rPr>
                <w:rFonts w:ascii="Calibri" w:cs="Calibri" w:eastAsia="Calibri" w:hAnsi="Calibri"/>
                <w:sz w:val="20"/>
                <w:szCs w:val="20"/>
              </w:rPr>
              <w:t xml:space="preserve">CSV export and report generation</w:t>
            </w:r>
          </w:p>
        </w:tc>
      </w:tr>
      <w:tr>
        <w:tc>
          <w:tcPr>
            <w:tcW w:type="dxa" w:w="2200"/>
            <w:shd w:fill="DDEEE2" w:color="auto" w:val="clear"/>
            <w:tcMar>
              <w:top w:type="dxa" w:w="80"/>
              <w:left w:type="dxa" w:w="120"/>
              <w:bottom w:type="dxa" w:w="80"/>
              <w:right w:type="dxa" w:w="120"/>
            </w:tcMar>
            <w:vAlign w:val="top"/>
          </w:tcPr>
          <w:p>
            <w:pPr>
              <w:spacing w:after="60"/>
            </w:pPr>
            <w:r>
              <w:rPr>
                <w:rFonts w:ascii="Calibri" w:cs="Calibri" w:eastAsia="Calibri" w:hAnsi="Calibri"/>
                <w:b/>
                <w:bCs/>
                <w:color w:val="14532D"/>
                <w:sz w:val="20"/>
                <w:szCs w:val="20"/>
              </w:rPr>
              <w:t xml:space="preserve">Key Features</w:t>
            </w:r>
          </w:p>
        </w:tc>
        <w:tc>
          <w:tcPr>
            <w:tcW w:type="dxa" w:w="6826"/>
            <w:tcMar>
              <w:top w:type="dxa" w:w="80"/>
              <w:left w:type="dxa" w:w="120"/>
              <w:bottom w:type="dxa" w:w="80"/>
              <w:right w:type="dxa" w:w="120"/>
            </w:tcMar>
            <w:vAlign w:val="top"/>
          </w:tcPr>
          <w:p>
            <w:pPr>
              <w:pStyle w:val="ListParagraph"/>
              <w:numPr>
                <w:ilvl w:val="0"/>
                <w:numId w:val="2"/>
              </w:numPr>
              <w:spacing w:after="40"/>
            </w:pPr>
            <w:r>
              <w:rPr>
                <w:rFonts w:ascii="Calibri" w:cs="Calibri" w:eastAsia="Calibri" w:hAnsi="Calibri"/>
                <w:sz w:val="20"/>
                <w:szCs w:val="20"/>
              </w:rPr>
              <w:t xml:space="preserve">Add income and expense entries with category, date, payment mode and notes</w:t>
            </w:r>
          </w:p>
          <w:p>
            <w:pPr>
              <w:pStyle w:val="ListParagraph"/>
              <w:numPr>
                <w:ilvl w:val="0"/>
                <w:numId w:val="2"/>
              </w:numPr>
              <w:spacing w:after="40"/>
            </w:pPr>
            <w:r>
              <w:rPr>
                <w:rFonts w:ascii="Calibri" w:cs="Calibri" w:eastAsia="Calibri" w:hAnsi="Calibri"/>
                <w:sz w:val="20"/>
                <w:szCs w:val="20"/>
              </w:rPr>
              <w:t xml:space="preserve">Dashboard: balance, monthly income/expense, savings rate and trend sparkline</w:t>
            </w:r>
          </w:p>
          <w:p>
            <w:pPr>
              <w:pStyle w:val="ListParagraph"/>
              <w:numPr>
                <w:ilvl w:val="0"/>
                <w:numId w:val="2"/>
              </w:numPr>
              <w:spacing w:after="40"/>
            </w:pPr>
            <w:r>
              <w:rPr>
                <w:rFonts w:ascii="Calibri" w:cs="Calibri" w:eastAsia="Calibri" w:hAnsi="Calibri"/>
                <w:sz w:val="20"/>
                <w:szCs w:val="20"/>
              </w:rPr>
              <w:t xml:space="preserve">Category-wise donut chart and month-over-month bar chart from aggregation endpoints</w:t>
            </w:r>
          </w:p>
          <w:p>
            <w:pPr>
              <w:pStyle w:val="ListParagraph"/>
              <w:numPr>
                <w:ilvl w:val="0"/>
                <w:numId w:val="2"/>
              </w:numPr>
              <w:spacing w:after="40"/>
            </w:pPr>
            <w:r>
              <w:rPr>
                <w:rFonts w:ascii="Calibri" w:cs="Calibri" w:eastAsia="Calibri" w:hAnsi="Calibri"/>
                <w:sz w:val="20"/>
                <w:szCs w:val="20"/>
              </w:rPr>
              <w:t xml:space="preserve">Monthly budgets per category with over-budget warnings and email alerts</w:t>
            </w:r>
          </w:p>
          <w:p>
            <w:pPr>
              <w:pStyle w:val="ListParagraph"/>
              <w:numPr>
                <w:ilvl w:val="0"/>
                <w:numId w:val="2"/>
              </w:numPr>
              <w:spacing w:after="40"/>
            </w:pPr>
            <w:r>
              <w:rPr>
                <w:rFonts w:ascii="Calibri" w:cs="Calibri" w:eastAsia="Calibri" w:hAnsi="Calibri"/>
                <w:sz w:val="20"/>
                <w:szCs w:val="20"/>
              </w:rPr>
              <w:t xml:space="preserve">Recurring transactions created automatically by a scheduled job</w:t>
            </w:r>
          </w:p>
          <w:p>
            <w:pPr>
              <w:pStyle w:val="ListParagraph"/>
              <w:numPr>
                <w:ilvl w:val="0"/>
                <w:numId w:val="2"/>
              </w:numPr>
              <w:spacing w:after="40"/>
            </w:pPr>
            <w:r>
              <w:rPr>
                <w:rFonts w:ascii="Calibri" w:cs="Calibri" w:eastAsia="Calibri" w:hAnsi="Calibri"/>
                <w:sz w:val="20"/>
                <w:szCs w:val="20"/>
              </w:rPr>
              <w:t xml:space="preserve">Date-range, category and type filters with a paginated transaction table</w:t>
            </w:r>
          </w:p>
          <w:p>
            <w:pPr>
              <w:pStyle w:val="ListParagraph"/>
              <w:numPr>
                <w:ilvl w:val="0"/>
                <w:numId w:val="2"/>
              </w:numPr>
              <w:spacing w:after="40"/>
            </w:pPr>
            <w:r>
              <w:rPr>
                <w:rFonts w:ascii="Calibri" w:cs="Calibri" w:eastAsia="Calibri" w:hAnsi="Calibri"/>
                <w:sz w:val="20"/>
                <w:szCs w:val="20"/>
              </w:rPr>
              <w:t xml:space="preserve">Monthly report export to CSV or PDF</w:t>
            </w:r>
          </w:p>
        </w:tc>
      </w:tr>
      <w:tr>
        <w:tc>
          <w:tcPr>
            <w:tcW w:type="dxa" w:w="2200"/>
            <w:shd w:fill="DDEEE2" w:color="auto" w:val="clear"/>
            <w:tcMar>
              <w:top w:type="dxa" w:w="80"/>
              <w:left w:type="dxa" w:w="120"/>
              <w:bottom w:type="dxa" w:w="80"/>
              <w:right w:type="dxa" w:w="120"/>
            </w:tcMar>
            <w:vAlign w:val="top"/>
          </w:tcPr>
          <w:p>
            <w:pPr>
              <w:spacing w:after="60"/>
            </w:pPr>
            <w:r>
              <w:rPr>
                <w:rFonts w:ascii="Calibri" w:cs="Calibri" w:eastAsia="Calibri" w:hAnsi="Calibri"/>
                <w:b/>
                <w:bCs/>
                <w:color w:val="14532D"/>
                <w:sz w:val="20"/>
                <w:szCs w:val="20"/>
              </w:rPr>
              <w:t xml:space="preserve">Recommended Tech Stack</w:t>
            </w:r>
          </w:p>
        </w:tc>
        <w:tc>
          <w:tcPr>
            <w:tcW w:type="dxa" w:w="6826"/>
            <w:tcMar>
              <w:top w:type="dxa" w:w="80"/>
              <w:left w:type="dxa" w:w="120"/>
              <w:bottom w:type="dxa" w:w="80"/>
              <w:right w:type="dxa" w:w="120"/>
            </w:tcMar>
            <w:vAlign w:val="top"/>
          </w:tcPr>
          <w:p>
            <w:pPr>
              <w:spacing w:after="60"/>
            </w:pPr>
            <w:r>
              <w:rPr>
                <w:rFonts w:ascii="Calibri" w:cs="Calibri" w:eastAsia="Calibri" w:hAnsi="Calibri"/>
                <w:sz w:val="20"/>
                <w:szCs w:val="20"/>
              </w:rPr>
              <w:t xml:space="preserve">Frontend: React 18 (Vite), Redux Toolkit or Context, Recharts, date-fns, Tailwind CSS, Axios. Backend: Node.js, Express, Mongoose aggregation, node-cron, Nodemailer, json2csv, JWT. Database: MongoDB Atlas</w:t>
            </w:r>
          </w:p>
        </w:tc>
      </w:tr>
      <w:tr>
        <w:tc>
          <w:tcPr>
            <w:tcW w:type="dxa" w:w="2200"/>
            <w:shd w:fill="DDEEE2" w:color="auto" w:val="clear"/>
            <w:tcMar>
              <w:top w:type="dxa" w:w="80"/>
              <w:left w:type="dxa" w:w="120"/>
              <w:bottom w:type="dxa" w:w="80"/>
              <w:right w:type="dxa" w:w="120"/>
            </w:tcMar>
            <w:vAlign w:val="top"/>
          </w:tcPr>
          <w:p>
            <w:pPr>
              <w:spacing w:after="60"/>
            </w:pPr>
            <w:r>
              <w:rPr>
                <w:rFonts w:ascii="Calibri" w:cs="Calibri" w:eastAsia="Calibri" w:hAnsi="Calibri"/>
                <w:b/>
                <w:bCs/>
                <w:color w:val="14532D"/>
                <w:sz w:val="20"/>
                <w:szCs w:val="20"/>
              </w:rPr>
              <w:t xml:space="preserve">Core Data Models</w:t>
            </w:r>
          </w:p>
        </w:tc>
        <w:tc>
          <w:tcPr>
            <w:tcW w:type="dxa" w:w="6826"/>
            <w:tcMar>
              <w:top w:type="dxa" w:w="80"/>
              <w:left w:type="dxa" w:w="120"/>
              <w:bottom w:type="dxa" w:w="80"/>
              <w:right w:type="dxa" w:w="120"/>
            </w:tcMar>
            <w:vAlign w:val="top"/>
          </w:tcPr>
          <w:p>
            <w:pPr>
              <w:pStyle w:val="ListParagraph"/>
              <w:numPr>
                <w:ilvl w:val="0"/>
                <w:numId w:val="2"/>
              </w:numPr>
              <w:spacing w:after="40"/>
            </w:pPr>
            <w:r>
              <w:rPr>
                <w:rFonts w:ascii="Consolas" w:cs="Consolas" w:eastAsia="Consolas" w:hAnsi="Consolas"/>
                <w:sz w:val="20"/>
                <w:szCs w:val="20"/>
              </w:rPr>
              <w:t xml:space="preserve">User { name, email, passwordHash, currency, monthlyIncome }</w:t>
            </w:r>
          </w:p>
          <w:p>
            <w:pPr>
              <w:pStyle w:val="ListParagraph"/>
              <w:numPr>
                <w:ilvl w:val="0"/>
                <w:numId w:val="2"/>
              </w:numPr>
              <w:spacing w:after="40"/>
            </w:pPr>
            <w:r>
              <w:rPr>
                <w:rFonts w:ascii="Consolas" w:cs="Consolas" w:eastAsia="Consolas" w:hAnsi="Consolas"/>
                <w:sz w:val="20"/>
                <w:szCs w:val="20"/>
              </w:rPr>
              <w:t xml:space="preserve">Transaction { userId, type (income/expense), amount, categoryId, date (indexed), note, isRecurring, recurrence } with compound index { userId, date }</w:t>
            </w:r>
          </w:p>
          <w:p>
            <w:pPr>
              <w:pStyle w:val="ListParagraph"/>
              <w:numPr>
                <w:ilvl w:val="0"/>
                <w:numId w:val="2"/>
              </w:numPr>
              <w:spacing w:after="40"/>
            </w:pPr>
            <w:r>
              <w:rPr>
                <w:rFonts w:ascii="Consolas" w:cs="Consolas" w:eastAsia="Consolas" w:hAnsi="Consolas"/>
                <w:sz w:val="20"/>
                <w:szCs w:val="20"/>
              </w:rPr>
              <w:t xml:space="preserve">Category { userId, name, icon, color, budgetLimit }</w:t>
            </w:r>
          </w:p>
        </w:tc>
      </w:tr>
      <w:tr>
        <w:tc>
          <w:tcPr>
            <w:tcW w:type="dxa" w:w="2200"/>
            <w:shd w:fill="DDEEE2" w:color="auto" w:val="clear"/>
            <w:tcMar>
              <w:top w:type="dxa" w:w="80"/>
              <w:left w:type="dxa" w:w="120"/>
              <w:bottom w:type="dxa" w:w="80"/>
              <w:right w:type="dxa" w:w="120"/>
            </w:tcMar>
            <w:vAlign w:val="top"/>
          </w:tcPr>
          <w:p>
            <w:pPr>
              <w:spacing w:after="60"/>
            </w:pPr>
            <w:r>
              <w:rPr>
                <w:rFonts w:ascii="Calibri" w:cs="Calibri" w:eastAsia="Calibri" w:hAnsi="Calibri"/>
                <w:b/>
                <w:bCs/>
                <w:color w:val="14532D"/>
                <w:sz w:val="20"/>
                <w:szCs w:val="20"/>
              </w:rPr>
              <w:t xml:space="preserve">Key API Endpoints</w:t>
            </w:r>
          </w:p>
        </w:tc>
        <w:tc>
          <w:tcPr>
            <w:tcW w:type="dxa" w:w="6826"/>
            <w:tcMar>
              <w:top w:type="dxa" w:w="80"/>
              <w:left w:type="dxa" w:w="120"/>
              <w:bottom w:type="dxa" w:w="80"/>
              <w:right w:type="dxa" w:w="120"/>
            </w:tcMar>
            <w:vAlign w:val="top"/>
          </w:tcPr>
          <w:p>
            <w:pPr>
              <w:pStyle w:val="ListParagraph"/>
              <w:numPr>
                <w:ilvl w:val="0"/>
                <w:numId w:val="2"/>
              </w:numPr>
              <w:spacing w:after="40"/>
            </w:pPr>
            <w:r>
              <w:rPr>
                <w:rFonts w:ascii="Consolas" w:cs="Consolas" w:eastAsia="Consolas" w:hAnsi="Consolas"/>
                <w:sz w:val="20"/>
                <w:szCs w:val="20"/>
              </w:rPr>
              <w:t xml:space="preserve">GET /api/transactions?from=&amp;to=&amp;type=&amp;category=&amp;page=</w:t>
            </w:r>
          </w:p>
          <w:p>
            <w:pPr>
              <w:pStyle w:val="ListParagraph"/>
              <w:numPr>
                <w:ilvl w:val="0"/>
                <w:numId w:val="2"/>
              </w:numPr>
              <w:spacing w:after="40"/>
            </w:pPr>
            <w:r>
              <w:rPr>
                <w:rFonts w:ascii="Consolas" w:cs="Consolas" w:eastAsia="Consolas" w:hAnsi="Consolas"/>
                <w:sz w:val="20"/>
                <w:szCs w:val="20"/>
              </w:rPr>
              <w:t xml:space="preserve">POST /api/transactions  |  PUT /api/transactions/:id  |  DELETE /api/transactions/:id</w:t>
            </w:r>
          </w:p>
          <w:p>
            <w:pPr>
              <w:pStyle w:val="ListParagraph"/>
              <w:numPr>
                <w:ilvl w:val="0"/>
                <w:numId w:val="2"/>
              </w:numPr>
              <w:spacing w:after="40"/>
            </w:pPr>
            <w:r>
              <w:rPr>
                <w:rFonts w:ascii="Consolas" w:cs="Consolas" w:eastAsia="Consolas" w:hAnsi="Consolas"/>
                <w:sz w:val="20"/>
                <w:szCs w:val="20"/>
              </w:rPr>
              <w:t xml:space="preserve">GET /api/reports/summary?month=  (aggregation: totals, savings rate)</w:t>
            </w:r>
          </w:p>
          <w:p>
            <w:pPr>
              <w:pStyle w:val="ListParagraph"/>
              <w:numPr>
                <w:ilvl w:val="0"/>
                <w:numId w:val="2"/>
              </w:numPr>
              <w:spacing w:after="40"/>
            </w:pPr>
            <w:r>
              <w:rPr>
                <w:rFonts w:ascii="Consolas" w:cs="Consolas" w:eastAsia="Consolas" w:hAnsi="Consolas"/>
                <w:sz w:val="20"/>
                <w:szCs w:val="20"/>
              </w:rPr>
              <w:t xml:space="preserve">GET /api/reports/by-category?from=&amp;to=  |  GET /api/reports/monthly-trend?year=</w:t>
            </w:r>
          </w:p>
          <w:p>
            <w:pPr>
              <w:pStyle w:val="ListParagraph"/>
              <w:numPr>
                <w:ilvl w:val="0"/>
                <w:numId w:val="2"/>
              </w:numPr>
              <w:spacing w:after="40"/>
            </w:pPr>
            <w:r>
              <w:rPr>
                <w:rFonts w:ascii="Consolas" w:cs="Consolas" w:eastAsia="Consolas" w:hAnsi="Consolas"/>
                <w:sz w:val="20"/>
                <w:szCs w:val="20"/>
              </w:rPr>
              <w:t xml:space="preserve">GET /api/budgets  |  PUT /api/budgets/:categoryId  |  GET /api/reports/export</w:t>
            </w:r>
          </w:p>
        </w:tc>
      </w:tr>
      <w:tr>
        <w:tc>
          <w:tcPr>
            <w:tcW w:type="dxa" w:w="2200"/>
            <w:shd w:fill="DDEEE2" w:color="auto" w:val="clear"/>
            <w:tcMar>
              <w:top w:type="dxa" w:w="80"/>
              <w:left w:type="dxa" w:w="120"/>
              <w:bottom w:type="dxa" w:w="80"/>
              <w:right w:type="dxa" w:w="120"/>
            </w:tcMar>
            <w:vAlign w:val="top"/>
          </w:tcPr>
          <w:p>
            <w:pPr>
              <w:spacing w:after="60"/>
            </w:pPr>
            <w:r>
              <w:rPr>
                <w:rFonts w:ascii="Calibri" w:cs="Calibri" w:eastAsia="Calibri" w:hAnsi="Calibri"/>
                <w:b/>
                <w:bCs/>
                <w:color w:val="14532D"/>
                <w:sz w:val="20"/>
                <w:szCs w:val="20"/>
              </w:rPr>
              <w:t xml:space="preserve">Third-Party APIs / Services</w:t>
            </w:r>
          </w:p>
        </w:tc>
        <w:tc>
          <w:tcPr>
            <w:tcW w:type="dxa" w:w="6826"/>
            <w:tcMar>
              <w:top w:type="dxa" w:w="80"/>
              <w:left w:type="dxa" w:w="120"/>
              <w:bottom w:type="dxa" w:w="80"/>
              <w:right w:type="dxa" w:w="120"/>
            </w:tcMar>
            <w:vAlign w:val="top"/>
          </w:tcPr>
          <w:p>
            <w:pPr>
              <w:spacing w:after="60"/>
            </w:pPr>
            <w:r>
              <w:rPr>
                <w:rFonts w:ascii="Calibri" w:cs="Calibri" w:eastAsia="Calibri" w:hAnsi="Calibri"/>
                <w:sz w:val="20"/>
                <w:szCs w:val="20"/>
              </w:rPr>
              <w:t xml:space="preserve">Optional: exchangerate.host for multi-currency, SendGrid or Nodemailer for budget alert emails</w:t>
            </w:r>
          </w:p>
        </w:tc>
      </w:tr>
      <w:tr>
        <w:tc>
          <w:tcPr>
            <w:tcW w:type="dxa" w:w="2200"/>
            <w:shd w:fill="DDEEE2" w:color="auto" w:val="clear"/>
            <w:tcMar>
              <w:top w:type="dxa" w:w="80"/>
              <w:left w:type="dxa" w:w="120"/>
              <w:bottom w:type="dxa" w:w="80"/>
              <w:right w:type="dxa" w:w="120"/>
            </w:tcMar>
            <w:vAlign w:val="top"/>
          </w:tcPr>
          <w:p>
            <w:pPr>
              <w:spacing w:after="60"/>
            </w:pPr>
            <w:r>
              <w:rPr>
                <w:rFonts w:ascii="Calibri" w:cs="Calibri" w:eastAsia="Calibri" w:hAnsi="Calibri"/>
                <w:b/>
                <w:bCs/>
                <w:color w:val="14532D"/>
                <w:sz w:val="20"/>
                <w:szCs w:val="20"/>
              </w:rPr>
              <w:t xml:space="preserve">Estimated Build Time</w:t>
            </w:r>
          </w:p>
        </w:tc>
        <w:tc>
          <w:tcPr>
            <w:tcW w:type="dxa" w:w="6826"/>
            <w:tcMar>
              <w:top w:type="dxa" w:w="80"/>
              <w:left w:type="dxa" w:w="120"/>
              <w:bottom w:type="dxa" w:w="80"/>
              <w:right w:type="dxa" w:w="120"/>
            </w:tcMar>
            <w:vAlign w:val="top"/>
          </w:tcPr>
          <w:p>
            <w:pPr>
              <w:spacing w:after="60"/>
            </w:pPr>
            <w:r>
              <w:rPr>
                <w:rFonts w:ascii="Calibri" w:cs="Calibri" w:eastAsia="Calibri" w:hAnsi="Calibri"/>
                <w:sz w:val="20"/>
                <w:szCs w:val="20"/>
              </w:rPr>
              <w:t xml:space="preserve">32-40 hours (9-10 days part-time)</w:t>
            </w:r>
          </w:p>
        </w:tc>
      </w:tr>
      <w:tr>
        <w:tc>
          <w:tcPr>
            <w:tcW w:type="dxa" w:w="2200"/>
            <w:shd w:fill="DDEEE2" w:color="auto" w:val="clear"/>
            <w:tcMar>
              <w:top w:type="dxa" w:w="80"/>
              <w:left w:type="dxa" w:w="120"/>
              <w:bottom w:type="dxa" w:w="80"/>
              <w:right w:type="dxa" w:w="120"/>
            </w:tcMar>
            <w:vAlign w:val="top"/>
          </w:tcPr>
          <w:p>
            <w:pPr>
              <w:spacing w:after="60"/>
            </w:pPr>
            <w:r>
              <w:rPr>
                <w:rFonts w:ascii="Calibri" w:cs="Calibri" w:eastAsia="Calibri" w:hAnsi="Calibri"/>
                <w:b/>
                <w:bCs/>
                <w:color w:val="14532D"/>
                <w:sz w:val="20"/>
                <w:szCs w:val="20"/>
              </w:rPr>
              <w:t xml:space="preserve">Deployment Blueprint</w:t>
            </w:r>
          </w:p>
        </w:tc>
        <w:tc>
          <w:tcPr>
            <w:tcW w:type="dxa" w:w="6826"/>
            <w:tcMar>
              <w:top w:type="dxa" w:w="80"/>
              <w:left w:type="dxa" w:w="120"/>
              <w:bottom w:type="dxa" w:w="80"/>
              <w:right w:type="dxa" w:w="120"/>
            </w:tcMar>
            <w:vAlign w:val="top"/>
          </w:tcPr>
          <w:p>
            <w:pPr>
              <w:pStyle w:val="ListParagraph"/>
              <w:numPr>
                <w:ilvl w:val="0"/>
                <w:numId w:val="2"/>
              </w:numPr>
              <w:spacing w:after="40"/>
            </w:pPr>
            <w:r>
              <w:rPr>
                <w:rFonts w:ascii="Calibri" w:cs="Calibri" w:eastAsia="Calibri" w:hAnsi="Calibri"/>
                <w:sz w:val="20"/>
                <w:szCs w:val="20"/>
              </w:rPr>
              <w:t xml:space="preserve">Standard trio: Vercel frontend, Render backend, MongoDB Atlas database</w:t>
            </w:r>
          </w:p>
          <w:p>
            <w:pPr>
              <w:pStyle w:val="ListParagraph"/>
              <w:numPr>
                <w:ilvl w:val="0"/>
                <w:numId w:val="2"/>
              </w:numPr>
              <w:spacing w:after="40"/>
            </w:pPr>
            <w:r>
              <w:rPr>
                <w:rFonts w:ascii="Calibri" w:cs="Calibri" w:eastAsia="Calibri" w:hAnsi="Calibri"/>
                <w:sz w:val="20"/>
                <w:szCs w:val="20"/>
              </w:rPr>
              <w:t xml:space="preserve">Scheduled jobs: free hosts sleep, so run recurring-transaction jobs via Render Cron Jobs, Railway Cron or an external cron-job.org ping to a protected endpoint</w:t>
            </w:r>
          </w:p>
          <w:p>
            <w:pPr>
              <w:pStyle w:val="ListParagraph"/>
              <w:numPr>
                <w:ilvl w:val="0"/>
                <w:numId w:val="2"/>
              </w:numPr>
              <w:spacing w:after="40"/>
            </w:pPr>
            <w:r>
              <w:rPr>
                <w:rFonts w:ascii="Calibri" w:cs="Calibri" w:eastAsia="Calibri" w:hAnsi="Calibri"/>
                <w:sz w:val="20"/>
                <w:szCs w:val="20"/>
              </w:rPr>
              <w:t xml:space="preserve">Protect the cron endpoint with a secret header so it cannot be triggered publicly</w:t>
            </w:r>
          </w:p>
          <w:p>
            <w:pPr>
              <w:pStyle w:val="ListParagraph"/>
              <w:numPr>
                <w:ilvl w:val="0"/>
                <w:numId w:val="2"/>
              </w:numPr>
              <w:spacing w:after="40"/>
            </w:pPr>
            <w:r>
              <w:rPr>
                <w:rFonts w:ascii="Calibri" w:cs="Calibri" w:eastAsia="Calibri" w:hAnsi="Calibri"/>
                <w:sz w:val="20"/>
                <w:szCs w:val="20"/>
              </w:rPr>
              <w:t xml:space="preserve">Set the server time zone explicitly (TZ env variable) - month boundaries break silently otherwise</w:t>
            </w:r>
          </w:p>
          <w:p>
            <w:pPr>
              <w:pStyle w:val="ListParagraph"/>
              <w:numPr>
                <w:ilvl w:val="0"/>
                <w:numId w:val="2"/>
              </w:numPr>
              <w:spacing w:after="40"/>
            </w:pPr>
            <w:r>
              <w:rPr>
                <w:rFonts w:ascii="Calibri" w:cs="Calibri" w:eastAsia="Calibri" w:hAnsi="Calibri"/>
                <w:sz w:val="20"/>
                <w:szCs w:val="20"/>
              </w:rPr>
              <w:t xml:space="preserve">Create separate Atlas databases for dev and prod and enable daily backup on the production cluster</w:t>
            </w:r>
          </w:p>
          <w:p>
            <w:pPr>
              <w:pStyle w:val="ListParagraph"/>
              <w:numPr>
                <w:ilvl w:val="0"/>
                <w:numId w:val="2"/>
              </w:numPr>
              <w:spacing w:after="40"/>
            </w:pPr>
            <w:r>
              <w:rPr>
                <w:rFonts w:ascii="Calibri" w:cs="Calibri" w:eastAsia="Calibri" w:hAnsi="Calibri"/>
                <w:sz w:val="20"/>
                <w:szCs w:val="20"/>
              </w:rPr>
              <w:t xml:space="preserve">Add email credentials as environment secrets; never log the SMTP password</w:t>
            </w:r>
          </w:p>
          <w:p>
            <w:pPr>
              <w:pStyle w:val="ListParagraph"/>
              <w:numPr>
                <w:ilvl w:val="0"/>
                <w:numId w:val="2"/>
              </w:numPr>
              <w:spacing w:after="40"/>
            </w:pPr>
            <w:r>
              <w:rPr>
                <w:rFonts w:ascii="Calibri" w:cs="Calibri" w:eastAsia="Calibri" w:hAnsi="Calibri"/>
                <w:sz w:val="20"/>
                <w:szCs w:val="20"/>
              </w:rPr>
              <w:t xml:space="preserve">Post-deploy: verify aggregation endpoints return correct totals for a month spanning a time-zone boundary</w:t>
            </w:r>
          </w:p>
        </w:tc>
      </w:tr>
      <w:tr>
        <w:tc>
          <w:tcPr>
            <w:tcW w:type="dxa" w:w="2200"/>
            <w:shd w:fill="DDEEE2" w:color="auto" w:val="clear"/>
            <w:tcMar>
              <w:top w:type="dxa" w:w="80"/>
              <w:left w:type="dxa" w:w="120"/>
              <w:bottom w:type="dxa" w:w="80"/>
              <w:right w:type="dxa" w:w="120"/>
            </w:tcMar>
            <w:vAlign w:val="top"/>
          </w:tcPr>
          <w:p>
            <w:pPr>
              <w:spacing w:after="60"/>
            </w:pPr>
            <w:r>
              <w:rPr>
                <w:rFonts w:ascii="Calibri" w:cs="Calibri" w:eastAsia="Calibri" w:hAnsi="Calibri"/>
                <w:b/>
                <w:bCs/>
                <w:color w:val="14532D"/>
                <w:sz w:val="20"/>
                <w:szCs w:val="20"/>
              </w:rPr>
              <w:t xml:space="preserve">Industry Relevance</w:t>
            </w:r>
          </w:p>
        </w:tc>
        <w:tc>
          <w:tcPr>
            <w:tcW w:type="dxa" w:w="6826"/>
            <w:tcMar>
              <w:top w:type="dxa" w:w="80"/>
              <w:left w:type="dxa" w:w="120"/>
              <w:bottom w:type="dxa" w:w="80"/>
              <w:right w:type="dxa" w:w="120"/>
            </w:tcMar>
            <w:vAlign w:val="top"/>
          </w:tcPr>
          <w:p>
            <w:pPr>
              <w:spacing w:after="60"/>
            </w:pPr>
            <w:r>
              <w:rPr>
                <w:rFonts w:ascii="Calibri" w:cs="Calibri" w:eastAsia="Calibri" w:hAnsi="Calibri"/>
                <w:sz w:val="20"/>
                <w:szCs w:val="20"/>
              </w:rPr>
              <w:t xml:space="preserve">BFSI and fintech engagements dominate Indian IT services revenue, and reporting endpoints built on aggregation pipelines are exactly what those teams write. Candidates who can write a $group pipeline on a whiteboard stand out immediately.</w:t>
            </w:r>
          </w:p>
        </w:tc>
      </w:tr>
      <w:tr>
        <w:tc>
          <w:tcPr>
            <w:tcW w:type="dxa" w:w="2200"/>
            <w:shd w:fill="DDEEE2" w:color="auto" w:val="clear"/>
            <w:tcMar>
              <w:top w:type="dxa" w:w="80"/>
              <w:left w:type="dxa" w:w="120"/>
              <w:bottom w:type="dxa" w:w="80"/>
              <w:right w:type="dxa" w:w="120"/>
            </w:tcMar>
            <w:vAlign w:val="top"/>
          </w:tcPr>
          <w:p>
            <w:pPr>
              <w:spacing w:after="60"/>
            </w:pPr>
            <w:r>
              <w:rPr>
                <w:rFonts w:ascii="Calibri" w:cs="Calibri" w:eastAsia="Calibri" w:hAnsi="Calibri"/>
                <w:b/>
                <w:bCs/>
                <w:color w:val="14532D"/>
                <w:sz w:val="20"/>
                <w:szCs w:val="20"/>
              </w:rPr>
              <w:t xml:space="preserve">Placement Interview Angle</w:t>
            </w:r>
          </w:p>
        </w:tc>
        <w:tc>
          <w:tcPr>
            <w:tcW w:type="dxa" w:w="6826"/>
            <w:tcMar>
              <w:top w:type="dxa" w:w="80"/>
              <w:left w:type="dxa" w:w="120"/>
              <w:bottom w:type="dxa" w:w="80"/>
              <w:right w:type="dxa" w:w="120"/>
            </w:tcMar>
            <w:vAlign w:val="top"/>
          </w:tcPr>
          <w:p>
            <w:pPr>
              <w:pStyle w:val="ListParagraph"/>
              <w:numPr>
                <w:ilvl w:val="0"/>
                <w:numId w:val="2"/>
              </w:numPr>
              <w:spacing w:after="40"/>
            </w:pPr>
            <w:r>
              <w:rPr>
                <w:rFonts w:ascii="Calibri" w:cs="Calibri" w:eastAsia="Calibri" w:hAnsi="Calibri"/>
                <w:sz w:val="20"/>
                <w:szCs w:val="20"/>
              </w:rPr>
              <w:t xml:space="preserve">Write the aggregation pipeline that returns total expense per category for a given month.</w:t>
            </w:r>
          </w:p>
          <w:p>
            <w:pPr>
              <w:pStyle w:val="ListParagraph"/>
              <w:numPr>
                <w:ilvl w:val="0"/>
                <w:numId w:val="2"/>
              </w:numPr>
              <w:spacing w:after="40"/>
            </w:pPr>
            <w:r>
              <w:rPr>
                <w:rFonts w:ascii="Calibri" w:cs="Calibri" w:eastAsia="Calibri" w:hAnsi="Calibri"/>
                <w:sz w:val="20"/>
                <w:szCs w:val="20"/>
              </w:rPr>
              <w:t xml:space="preserve">Why aggregate in MongoDB instead of fetching all documents and reducing in Node?</w:t>
            </w:r>
          </w:p>
          <w:p>
            <w:pPr>
              <w:pStyle w:val="ListParagraph"/>
              <w:numPr>
                <w:ilvl w:val="0"/>
                <w:numId w:val="2"/>
              </w:numPr>
              <w:spacing w:after="40"/>
            </w:pPr>
            <w:r>
              <w:rPr>
                <w:rFonts w:ascii="Calibri" w:cs="Calibri" w:eastAsia="Calibri" w:hAnsi="Calibri"/>
                <w:sz w:val="20"/>
                <w:szCs w:val="20"/>
              </w:rPr>
              <w:t xml:space="preserve">How do you store currency amounts safely? What is wrong with a JavaScript float?</w:t>
            </w:r>
          </w:p>
          <w:p>
            <w:pPr>
              <w:pStyle w:val="ListParagraph"/>
              <w:numPr>
                <w:ilvl w:val="0"/>
                <w:numId w:val="2"/>
              </w:numPr>
              <w:spacing w:after="40"/>
            </w:pPr>
            <w:r>
              <w:rPr>
                <w:rFonts w:ascii="Calibri" w:cs="Calibri" w:eastAsia="Calibri" w:hAnsi="Calibri"/>
                <w:sz w:val="20"/>
                <w:szCs w:val="20"/>
              </w:rPr>
              <w:t xml:space="preserve">Which compound index supports your date-range query, and does index order matter?</w:t>
            </w:r>
          </w:p>
          <w:p>
            <w:pPr>
              <w:pStyle w:val="ListParagraph"/>
              <w:numPr>
                <w:ilvl w:val="0"/>
                <w:numId w:val="2"/>
              </w:numPr>
              <w:spacing w:after="40"/>
            </w:pPr>
            <w:r>
              <w:rPr>
                <w:rFonts w:ascii="Calibri" w:cs="Calibri" w:eastAsia="Calibri" w:hAnsi="Calibri"/>
                <w:sz w:val="20"/>
                <w:szCs w:val="20"/>
              </w:rPr>
              <w:t xml:space="preserve">How do you run scheduled jobs when your host puts the instance to sleep?</w:t>
            </w:r>
          </w:p>
          <w:p>
            <w:pPr>
              <w:pStyle w:val="ListParagraph"/>
              <w:numPr>
                <w:ilvl w:val="0"/>
                <w:numId w:val="2"/>
              </w:numPr>
              <w:spacing w:after="40"/>
            </w:pPr>
            <w:r>
              <w:rPr>
                <w:rFonts w:ascii="Calibri" w:cs="Calibri" w:eastAsia="Calibri" w:hAnsi="Calibri"/>
                <w:sz w:val="20"/>
                <w:szCs w:val="20"/>
              </w:rPr>
              <w:t xml:space="preserve">Two users in different time zones request this month's report - what breaks?</w:t>
            </w:r>
          </w:p>
        </w:tc>
      </w:tr>
      <w:tr>
        <w:tc>
          <w:tcPr>
            <w:tcW w:type="dxa" w:w="2200"/>
            <w:shd w:fill="DDEEE2" w:color="auto" w:val="clear"/>
            <w:tcMar>
              <w:top w:type="dxa" w:w="80"/>
              <w:left w:type="dxa" w:w="120"/>
              <w:bottom w:type="dxa" w:w="80"/>
              <w:right w:type="dxa" w:w="120"/>
            </w:tcMar>
            <w:vAlign w:val="top"/>
          </w:tcPr>
          <w:p>
            <w:pPr>
              <w:spacing w:after="60"/>
            </w:pPr>
            <w:r>
              <w:rPr>
                <w:rFonts w:ascii="Calibri" w:cs="Calibri" w:eastAsia="Calibri" w:hAnsi="Calibri"/>
                <w:b/>
                <w:bCs/>
                <w:color w:val="14532D"/>
                <w:sz w:val="20"/>
                <w:szCs w:val="20"/>
              </w:rPr>
              <w:t xml:space="preserve">Stretch Goals</w:t>
            </w:r>
          </w:p>
        </w:tc>
        <w:tc>
          <w:tcPr>
            <w:tcW w:type="dxa" w:w="6826"/>
            <w:tcMar>
              <w:top w:type="dxa" w:w="80"/>
              <w:left w:type="dxa" w:w="120"/>
              <w:bottom w:type="dxa" w:w="80"/>
              <w:right w:type="dxa" w:w="120"/>
            </w:tcMar>
            <w:vAlign w:val="top"/>
          </w:tcPr>
          <w:p>
            <w:pPr>
              <w:pStyle w:val="ListParagraph"/>
              <w:numPr>
                <w:ilvl w:val="0"/>
                <w:numId w:val="2"/>
              </w:numPr>
              <w:spacing w:after="40"/>
            </w:pPr>
            <w:r>
              <w:rPr>
                <w:rFonts w:ascii="Calibri" w:cs="Calibri" w:eastAsia="Calibri" w:hAnsi="Calibri"/>
                <w:sz w:val="20"/>
                <w:szCs w:val="20"/>
              </w:rPr>
              <w:t xml:space="preserve">Add bank statement import (CSV/PDF) with automatic category prediction</w:t>
            </w:r>
          </w:p>
          <w:p>
            <w:pPr>
              <w:pStyle w:val="ListParagraph"/>
              <w:numPr>
                <w:ilvl w:val="0"/>
                <w:numId w:val="2"/>
              </w:numPr>
              <w:spacing w:after="40"/>
            </w:pPr>
            <w:r>
              <w:rPr>
                <w:rFonts w:ascii="Calibri" w:cs="Calibri" w:eastAsia="Calibri" w:hAnsi="Calibri"/>
                <w:sz w:val="20"/>
                <w:szCs w:val="20"/>
              </w:rPr>
              <w:t xml:space="preserve">Add Redis caching for report endpoints with invalidation on new transactions</w:t>
            </w:r>
          </w:p>
          <w:p>
            <w:pPr>
              <w:pStyle w:val="ListParagraph"/>
              <w:numPr>
                <w:ilvl w:val="0"/>
                <w:numId w:val="2"/>
              </w:numPr>
              <w:spacing w:after="40"/>
            </w:pPr>
            <w:r>
              <w:rPr>
                <w:rFonts w:ascii="Calibri" w:cs="Calibri" w:eastAsia="Calibri" w:hAnsi="Calibri"/>
                <w:sz w:val="20"/>
                <w:szCs w:val="20"/>
              </w:rPr>
              <w:t xml:space="preserve">Add a PDF report generator with Puppeteer or pdfkit emailed monthly</w:t>
            </w:r>
          </w:p>
          <w:p>
            <w:pPr>
              <w:pStyle w:val="ListParagraph"/>
              <w:numPr>
                <w:ilvl w:val="0"/>
                <w:numId w:val="2"/>
              </w:numPr>
              <w:spacing w:after="40"/>
            </w:pPr>
            <w:r>
              <w:rPr>
                <w:rFonts w:ascii="Calibri" w:cs="Calibri" w:eastAsia="Calibri" w:hAnsi="Calibri"/>
                <w:sz w:val="20"/>
                <w:szCs w:val="20"/>
              </w:rPr>
              <w:t xml:space="preserve">Add goal-based savings tracking with projections</w:t>
            </w:r>
          </w:p>
        </w:tc>
      </w:tr>
      <w:tr>
        <w:tc>
          <w:tcPr>
            <w:tcW w:type="dxa" w:w="2200"/>
            <w:shd w:fill="DDEEE2" w:color="auto" w:val="clear"/>
            <w:tcMar>
              <w:top w:type="dxa" w:w="80"/>
              <w:left w:type="dxa" w:w="120"/>
              <w:bottom w:type="dxa" w:w="80"/>
              <w:right w:type="dxa" w:w="120"/>
            </w:tcMar>
            <w:vAlign w:val="top"/>
          </w:tcPr>
          <w:p>
            <w:pPr>
              <w:spacing w:after="60"/>
            </w:pPr>
            <w:r>
              <w:rPr>
                <w:rFonts w:ascii="Calibri" w:cs="Calibri" w:eastAsia="Calibri" w:hAnsi="Calibri"/>
                <w:b/>
                <w:bCs/>
                <w:color w:val="14532D"/>
                <w:sz w:val="20"/>
                <w:szCs w:val="20"/>
              </w:rPr>
              <w:t xml:space="preserve">Evaluation Rubric Hint</w:t>
            </w:r>
          </w:p>
        </w:tc>
        <w:tc>
          <w:tcPr>
            <w:tcW w:type="dxa" w:w="6826"/>
            <w:tcMar>
              <w:top w:type="dxa" w:w="80"/>
              <w:left w:type="dxa" w:w="120"/>
              <w:bottom w:type="dxa" w:w="80"/>
              <w:right w:type="dxa" w:w="120"/>
            </w:tcMar>
            <w:vAlign w:val="top"/>
          </w:tcPr>
          <w:p>
            <w:pPr>
              <w:spacing w:after="60"/>
            </w:pPr>
            <w:r>
              <w:rPr>
                <w:rFonts w:ascii="Calibri" w:cs="Calibri" w:eastAsia="Calibri" w:hAnsi="Calibri"/>
                <w:sz w:val="20"/>
                <w:szCs w:val="20"/>
              </w:rPr>
              <w:t xml:space="preserve">Backend: all summary numbers must come from aggregation pipelines, with zero client-side totalling of full datasets. Deployment: the scheduled job must demonstrably run on the live environment, evidenced in the host logs.</w:t>
            </w:r>
          </w:p>
        </w:tc>
      </w:tr>
    </w:tbl>
    <w:p>
      <w:r>
        <w:br w:type="page"/>
      </w:r>
    </w:p>
    <w:sectPr>
      <w:headerReference w:type="default" r:id="rId7"/>
      <w:footerReference w:type="default" r:id="rId8"/>
      <w:pgSz w:w="11906" w:h="16838"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EEE2" w:sz="4"/>
      </w:pBdr>
      <w:jc w:val="right"/>
    </w:pPr>
    <w:r>
      <w:rPr>
        <w:rFonts w:ascii="Calibri" w:cs="Calibri" w:eastAsia="Calibri" w:hAnsi="Calibri"/>
        <w:color w:val="7F7F7F"/>
        <w:sz w:val="16"/>
        <w:szCs w:val="16"/>
      </w:rPr>
      <w:t xml:space="preserve">Hitbullseye  |  20 Complete MERN Projects with Deployment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 Complete MERN Stack Projects with Deployment</dc:title>
  <dc:creator>Hitbullseye Full-Stack Engineering Mentorship Team</dc:creator>
  <dc:description>Tiered MERN curriculum with data models, API design, deployment blueprints, interview angles and rubrics</dc:description>
  <cp:lastModifiedBy>Un-named</cp:lastModifiedBy>
  <cp:revision>1</cp:revision>
  <dcterms:created xsi:type="dcterms:W3CDTF">2026-07-27T07:08:18.290Z</dcterms:created>
  <dcterms:modified xsi:type="dcterms:W3CDTF">2026-07-27T07:08:18.311Z</dcterms:modified>
</cp:coreProperties>
</file>

<file path=docProps/custom.xml><?xml version="1.0" encoding="utf-8"?>
<Properties xmlns="http://schemas.openxmlformats.org/officeDocument/2006/custom-properties" xmlns:vt="http://schemas.openxmlformats.org/officeDocument/2006/docPropsVTypes"/>
</file>