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E5327">
      <w:pPr>
        <w:jc w:val="center"/>
        <w:rPr>
          <w:rFonts w:hint="eastAsia" w:ascii="黑体" w:hAnsi="黑体" w:eastAsia="黑体" w:cs="黑体"/>
          <w:b/>
          <w:bCs/>
          <w:sz w:val="32"/>
          <w:szCs w:val="32"/>
          <w:lang w:eastAsia="zh-CN"/>
        </w:rPr>
      </w:pPr>
      <w:r>
        <w:rPr>
          <w:rFonts w:hint="eastAsia"/>
          <w:b/>
          <w:sz w:val="24"/>
          <w:szCs w:val="24"/>
        </w:rPr>
        <w:t>作者简介：</w:t>
      </w:r>
      <w:r>
        <w:rPr>
          <w:rFonts w:hint="eastAsia"/>
          <w:sz w:val="24"/>
          <w:szCs w:val="24"/>
          <w:lang w:val="en-US" w:eastAsia="zh-CN"/>
        </w:rPr>
        <w:t>杜兴良</w:t>
      </w:r>
      <w:r>
        <w:rPr>
          <w:rFonts w:hint="eastAsia"/>
          <w:sz w:val="24"/>
          <w:szCs w:val="24"/>
        </w:rPr>
        <w:t>、</w:t>
      </w:r>
      <w:r>
        <w:rPr>
          <w:rFonts w:hint="eastAsia"/>
          <w:sz w:val="24"/>
          <w:szCs w:val="24"/>
          <w:lang w:val="en-US" w:eastAsia="zh-CN"/>
        </w:rPr>
        <w:t>男</w:t>
      </w:r>
      <w:r>
        <w:rPr>
          <w:rFonts w:hint="eastAsia"/>
          <w:sz w:val="24"/>
          <w:szCs w:val="24"/>
        </w:rPr>
        <w:t>、</w:t>
      </w:r>
      <w:r>
        <w:rPr>
          <w:rFonts w:hint="eastAsia"/>
          <w:sz w:val="24"/>
          <w:szCs w:val="24"/>
          <w:lang w:val="en-US" w:eastAsia="zh-CN"/>
        </w:rPr>
        <w:t>宜昌市烟草公司长阳营销部</w:t>
      </w:r>
      <w:r>
        <w:rPr>
          <w:rFonts w:hint="eastAsia"/>
          <w:sz w:val="24"/>
          <w:szCs w:val="24"/>
        </w:rPr>
        <w:t>、</w:t>
      </w:r>
      <w:r>
        <w:rPr>
          <w:rFonts w:hint="eastAsia"/>
          <w:sz w:val="24"/>
          <w:szCs w:val="24"/>
          <w:lang w:val="en-US" w:eastAsia="zh-CN"/>
        </w:rPr>
        <w:t>渔峡口烟叶收购站副站长</w:t>
      </w:r>
      <w:r>
        <w:rPr>
          <w:rFonts w:hint="eastAsia"/>
          <w:sz w:val="24"/>
          <w:szCs w:val="24"/>
        </w:rPr>
        <w:t>、</w:t>
      </w:r>
      <w:r>
        <w:rPr>
          <w:rFonts w:hint="eastAsia"/>
          <w:sz w:val="24"/>
          <w:szCs w:val="24"/>
          <w:lang w:val="en-US" w:eastAsia="zh-CN"/>
        </w:rPr>
        <w:t>18771871653</w:t>
      </w:r>
      <w:r>
        <w:rPr>
          <w:rFonts w:hint="eastAsia"/>
          <w:sz w:val="24"/>
          <w:szCs w:val="24"/>
        </w:rPr>
        <w:t>、</w:t>
      </w:r>
      <w:r>
        <w:rPr>
          <w:rFonts w:hint="eastAsia"/>
          <w:sz w:val="24"/>
          <w:szCs w:val="24"/>
          <w:lang w:val="en-US" w:eastAsia="zh-CN"/>
        </w:rPr>
        <w:t>504862680@qq.com</w:t>
      </w:r>
      <w:r>
        <w:rPr>
          <w:rFonts w:hint="eastAsia"/>
          <w:sz w:val="24"/>
          <w:szCs w:val="24"/>
        </w:rPr>
        <w:t>。</w:t>
      </w:r>
    </w:p>
    <w:p w14:paraId="3E57B00F">
      <w:pPr>
        <w:jc w:val="center"/>
        <w:rPr>
          <w:rFonts w:hint="eastAsia" w:ascii="黑体" w:hAnsi="黑体" w:eastAsia="黑体" w:cs="黑体"/>
          <w:b/>
          <w:bCs/>
          <w:sz w:val="32"/>
          <w:szCs w:val="32"/>
          <w:lang w:eastAsia="zh-CN"/>
        </w:rPr>
      </w:pPr>
    </w:p>
    <w:p w14:paraId="5C40F328">
      <w:pPr>
        <w:jc w:val="center"/>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新时期市场导向的白肋烟生产技术集成与创新</w:t>
      </w:r>
    </w:p>
    <w:p w14:paraId="09A66AB8">
      <w:pPr>
        <w:jc w:val="center"/>
        <w:rPr>
          <w:rFonts w:hint="default" w:asciiTheme="majorEastAsia" w:hAnsiTheme="majorEastAsia" w:eastAsiaTheme="majorEastAsia" w:cstheme="majorEastAsia"/>
          <w:b w:val="0"/>
          <w:bCs w:val="0"/>
          <w:color w:val="000000" w:themeColor="text1"/>
          <w:sz w:val="36"/>
          <w:szCs w:val="36"/>
          <w:lang w:val="en-US" w:eastAsia="zh-CN"/>
          <w14:textFill>
            <w14:solidFill>
              <w14:schemeClr w14:val="tx1"/>
            </w14:solidFill>
          </w14:textFill>
        </w:rPr>
      </w:pPr>
      <w:r>
        <w:rPr>
          <w:rFonts w:hint="eastAsia" w:ascii="仿宋" w:hAnsi="仿宋" w:eastAsia="仿宋" w:cs="仿宋"/>
          <w:b w:val="0"/>
          <w:bCs w:val="0"/>
          <w:color w:val="000000" w:themeColor="text1"/>
          <w:sz w:val="24"/>
          <w:szCs w:val="24"/>
          <w:lang w:val="en-US" w:eastAsia="zh-CN"/>
          <w14:textFill>
            <w14:solidFill>
              <w14:schemeClr w14:val="tx1"/>
            </w14:solidFill>
          </w14:textFill>
        </w:rPr>
        <w:t>杜兴良</w:t>
      </w:r>
    </w:p>
    <w:p w14:paraId="34FBF845">
      <w:pPr>
        <w:jc w:val="cente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湖北省烟草公司宜昌市公司，湖北 宜昌  443000</w:t>
      </w:r>
    </w:p>
    <w:p w14:paraId="7973A286">
      <w:pPr>
        <w:numPr>
          <w:ilvl w:val="0"/>
          <w:numId w:val="0"/>
        </w:numPr>
        <w:spacing w:line="360" w:lineRule="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摘  要：</w:t>
      </w:r>
      <w:r>
        <w:rPr>
          <w:rFonts w:hint="eastAsia" w:asciiTheme="minorEastAsia" w:hAnsiTheme="minorEastAsia" w:cstheme="minorEastAsia"/>
          <w:b w:val="0"/>
          <w:bCs w:val="0"/>
          <w:sz w:val="24"/>
          <w:szCs w:val="24"/>
          <w:lang w:val="en-US" w:eastAsia="zh-CN"/>
        </w:rPr>
        <w:t>研究通过品种筛选、育苗方式、生化调控、调制及储存等环节，对标新时期市场导向，提升白肋烟均质化生产水平。结果表明：品种鄂烟1号（P1）上等烟率最高（90.12%），变异系数最小（0.0034）；地布育苗（A3）显著提升一级侧根数和上等烟比例（91.97%），降低变异系数（0.0089）；叶面喷施表油菜素内酯（EBR）中，留叶16片+1μmol/L EBR（B1C3）或留叶20片+10μmol/L EBR（B2C3）显著提高第10叶位叶面积及上等烟率，降低离散度；0.5mg/ml紫苏精油（D2）抑霉效果最佳（93.07%），上等烟比例最高（91.80%）；薄膜半封闭储存（E2/E3）显著降低霉变率（≤0.60‰），提升上等烟比例（≥92.43%）。</w:t>
      </w:r>
    </w:p>
    <w:p w14:paraId="5E1E607C">
      <w:pPr>
        <w:numPr>
          <w:ilvl w:val="0"/>
          <w:numId w:val="0"/>
        </w:numPr>
        <w:spacing w:line="360" w:lineRule="auto"/>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关键词：市场导向；白肋烟；均质化生产；栽培措施；</w:t>
      </w:r>
    </w:p>
    <w:p w14:paraId="4A13172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color w:val="000000"/>
          <w:kern w:val="0"/>
          <w:sz w:val="24"/>
          <w:szCs w:val="24"/>
        </w:rPr>
      </w:pPr>
    </w:p>
    <w:p w14:paraId="38F9A8B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白肋烟中部叶是白肋烟特征和特性的最充分体现，但市场需求对上部烟的青睐以及中部烟叶往往出现叶片不够完整、不够均匀、油分不够突出等情况。随着烤烟“中棵烟+高油分”项目的推进，对白肋烟中部叶质量的研究和提升提供新的思路，通过在</w:t>
      </w:r>
      <w:r>
        <w:rPr>
          <w:rFonts w:hint="eastAsia" w:ascii="宋体" w:hAnsi="宋体" w:eastAsia="宋体" w:cs="宋体"/>
          <w:color w:val="000000"/>
          <w:kern w:val="0"/>
          <w:sz w:val="24"/>
          <w:szCs w:val="24"/>
          <w:lang w:val="en-US" w:eastAsia="zh-CN"/>
        </w:rPr>
        <w:t>品种示范、</w:t>
      </w:r>
      <w:r>
        <w:rPr>
          <w:rFonts w:hint="eastAsia" w:ascii="宋体" w:hAnsi="宋体" w:eastAsia="宋体" w:cs="宋体"/>
          <w:color w:val="000000"/>
          <w:kern w:val="0"/>
          <w:sz w:val="24"/>
          <w:szCs w:val="24"/>
        </w:rPr>
        <w:t>栽培、调制、储存等技术上</w:t>
      </w:r>
      <w:r>
        <w:rPr>
          <w:rFonts w:hint="eastAsia" w:ascii="宋体" w:hAnsi="宋体" w:eastAsia="宋体" w:cs="宋体"/>
          <w:color w:val="000000"/>
          <w:kern w:val="0"/>
          <w:sz w:val="24"/>
          <w:szCs w:val="24"/>
          <w:lang w:val="en-US" w:eastAsia="zh-CN"/>
        </w:rPr>
        <w:t>以期适应新时期的市场导向</w:t>
      </w:r>
      <w:r>
        <w:rPr>
          <w:rFonts w:hint="eastAsia" w:ascii="宋体" w:hAnsi="宋体" w:eastAsia="宋体" w:cs="宋体"/>
          <w:color w:val="000000"/>
          <w:kern w:val="0"/>
          <w:sz w:val="24"/>
          <w:szCs w:val="24"/>
        </w:rPr>
        <w:t>，提高栽培平衡度、采收成熟度、储存后熟度来达到提升白肋烟的“完整性，油润性、均衡性”，并通过生化调控对白肋烟中部叶耐熟性的影响，为指导实际生产、满足工业需求初步建立白肋烟成熟采收表型标准，提高科学晾制、贮存水平，从而</w:t>
      </w:r>
      <w:r>
        <w:rPr>
          <w:rFonts w:hint="eastAsia" w:ascii="宋体" w:hAnsi="宋体" w:eastAsia="宋体" w:cs="宋体"/>
          <w:color w:val="000000"/>
          <w:kern w:val="0"/>
          <w:sz w:val="24"/>
          <w:szCs w:val="24"/>
          <w:lang w:val="en-US" w:eastAsia="zh-CN"/>
        </w:rPr>
        <w:t>提升白肋烟均质化生产水平，</w:t>
      </w:r>
      <w:r>
        <w:rPr>
          <w:rFonts w:hint="eastAsia" w:ascii="宋体" w:hAnsi="宋体" w:eastAsia="宋体" w:cs="宋体"/>
          <w:color w:val="000000"/>
          <w:kern w:val="0"/>
          <w:sz w:val="24"/>
          <w:szCs w:val="24"/>
        </w:rPr>
        <w:t>实现白肋烟</w:t>
      </w:r>
      <w:r>
        <w:rPr>
          <w:rFonts w:hint="eastAsia" w:ascii="宋体" w:hAnsi="宋体" w:eastAsia="宋体" w:cs="宋体"/>
          <w:color w:val="000000"/>
          <w:kern w:val="0"/>
          <w:sz w:val="24"/>
          <w:szCs w:val="24"/>
          <w:lang w:val="en-US" w:eastAsia="zh-CN"/>
        </w:rPr>
        <w:t>生产技术集成与创新</w:t>
      </w:r>
      <w:r>
        <w:rPr>
          <w:rFonts w:hint="eastAsia" w:ascii="宋体" w:hAnsi="宋体" w:eastAsia="宋体" w:cs="宋体"/>
          <w:color w:val="000000"/>
          <w:kern w:val="0"/>
          <w:sz w:val="24"/>
          <w:szCs w:val="24"/>
          <w:lang w:eastAsia="zh-CN"/>
        </w:rPr>
        <w:t>。</w:t>
      </w:r>
    </w:p>
    <w:p w14:paraId="5353127C">
      <w:pPr>
        <w:keepNext w:val="0"/>
        <w:keepLines w:val="0"/>
        <w:pageBreakBefore w:val="0"/>
        <w:widowControl w:val="0"/>
        <w:numPr>
          <w:ilvl w:val="0"/>
          <w:numId w:val="0"/>
        </w:numPr>
        <w:kinsoku/>
        <w:wordWrap/>
        <w:overflowPunct/>
        <w:topLinePunct w:val="0"/>
        <w:autoSpaceDE/>
        <w:autoSpaceDN/>
        <w:bidi w:val="0"/>
        <w:spacing w:line="360" w:lineRule="auto"/>
        <w:ind w:firstLine="480"/>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rPr>
        <w:t>不同品种叶片农艺性状、经济性状、烟碱含量、总氮含量及评吸质量均存在差异</w:t>
      </w:r>
      <w:r>
        <w:rPr>
          <w:rFonts w:hint="eastAsia" w:ascii="宋体" w:hAnsi="宋体" w:eastAsia="宋体" w:cs="宋体"/>
          <w:color w:val="000000"/>
          <w:kern w:val="0"/>
          <w:sz w:val="24"/>
          <w:szCs w:val="24"/>
          <w:vertAlign w:val="superscript"/>
          <w:lang w:val="en-US" w:eastAsia="zh-CN"/>
        </w:rPr>
        <w:t>[1]</w:t>
      </w:r>
      <w:r>
        <w:rPr>
          <w:rFonts w:hint="eastAsia" w:ascii="宋体" w:hAnsi="宋体" w:eastAsia="宋体" w:cs="宋体"/>
          <w:color w:val="000000"/>
          <w:kern w:val="0"/>
          <w:sz w:val="24"/>
          <w:szCs w:val="24"/>
          <w:lang w:val="en-US" w:eastAsia="zh-CN"/>
        </w:rPr>
        <w:t>,此外，</w:t>
      </w:r>
      <w:r>
        <w:rPr>
          <w:rFonts w:hint="eastAsia" w:ascii="宋体" w:hAnsi="宋体" w:eastAsia="宋体" w:cs="宋体"/>
          <w:color w:val="000000"/>
          <w:kern w:val="0"/>
          <w:sz w:val="24"/>
          <w:szCs w:val="24"/>
        </w:rPr>
        <w:t>农艺措施</w:t>
      </w:r>
      <w:r>
        <w:rPr>
          <w:rFonts w:hint="eastAsia" w:ascii="宋体" w:hAnsi="宋体" w:eastAsia="宋体" w:cs="宋体"/>
          <w:color w:val="000000"/>
          <w:kern w:val="0"/>
          <w:sz w:val="24"/>
          <w:szCs w:val="24"/>
          <w:lang w:val="en-US" w:eastAsia="zh-CN"/>
        </w:rPr>
        <w:t>也</w:t>
      </w:r>
      <w:r>
        <w:rPr>
          <w:rFonts w:hint="eastAsia" w:ascii="宋体" w:hAnsi="宋体" w:eastAsia="宋体" w:cs="宋体"/>
          <w:color w:val="000000"/>
          <w:kern w:val="0"/>
          <w:sz w:val="24"/>
          <w:szCs w:val="24"/>
        </w:rPr>
        <w:t>是烟叶生产中的主要要素之一，对烟叶的产质量有很大的影响</w:t>
      </w:r>
      <w:r>
        <w:rPr>
          <w:rFonts w:hint="eastAsia" w:ascii="宋体" w:hAnsi="宋体" w:eastAsia="宋体" w:cs="宋体"/>
          <w:color w:val="000000"/>
          <w:kern w:val="0"/>
          <w:sz w:val="24"/>
          <w:szCs w:val="24"/>
          <w:vertAlign w:val="superscript"/>
          <w:lang w:val="en-US" w:eastAsia="zh-CN"/>
        </w:rPr>
        <w:t>[2]</w:t>
      </w:r>
      <w:r>
        <w:rPr>
          <w:rFonts w:hint="eastAsia" w:ascii="宋体" w:hAnsi="宋体" w:eastAsia="宋体" w:cs="宋体"/>
          <w:color w:val="000000"/>
          <w:kern w:val="0"/>
          <w:sz w:val="24"/>
          <w:szCs w:val="24"/>
        </w:rPr>
        <w:t>，如四川什邡市种植的雪茄烟使用初花期打顶方式较现蕾期和盛花期打顶，晾制后烟叶化学成分更为协调，感官质量评价也较好</w:t>
      </w:r>
      <w:r>
        <w:rPr>
          <w:rFonts w:hint="eastAsia" w:ascii="宋体" w:hAnsi="宋体" w:eastAsia="宋体" w:cs="宋体"/>
          <w:color w:val="000000"/>
          <w:kern w:val="0"/>
          <w:sz w:val="24"/>
          <w:szCs w:val="24"/>
          <w:vertAlign w:val="superscript"/>
          <w:lang w:val="en-US" w:eastAsia="zh-CN"/>
        </w:rPr>
        <w:t>[3]</w:t>
      </w:r>
      <w:r>
        <w:rPr>
          <w:rFonts w:hint="eastAsia" w:ascii="宋体" w:hAnsi="宋体" w:eastAsia="宋体" w:cs="宋体"/>
          <w:color w:val="000000"/>
          <w:kern w:val="0"/>
          <w:sz w:val="24"/>
          <w:szCs w:val="24"/>
        </w:rPr>
        <w:t>；随着留叶数的降低，烟株腰叶、顶叶长宽呈增加趋势，烟叶产量、产值呈降低趋势</w:t>
      </w:r>
      <w:r>
        <w:rPr>
          <w:rFonts w:hint="eastAsia" w:ascii="宋体" w:hAnsi="宋体" w:eastAsia="宋体" w:cs="宋体"/>
          <w:color w:val="000000"/>
          <w:kern w:val="0"/>
          <w:sz w:val="24"/>
          <w:szCs w:val="24"/>
          <w:vertAlign w:val="superscript"/>
          <w:lang w:val="en-US" w:eastAsia="zh-CN"/>
        </w:rPr>
        <w:t>[4]</w:t>
      </w:r>
      <w:r>
        <w:rPr>
          <w:rFonts w:hint="eastAsia" w:ascii="宋体" w:hAnsi="宋体" w:eastAsia="宋体" w:cs="宋体"/>
          <w:color w:val="000000"/>
          <w:kern w:val="0"/>
          <w:sz w:val="24"/>
          <w:szCs w:val="24"/>
          <w:lang w:val="en-US" w:eastAsia="zh-CN"/>
        </w:rPr>
        <w:t>。</w:t>
      </w:r>
      <w:r>
        <w:rPr>
          <w:rFonts w:hint="eastAsia" w:ascii="宋体" w:hAnsi="宋体" w:eastAsia="宋体" w:cs="宋体"/>
          <w:color w:val="000000"/>
          <w:kern w:val="0"/>
          <w:sz w:val="24"/>
          <w:szCs w:val="24"/>
        </w:rPr>
        <w:t>此外，还有研究报道称不同生长调节物质可以影响烟叶的生长发育和生化特性，如</w:t>
      </w:r>
      <w:r>
        <w:rPr>
          <w:rFonts w:hint="eastAsia" w:ascii="宋体" w:hAnsi="宋体" w:eastAsia="宋体" w:cs="宋体"/>
          <w:color w:val="000000"/>
          <w:kern w:val="0"/>
          <w:sz w:val="24"/>
          <w:szCs w:val="24"/>
          <w:lang w:val="en-US" w:eastAsia="zh-CN"/>
        </w:rPr>
        <w:t>外源赤霉素</w:t>
      </w:r>
      <w:r>
        <w:rPr>
          <w:rFonts w:hint="eastAsia" w:ascii="宋体" w:hAnsi="宋体" w:eastAsia="宋体" w:cs="宋体"/>
          <w:color w:val="000000"/>
          <w:kern w:val="0"/>
          <w:sz w:val="24"/>
          <w:szCs w:val="24"/>
        </w:rPr>
        <w:t>可以提高</w:t>
      </w:r>
      <w:r>
        <w:rPr>
          <w:rFonts w:hint="eastAsia" w:ascii="宋体" w:hAnsi="宋体" w:eastAsia="宋体" w:cs="宋体"/>
          <w:color w:val="000000"/>
          <w:kern w:val="0"/>
          <w:sz w:val="24"/>
          <w:szCs w:val="24"/>
          <w:lang w:val="en-US" w:eastAsia="zh-CN"/>
        </w:rPr>
        <w:t>作物</w:t>
      </w:r>
      <w:r>
        <w:rPr>
          <w:rFonts w:hint="eastAsia" w:ascii="宋体" w:hAnsi="宋体" w:eastAsia="宋体" w:cs="宋体"/>
          <w:color w:val="000000"/>
          <w:kern w:val="0"/>
          <w:sz w:val="24"/>
          <w:szCs w:val="24"/>
        </w:rPr>
        <w:t>株高、茎粗、有效叶数、最大叶面积和根系活力</w:t>
      </w:r>
      <w:r>
        <w:rPr>
          <w:rFonts w:hint="eastAsia" w:ascii="宋体" w:hAnsi="宋体" w:eastAsia="宋体" w:cs="宋体"/>
          <w:color w:val="000000"/>
          <w:kern w:val="0"/>
          <w:sz w:val="24"/>
          <w:szCs w:val="24"/>
          <w:vertAlign w:val="superscript"/>
          <w:lang w:val="en-US" w:eastAsia="zh-CN"/>
        </w:rPr>
        <w:t>[5]</w:t>
      </w:r>
      <w:r>
        <w:rPr>
          <w:rFonts w:hint="eastAsia" w:ascii="宋体" w:hAnsi="宋体" w:eastAsia="宋体" w:cs="宋体"/>
          <w:color w:val="000000"/>
          <w:kern w:val="0"/>
          <w:sz w:val="24"/>
          <w:szCs w:val="24"/>
          <w:lang w:val="en-US" w:eastAsia="zh-CN"/>
        </w:rPr>
        <w:t>，</w:t>
      </w:r>
      <w:r>
        <w:rPr>
          <w:rFonts w:hint="eastAsia" w:ascii="宋体" w:hAnsi="宋体" w:eastAsia="宋体" w:cs="宋体"/>
          <w:color w:val="000000"/>
          <w:kern w:val="0"/>
          <w:sz w:val="24"/>
          <w:szCs w:val="24"/>
        </w:rPr>
        <w:t>栽培措施的不同会导致烟叶生育进程或快或慢，从而影响烟叶田间耐属性和调制特性，导致烟叶产量和质量下降</w:t>
      </w:r>
      <w:r>
        <w:rPr>
          <w:rFonts w:hint="eastAsia" w:ascii="宋体" w:hAnsi="宋体" w:eastAsia="宋体" w:cs="宋体"/>
          <w:color w:val="000000"/>
          <w:kern w:val="0"/>
          <w:sz w:val="24"/>
          <w:szCs w:val="24"/>
          <w:vertAlign w:val="superscript"/>
          <w:lang w:val="en-US" w:eastAsia="zh-CN"/>
        </w:rPr>
        <w:t>[6]</w:t>
      </w:r>
      <w:r>
        <w:rPr>
          <w:rFonts w:hint="eastAsia" w:ascii="宋体" w:hAnsi="宋体" w:eastAsia="宋体" w:cs="宋体"/>
          <w:color w:val="000000"/>
          <w:kern w:val="0"/>
          <w:sz w:val="24"/>
          <w:szCs w:val="24"/>
          <w:lang w:val="en-US" w:eastAsia="zh-CN"/>
        </w:rPr>
        <w:t>，</w:t>
      </w:r>
      <w:r>
        <w:rPr>
          <w:rFonts w:hint="eastAsia" w:ascii="宋体" w:hAnsi="宋体" w:eastAsia="宋体" w:cs="宋体"/>
          <w:color w:val="000000"/>
          <w:kern w:val="0"/>
          <w:sz w:val="24"/>
          <w:szCs w:val="24"/>
        </w:rPr>
        <w:t>目前已有大量研究表明，合理的栽培措施是生产出优质烟叶的前提，如每亩施氮量45.9285-50.1690公斤、种植密度为每公顷15720-16045株时，豫中烟区上六片烟叶的产值和感官质量可达最佳</w:t>
      </w:r>
      <w:r>
        <w:rPr>
          <w:rFonts w:hint="eastAsia" w:ascii="宋体" w:hAnsi="宋体" w:eastAsia="宋体" w:cs="宋体"/>
          <w:color w:val="000000"/>
          <w:kern w:val="0"/>
          <w:sz w:val="24"/>
          <w:szCs w:val="24"/>
          <w:vertAlign w:val="superscript"/>
          <w:lang w:val="en-US" w:eastAsia="zh-CN"/>
        </w:rPr>
        <w:t>[7]</w:t>
      </w:r>
      <w:r>
        <w:rPr>
          <w:rFonts w:hint="eastAsia" w:ascii="宋体" w:hAnsi="宋体" w:eastAsia="宋体" w:cs="宋体"/>
          <w:color w:val="000000"/>
          <w:kern w:val="0"/>
          <w:sz w:val="24"/>
          <w:szCs w:val="24"/>
          <w:lang w:val="en-US" w:eastAsia="zh-CN"/>
        </w:rPr>
        <w:t>。烟叶调制是进行酶促棕色化反应改变烟叶外观颜色的关键步骤，适度的棕色化反应有利于提升晾晒烟叶的品质，改善烟叶色度、均匀度、油润性</w:t>
      </w:r>
      <w:r>
        <w:rPr>
          <w:rFonts w:hint="eastAsia" w:ascii="宋体" w:hAnsi="宋体" w:eastAsia="宋体" w:cs="宋体"/>
          <w:color w:val="000000"/>
          <w:kern w:val="0"/>
          <w:sz w:val="24"/>
          <w:szCs w:val="24"/>
          <w:vertAlign w:val="superscript"/>
          <w:lang w:val="en-US" w:eastAsia="zh-CN"/>
        </w:rPr>
        <w:t>[8]</w:t>
      </w:r>
      <w:r>
        <w:rPr>
          <w:rFonts w:hint="eastAsia" w:ascii="宋体" w:hAnsi="宋体" w:eastAsia="宋体" w:cs="宋体"/>
          <w:color w:val="000000"/>
          <w:kern w:val="0"/>
          <w:sz w:val="24"/>
          <w:szCs w:val="24"/>
          <w:lang w:val="en-US" w:eastAsia="zh-CN"/>
        </w:rPr>
        <w:t>。而目前烟叶采用的是分叶位采收和调制，烟叶收购前仍有较长一段时间是贮存在烟农家中，导致酶促棕色化反应过度，烟叶油润性降低、均匀度下降。</w:t>
      </w:r>
      <w:r>
        <w:rPr>
          <w:rFonts w:hint="eastAsia" w:ascii="宋体" w:hAnsi="宋体" w:eastAsia="宋体" w:cs="宋体"/>
          <w:color w:val="000000"/>
          <w:kern w:val="0"/>
          <w:sz w:val="24"/>
          <w:szCs w:val="24"/>
        </w:rPr>
        <w:t>以上研究均表明采取合适的农艺措施可以促进烟株生长发育、生理生化特性以及调制后烟叶品质。</w:t>
      </w:r>
    </w:p>
    <w:p w14:paraId="2CA2CFE9">
      <w:pPr>
        <w:keepNext w:val="0"/>
        <w:keepLines w:val="0"/>
        <w:pageBreakBefore w:val="0"/>
        <w:widowControl w:val="0"/>
        <w:numPr>
          <w:ilvl w:val="0"/>
          <w:numId w:val="0"/>
        </w:numPr>
        <w:kinsoku/>
        <w:wordWrap/>
        <w:overflowPunct/>
        <w:topLinePunct w:val="0"/>
        <w:autoSpaceDE/>
        <w:autoSpaceDN/>
        <w:bidi w:val="0"/>
        <w:spacing w:line="360" w:lineRule="auto"/>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1材料和方法</w:t>
      </w:r>
    </w:p>
    <w:p w14:paraId="00A86827">
      <w:pPr>
        <w:keepNext w:val="0"/>
        <w:keepLines w:val="0"/>
        <w:pageBreakBefore w:val="0"/>
        <w:widowControl w:val="0"/>
        <w:numPr>
          <w:ilvl w:val="1"/>
          <w:numId w:val="1"/>
        </w:numPr>
        <w:kinsoku/>
        <w:wordWrap/>
        <w:overflowPunct/>
        <w:topLinePunct w:val="0"/>
        <w:autoSpaceDE/>
        <w:autoSpaceDN/>
        <w:bidi w:val="0"/>
        <w:spacing w:line="360" w:lineRule="auto"/>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供试材料和试验方法</w:t>
      </w:r>
    </w:p>
    <w:p w14:paraId="4C8507D5">
      <w:pPr>
        <w:keepNext w:val="0"/>
        <w:keepLines w:val="0"/>
        <w:pageBreakBefore w:val="0"/>
        <w:widowControl w:val="0"/>
        <w:numPr>
          <w:ilvl w:val="0"/>
          <w:numId w:val="0"/>
        </w:numPr>
        <w:kinsoku/>
        <w:wordWrap/>
        <w:overflowPunct/>
        <w:topLinePunct w:val="0"/>
        <w:autoSpaceDE/>
        <w:autoSpaceDN/>
        <w:bidi w:val="0"/>
        <w:spacing w:line="360" w:lineRule="auto"/>
        <w:ind w:leftChars="0" w:firstLine="480" w:firstLineChars="200"/>
        <w:textAlignment w:val="auto"/>
        <w:rPr>
          <w:rFonts w:hint="default" w:ascii="宋体" w:hAnsi="宋体" w:eastAsia="宋体" w:cs="宋体"/>
          <w:color w:val="000000"/>
          <w:kern w:val="0"/>
          <w:sz w:val="24"/>
          <w:szCs w:val="24"/>
          <w:lang w:val="en-US" w:eastAsia="zh-CN"/>
        </w:rPr>
      </w:pPr>
      <w:r>
        <w:rPr>
          <w:rFonts w:hint="default" w:ascii="Times New Roman" w:hAnsi="Times New Roman" w:eastAsia="宋体" w:cs="Times New Roman"/>
          <w:color w:val="000000"/>
          <w:kern w:val="0"/>
          <w:sz w:val="24"/>
          <w:szCs w:val="24"/>
          <w:lang w:val="en-US" w:eastAsia="zh-CN"/>
        </w:rPr>
        <w:t>试验</w:t>
      </w:r>
      <w:r>
        <w:rPr>
          <w:rFonts w:hint="eastAsia" w:ascii="Times New Roman" w:hAnsi="Times New Roman" w:eastAsia="宋体" w:cs="Times New Roman"/>
          <w:color w:val="000000"/>
          <w:kern w:val="0"/>
          <w:sz w:val="24"/>
          <w:szCs w:val="24"/>
          <w:lang w:val="en-US" w:eastAsia="zh-CN"/>
        </w:rPr>
        <w:t>于</w:t>
      </w:r>
      <w:r>
        <w:rPr>
          <w:rFonts w:hint="default" w:ascii="Times New Roman" w:hAnsi="Times New Roman" w:eastAsia="宋体" w:cs="Times New Roman"/>
          <w:color w:val="000000"/>
          <w:kern w:val="0"/>
          <w:sz w:val="24"/>
          <w:szCs w:val="24"/>
          <w:lang w:val="en-US" w:eastAsia="zh-CN"/>
        </w:rPr>
        <w:t>长阳土家族自治县资丘镇海拔1200、1400米烟区（30.3°N，110.7°E）进行，该地属亚热带大陆性夏热潮湿气候区，光照充足，热量丰富，雨量充沛，雨热同季。试验地势较为平坦，排灌方便，质地为黄棕壤，有机质含量32.3g/kg，碱解氮含量157.62g/kg，有效磷含量41.62g/kg，速效钾含量168.09g/kg，以白肋烟品种鄂烟1号为</w:t>
      </w:r>
      <w:r>
        <w:rPr>
          <w:rFonts w:hint="eastAsia" w:ascii="Times New Roman" w:hAnsi="Times New Roman" w:eastAsia="宋体" w:cs="Times New Roman"/>
          <w:color w:val="000000"/>
          <w:kern w:val="0"/>
          <w:sz w:val="24"/>
          <w:szCs w:val="24"/>
          <w:lang w:val="en-US" w:eastAsia="zh-CN"/>
        </w:rPr>
        <w:t>对照材料</w:t>
      </w:r>
      <w:r>
        <w:rPr>
          <w:rFonts w:hint="default" w:ascii="Times New Roman" w:hAnsi="Times New Roman" w:eastAsia="宋体" w:cs="Times New Roman"/>
          <w:color w:val="000000"/>
          <w:kern w:val="0"/>
          <w:sz w:val="24"/>
          <w:szCs w:val="24"/>
          <w:lang w:val="en-US" w:eastAsia="zh-CN"/>
        </w:rPr>
        <w:t>。</w:t>
      </w:r>
    </w:p>
    <w:p w14:paraId="0D7A0B65">
      <w:pPr>
        <w:keepNext w:val="0"/>
        <w:keepLines w:val="0"/>
        <w:pageBreakBefore w:val="0"/>
        <w:widowControl w:val="0"/>
        <w:numPr>
          <w:ilvl w:val="0"/>
          <w:numId w:val="0"/>
        </w:numPr>
        <w:kinsoku/>
        <w:wordWrap/>
        <w:overflowPunct/>
        <w:topLinePunct w:val="0"/>
        <w:autoSpaceDE/>
        <w:autoSpaceDN/>
        <w:bidi w:val="0"/>
        <w:spacing w:line="360" w:lineRule="auto"/>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1.2试验设计和田间管理</w:t>
      </w:r>
    </w:p>
    <w:p w14:paraId="65DFE16B">
      <w:pPr>
        <w:keepNext w:val="0"/>
        <w:keepLines w:val="0"/>
        <w:pageBreakBefore w:val="0"/>
        <w:widowControl w:val="0"/>
        <w:numPr>
          <w:ilvl w:val="0"/>
          <w:numId w:val="0"/>
        </w:numPr>
        <w:kinsoku/>
        <w:wordWrap/>
        <w:overflowPunct/>
        <w:topLinePunct w:val="0"/>
        <w:autoSpaceDE/>
        <w:autoSpaceDN/>
        <w:bidi w:val="0"/>
        <w:spacing w:line="360" w:lineRule="auto"/>
        <w:ind w:firstLine="480" w:firstLineChars="200"/>
        <w:textAlignment w:val="auto"/>
        <w:rPr>
          <w:rFonts w:hint="default" w:ascii="Times New Roman" w:hAnsi="Times New Roman" w:eastAsia="宋体" w:cs="Times New Roman"/>
          <w:color w:val="000000"/>
          <w:kern w:val="0"/>
          <w:sz w:val="24"/>
          <w:szCs w:val="24"/>
          <w:lang w:val="en-US" w:eastAsia="zh-CN"/>
        </w:rPr>
      </w:pPr>
      <w:r>
        <w:rPr>
          <w:rFonts w:hint="default" w:ascii="Times New Roman" w:hAnsi="Times New Roman" w:eastAsia="宋体" w:cs="Times New Roman"/>
          <w:color w:val="000000"/>
          <w:kern w:val="0"/>
          <w:sz w:val="24"/>
          <w:szCs w:val="24"/>
          <w:lang w:val="en-US" w:eastAsia="zh-CN"/>
        </w:rPr>
        <w:t>试分别设品种：鄂烟1号（P1）、14052(P2)、80851（P3）共3个处理，每个处理3次重复；育苗方式：常规漂浮育苗（A1）、湿润育苗（A2）、地布育苗（A3），共3个处理，3次重复；生化调控：留叶数（B1：16片；B2：20片），2,4-表油菜素内酯（EBR）（C1：清水，C2：1μmol/L，C3：10μmol/L），采用完全区组设计，共6个处理，3次重复；调制：对照（CK，计为阴性对照，不列入数据统计）、紫苏精油（0.2mg/ml、0.5mg/ml、1mg/ml，D1,2,3），共3个处理，3次重复；储存：常规储存（E1）、薄膜半封闭储存（E2）、薄膜半封闭降氧处理贮存（E3）共3个处理，3次重复。除品种对比试验外，其他项目试验品种均为鄂烟1号。</w:t>
      </w:r>
    </w:p>
    <w:p w14:paraId="3C830C8B">
      <w:pPr>
        <w:keepNext w:val="0"/>
        <w:keepLines w:val="0"/>
        <w:pageBreakBefore w:val="0"/>
        <w:widowControl w:val="0"/>
        <w:numPr>
          <w:ilvl w:val="0"/>
          <w:numId w:val="0"/>
        </w:numPr>
        <w:kinsoku/>
        <w:wordWrap/>
        <w:overflowPunct/>
        <w:topLinePunct w:val="0"/>
        <w:autoSpaceDE/>
        <w:autoSpaceDN/>
        <w:bidi w:val="0"/>
        <w:spacing w:line="360" w:lineRule="auto"/>
        <w:ind w:leftChars="0"/>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1.3.1表型性状</w:t>
      </w:r>
    </w:p>
    <w:p w14:paraId="6FD79AB5">
      <w:pPr>
        <w:keepNext w:val="0"/>
        <w:keepLines w:val="0"/>
        <w:pageBreakBefore w:val="0"/>
        <w:widowControl w:val="0"/>
        <w:numPr>
          <w:ilvl w:val="0"/>
          <w:numId w:val="0"/>
        </w:numPr>
        <w:kinsoku/>
        <w:wordWrap/>
        <w:overflowPunct/>
        <w:topLinePunct w:val="0"/>
        <w:autoSpaceDE/>
        <w:autoSpaceDN/>
        <w:bidi w:val="0"/>
        <w:spacing w:line="360" w:lineRule="auto"/>
        <w:ind w:leftChars="0" w:firstLine="480" w:firstLineChars="200"/>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依据《YC/T 142-2010》分别在移栽后30d，45d，60d，75d，90d测定烟株农艺性状，每个处理选取5株长势一致而且具有代表性的烟株进行包括株高、顶部叶片茎围，最大叶片长和宽等数据。</w:t>
      </w:r>
    </w:p>
    <w:p w14:paraId="7D619808">
      <w:pPr>
        <w:keepNext w:val="0"/>
        <w:keepLines w:val="0"/>
        <w:pageBreakBefore w:val="0"/>
        <w:widowControl w:val="0"/>
        <w:numPr>
          <w:ilvl w:val="0"/>
          <w:numId w:val="0"/>
        </w:numPr>
        <w:kinsoku/>
        <w:wordWrap/>
        <w:overflowPunct/>
        <w:topLinePunct w:val="0"/>
        <w:autoSpaceDE/>
        <w:autoSpaceDN/>
        <w:bidi w:val="0"/>
        <w:spacing w:line="360" w:lineRule="auto"/>
        <w:ind w:leftChars="0"/>
        <w:textAlignment w:val="auto"/>
        <w:rPr>
          <w:rFonts w:hint="default"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1.3.2经济性状</w:t>
      </w:r>
    </w:p>
    <w:p w14:paraId="30414F1E">
      <w:pPr>
        <w:keepNext w:val="0"/>
        <w:keepLines w:val="0"/>
        <w:pageBreakBefore w:val="0"/>
        <w:widowControl w:val="0"/>
        <w:numPr>
          <w:ilvl w:val="0"/>
          <w:numId w:val="0"/>
        </w:numPr>
        <w:kinsoku/>
        <w:wordWrap/>
        <w:overflowPunct/>
        <w:topLinePunct w:val="0"/>
        <w:autoSpaceDE/>
        <w:autoSpaceDN/>
        <w:bidi w:val="0"/>
        <w:spacing w:line="360" w:lineRule="auto"/>
        <w:ind w:leftChars="0" w:firstLine="480" w:firstLineChars="200"/>
        <w:textAlignment w:val="auto"/>
        <w:rPr>
          <w:rFonts w:hint="default" w:ascii="宋体" w:hAnsi="宋体" w:eastAsia="宋体" w:cs="宋体"/>
          <w:color w:val="000000"/>
          <w:kern w:val="0"/>
          <w:sz w:val="24"/>
          <w:szCs w:val="24"/>
          <w:lang w:val="en-US" w:eastAsia="zh-CN"/>
        </w:rPr>
      </w:pPr>
      <w:r>
        <w:rPr>
          <w:rFonts w:hint="default" w:ascii="宋体" w:hAnsi="宋体" w:eastAsia="宋体" w:cs="宋体"/>
          <w:color w:val="000000"/>
          <w:kern w:val="0"/>
          <w:sz w:val="24"/>
          <w:szCs w:val="24"/>
          <w:lang w:val="en-US" w:eastAsia="zh-CN"/>
        </w:rPr>
        <w:t>依据《GB/T 8966-2005》对晾后烟叶外观质量进行评价，分级，并称量计算各等级烟叶产量、产值、上等烟和中等烟比例等经济性状，以处理为单位进行统计。</w:t>
      </w:r>
    </w:p>
    <w:p w14:paraId="600CBAF9">
      <w:pPr>
        <w:keepNext w:val="0"/>
        <w:keepLines w:val="0"/>
        <w:pageBreakBefore w:val="0"/>
        <w:widowControl w:val="0"/>
        <w:numPr>
          <w:ilvl w:val="0"/>
          <w:numId w:val="0"/>
        </w:numPr>
        <w:kinsoku/>
        <w:wordWrap/>
        <w:overflowPunct/>
        <w:topLinePunct w:val="0"/>
        <w:autoSpaceDE/>
        <w:autoSpaceDN/>
        <w:bidi w:val="0"/>
        <w:spacing w:line="360" w:lineRule="auto"/>
        <w:ind w:leftChars="0"/>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1.4 统计分析</w:t>
      </w:r>
    </w:p>
    <w:p w14:paraId="73D6A386">
      <w:pPr>
        <w:keepNext w:val="0"/>
        <w:keepLines w:val="0"/>
        <w:pageBreakBefore w:val="0"/>
        <w:widowControl w:val="0"/>
        <w:numPr>
          <w:ilvl w:val="0"/>
          <w:numId w:val="0"/>
        </w:numPr>
        <w:kinsoku/>
        <w:wordWrap/>
        <w:overflowPunct/>
        <w:topLinePunct w:val="0"/>
        <w:autoSpaceDE/>
        <w:autoSpaceDN/>
        <w:bidi w:val="0"/>
        <w:spacing w:line="360" w:lineRule="auto"/>
        <w:ind w:leftChars="0" w:firstLine="480" w:firstLineChars="200"/>
        <w:textAlignment w:val="auto"/>
        <w:rPr>
          <w:rFonts w:hint="eastAsia" w:ascii="宋体" w:hAnsi="宋体" w:eastAsia="宋体" w:cs="宋体"/>
          <w:color w:val="000000"/>
          <w:kern w:val="0"/>
          <w:sz w:val="24"/>
          <w:szCs w:val="24"/>
          <w:lang w:val="en-US" w:eastAsia="zh-CN"/>
        </w:rPr>
      </w:pPr>
      <w:r>
        <w:rPr>
          <w:rFonts w:hint="default" w:ascii="Times New Roman" w:hAnsi="Times New Roman" w:eastAsia="宋体" w:cs="Times New Roman"/>
          <w:color w:val="000000"/>
          <w:kern w:val="0"/>
          <w:sz w:val="24"/>
          <w:szCs w:val="24"/>
          <w:lang w:val="en-US" w:eastAsia="zh-CN"/>
        </w:rPr>
        <w:t>采用 Microsoft Excel 软件进行数据整理，采用SPSS 18.0统计软件进行单因素方差、公因子提取及主成分分析，并用Duncan 氏法 进 行 处 理 间 差 异 显 著 性 检 验 ( α =0.05) 。</w:t>
      </w:r>
    </w:p>
    <w:p w14:paraId="30FC6DF6">
      <w:pPr>
        <w:keepNext w:val="0"/>
        <w:keepLines w:val="0"/>
        <w:pageBreakBefore w:val="0"/>
        <w:widowControl w:val="0"/>
        <w:numPr>
          <w:ilvl w:val="0"/>
          <w:numId w:val="0"/>
        </w:numPr>
        <w:kinsoku/>
        <w:wordWrap/>
        <w:overflowPunct/>
        <w:topLinePunct w:val="0"/>
        <w:autoSpaceDE/>
        <w:autoSpaceDN/>
        <w:bidi w:val="0"/>
        <w:spacing w:line="360" w:lineRule="auto"/>
        <w:textAlignment w:val="auto"/>
        <w:rPr>
          <w:rFonts w:hint="default" w:ascii="宋体" w:hAnsi="宋体" w:eastAsia="宋体" w:cs="宋体"/>
          <w:b w:val="0"/>
          <w:bCs w:val="0"/>
          <w:color w:val="000000"/>
          <w:kern w:val="0"/>
          <w:sz w:val="24"/>
          <w:szCs w:val="24"/>
          <w:lang w:val="en-US" w:eastAsia="zh-CN"/>
        </w:rPr>
      </w:pPr>
      <w:r>
        <w:rPr>
          <w:rFonts w:hint="eastAsia" w:ascii="宋体" w:hAnsi="宋体" w:eastAsia="宋体" w:cs="宋体"/>
          <w:b w:val="0"/>
          <w:bCs w:val="0"/>
          <w:color w:val="000000"/>
          <w:kern w:val="0"/>
          <w:sz w:val="24"/>
          <w:szCs w:val="24"/>
          <w:lang w:val="en-US" w:eastAsia="zh-CN"/>
        </w:rPr>
        <w:t>2结果与分析</w:t>
      </w:r>
    </w:p>
    <w:p w14:paraId="59EE4930">
      <w:pPr>
        <w:spacing w:line="360" w:lineRule="auto"/>
        <w:rPr>
          <w:rFonts w:hint="default" w:ascii="宋体" w:hAnsi="宋体" w:eastAsia="宋体"/>
          <w:b w:val="0"/>
          <w:bCs w:val="0"/>
          <w:sz w:val="24"/>
          <w:szCs w:val="24"/>
          <w:lang w:val="en-US" w:eastAsia="zh-CN"/>
        </w:rPr>
      </w:pPr>
      <w:r>
        <w:rPr>
          <w:rFonts w:hint="eastAsia" w:ascii="宋体" w:hAnsi="宋体" w:eastAsia="宋体" w:cs="Arial"/>
          <w:b w:val="0"/>
          <w:bCs w:val="0"/>
          <w:kern w:val="0"/>
          <w:sz w:val="24"/>
          <w:szCs w:val="24"/>
          <w:lang w:val="en-US" w:eastAsia="zh-CN"/>
        </w:rPr>
        <w:t>2.</w:t>
      </w:r>
      <w:r>
        <w:rPr>
          <w:rFonts w:hint="eastAsia" w:ascii="宋体" w:hAnsi="宋体" w:eastAsia="宋体" w:cs="Arial"/>
          <w:b w:val="0"/>
          <w:bCs w:val="0"/>
          <w:kern w:val="0"/>
          <w:sz w:val="24"/>
          <w:szCs w:val="24"/>
        </w:rPr>
        <w:t xml:space="preserve">1 </w:t>
      </w:r>
      <w:r>
        <w:rPr>
          <w:rFonts w:hint="eastAsia" w:ascii="宋体" w:hAnsi="宋体" w:eastAsia="宋体" w:cs="Arial"/>
          <w:b w:val="0"/>
          <w:bCs w:val="0"/>
          <w:kern w:val="0"/>
          <w:sz w:val="24"/>
          <w:szCs w:val="24"/>
          <w:lang w:val="en-US" w:eastAsia="zh-CN"/>
        </w:rPr>
        <w:t>不同白肋烟品种（系）生长发育情况及产质量差异</w:t>
      </w:r>
    </w:p>
    <w:p w14:paraId="10143625">
      <w:pPr>
        <w:spacing w:line="360" w:lineRule="auto"/>
        <w:ind w:firstLine="480"/>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白肋烟不同品种（系）的生长发育及产质量具有显著差异。P3处理成熟期最大叶面积显著大于P1、P2处理，分别较P1、P2增加了2.50%、3.12%；各处理茎围中，P2处理最低，P1、P3处理茎围相同；有效叶片数以P2处理最多，P3处理最少；产量以P2处理最高，但与P1处理无显著差异，P1、P2处理产量均显著高于P3处理；上等烟率以P1处理最高，但与P2处理无显著差异，P1、P2处理上等烟率均显著高于P3处理；P1变异系数最小，P3变异系数最。</w:t>
      </w:r>
    </w:p>
    <w:p w14:paraId="06049944">
      <w:pPr>
        <w:spacing w:line="360" w:lineRule="auto"/>
        <w:ind w:firstLine="480"/>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由结果分析可得，在P1处理最大叶面积、有效叶片和产量均未最大，但其上等烟率最高，在此情况下其变异系数较小，说明上等烟比例离散程度较小，即烟叶品质最佳。</w:t>
      </w:r>
    </w:p>
    <w:p w14:paraId="7F934EB3">
      <w:pPr>
        <w:jc w:val="center"/>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表1不同白肋烟品种（系）生长发育情况及产质量差异</w:t>
      </w:r>
    </w:p>
    <w:tbl>
      <w:tblPr>
        <w:tblStyle w:val="2"/>
        <w:tblpPr w:leftFromText="180" w:rightFromText="180" w:vertAnchor="text" w:horzAnchor="page" w:tblpX="2410" w:tblpY="294"/>
        <w:tblOverlap w:val="never"/>
        <w:tblW w:w="83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80"/>
        <w:gridCol w:w="1036"/>
        <w:gridCol w:w="1080"/>
        <w:gridCol w:w="1170"/>
        <w:gridCol w:w="1244"/>
        <w:gridCol w:w="1260"/>
        <w:gridCol w:w="1454"/>
      </w:tblGrid>
      <w:tr w14:paraId="4E00E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6" w:hRule="atLeast"/>
        </w:trPr>
        <w:tc>
          <w:tcPr>
            <w:tcW w:w="1080" w:type="dxa"/>
            <w:tcBorders>
              <w:top w:val="single" w:color="000000" w:sz="12" w:space="0"/>
              <w:left w:val="nil"/>
              <w:bottom w:val="nil"/>
              <w:right w:val="nil"/>
            </w:tcBorders>
            <w:shd w:val="clear" w:color="auto" w:fill="auto"/>
            <w:noWrap/>
            <w:vAlign w:val="center"/>
          </w:tcPr>
          <w:p w14:paraId="26DCF1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w:t>
            </w:r>
          </w:p>
        </w:tc>
        <w:tc>
          <w:tcPr>
            <w:tcW w:w="1036" w:type="dxa"/>
            <w:tcBorders>
              <w:top w:val="single" w:color="000000" w:sz="12" w:space="0"/>
              <w:left w:val="nil"/>
              <w:bottom w:val="nil"/>
              <w:right w:val="nil"/>
            </w:tcBorders>
            <w:shd w:val="clear" w:color="auto" w:fill="auto"/>
            <w:noWrap/>
            <w:vAlign w:val="center"/>
          </w:tcPr>
          <w:p w14:paraId="490A3541">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最大叶面积</w:t>
            </w:r>
          </w:p>
          <w:p w14:paraId="4E8FE3E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（cm</w:t>
            </w:r>
            <w:r>
              <w:rPr>
                <w:rFonts w:hint="eastAsia" w:ascii="宋体" w:hAnsi="宋体" w:eastAsia="宋体" w:cs="宋体"/>
                <w:i w:val="0"/>
                <w:iCs w:val="0"/>
                <w:color w:val="000000"/>
                <w:kern w:val="0"/>
                <w:sz w:val="22"/>
                <w:szCs w:val="22"/>
                <w:u w:val="none"/>
                <w:vertAlign w:val="superscript"/>
                <w:lang w:val="en-US" w:eastAsia="zh-CN" w:bidi="ar"/>
              </w:rPr>
              <w:t>2</w:t>
            </w:r>
            <w:r>
              <w:rPr>
                <w:rFonts w:hint="eastAsia" w:ascii="宋体" w:hAnsi="宋体" w:eastAsia="宋体" w:cs="宋体"/>
                <w:i w:val="0"/>
                <w:iCs w:val="0"/>
                <w:color w:val="000000"/>
                <w:kern w:val="0"/>
                <w:sz w:val="22"/>
                <w:szCs w:val="22"/>
                <w:u w:val="none"/>
                <w:lang w:val="en-US" w:eastAsia="zh-CN" w:bidi="ar"/>
              </w:rPr>
              <w:t>）</w:t>
            </w:r>
          </w:p>
        </w:tc>
        <w:tc>
          <w:tcPr>
            <w:tcW w:w="1080" w:type="dxa"/>
            <w:tcBorders>
              <w:top w:val="single" w:color="000000" w:sz="12" w:space="0"/>
              <w:left w:val="nil"/>
              <w:bottom w:val="nil"/>
              <w:right w:val="nil"/>
            </w:tcBorders>
            <w:shd w:val="clear" w:color="auto" w:fill="auto"/>
            <w:noWrap/>
            <w:vAlign w:val="center"/>
          </w:tcPr>
          <w:p w14:paraId="175DA9D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茎围</w:t>
            </w:r>
          </w:p>
          <w:p w14:paraId="48786F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（cm）</w:t>
            </w:r>
          </w:p>
        </w:tc>
        <w:tc>
          <w:tcPr>
            <w:tcW w:w="1170" w:type="dxa"/>
            <w:tcBorders>
              <w:top w:val="single" w:color="000000" w:sz="12" w:space="0"/>
              <w:left w:val="nil"/>
              <w:bottom w:val="nil"/>
              <w:right w:val="nil"/>
            </w:tcBorders>
            <w:shd w:val="clear" w:color="auto" w:fill="auto"/>
            <w:noWrap/>
            <w:vAlign w:val="top"/>
          </w:tcPr>
          <w:p w14:paraId="128D99F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有效叶片数</w:t>
            </w:r>
          </w:p>
          <w:p w14:paraId="0A943BB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1244" w:type="dxa"/>
            <w:tcBorders>
              <w:top w:val="single" w:color="000000" w:sz="12" w:space="0"/>
              <w:left w:val="nil"/>
              <w:bottom w:val="nil"/>
              <w:right w:val="nil"/>
            </w:tcBorders>
            <w:shd w:val="clear" w:color="auto" w:fill="auto"/>
            <w:noWrap/>
            <w:vAlign w:val="center"/>
          </w:tcPr>
          <w:p w14:paraId="77D709F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产量</w:t>
            </w:r>
          </w:p>
          <w:p w14:paraId="3C65B59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（kg/hm</w:t>
            </w:r>
            <w:r>
              <w:rPr>
                <w:rFonts w:hint="eastAsia" w:ascii="宋体" w:hAnsi="宋体" w:eastAsia="宋体" w:cs="宋体"/>
                <w:i w:val="0"/>
                <w:iCs w:val="0"/>
                <w:color w:val="000000"/>
                <w:kern w:val="0"/>
                <w:sz w:val="22"/>
                <w:szCs w:val="22"/>
                <w:u w:val="none"/>
                <w:vertAlign w:val="superscript"/>
                <w:lang w:val="en-US" w:eastAsia="zh-CN" w:bidi="ar"/>
              </w:rPr>
              <w:t>-2</w:t>
            </w:r>
            <w:r>
              <w:rPr>
                <w:rFonts w:hint="eastAsia" w:ascii="宋体" w:hAnsi="宋体" w:eastAsia="宋体" w:cs="宋体"/>
                <w:i w:val="0"/>
                <w:iCs w:val="0"/>
                <w:color w:val="000000"/>
                <w:kern w:val="0"/>
                <w:sz w:val="22"/>
                <w:szCs w:val="22"/>
                <w:u w:val="none"/>
                <w:lang w:val="en-US" w:eastAsia="zh-CN" w:bidi="ar"/>
              </w:rPr>
              <w:t>）</w:t>
            </w:r>
          </w:p>
        </w:tc>
        <w:tc>
          <w:tcPr>
            <w:tcW w:w="1260" w:type="dxa"/>
            <w:tcBorders>
              <w:top w:val="single" w:color="000000" w:sz="12" w:space="0"/>
              <w:left w:val="nil"/>
              <w:bottom w:val="nil"/>
              <w:right w:val="nil"/>
            </w:tcBorders>
            <w:shd w:val="clear" w:color="auto" w:fill="auto"/>
            <w:vAlign w:val="center"/>
          </w:tcPr>
          <w:p w14:paraId="7253D886">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上等烟率</w:t>
            </w:r>
          </w:p>
          <w:p w14:paraId="3051C78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1454" w:type="dxa"/>
            <w:tcBorders>
              <w:top w:val="single" w:color="000000" w:sz="12" w:space="0"/>
              <w:left w:val="nil"/>
              <w:bottom w:val="single" w:color="000000" w:sz="12" w:space="0"/>
              <w:right w:val="nil"/>
            </w:tcBorders>
            <w:shd w:val="clear" w:color="auto" w:fill="auto"/>
            <w:vAlign w:val="center"/>
          </w:tcPr>
          <w:p w14:paraId="79B5FD0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变异系数</w:t>
            </w:r>
          </w:p>
          <w:p w14:paraId="07B65562">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p>
        </w:tc>
      </w:tr>
      <w:tr w14:paraId="0CE4C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080" w:type="dxa"/>
            <w:tcBorders>
              <w:top w:val="single" w:color="000000" w:sz="12" w:space="0"/>
              <w:left w:val="nil"/>
              <w:bottom w:val="nil"/>
              <w:right w:val="nil"/>
            </w:tcBorders>
            <w:shd w:val="clear" w:color="auto" w:fill="auto"/>
            <w:noWrap/>
            <w:vAlign w:val="center"/>
          </w:tcPr>
          <w:p w14:paraId="1A47453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P1</w:t>
            </w:r>
          </w:p>
        </w:tc>
        <w:tc>
          <w:tcPr>
            <w:tcW w:w="1036" w:type="dxa"/>
            <w:tcBorders>
              <w:top w:val="single" w:color="000000" w:sz="12" w:space="0"/>
              <w:left w:val="nil"/>
              <w:bottom w:val="nil"/>
              <w:right w:val="nil"/>
            </w:tcBorders>
            <w:shd w:val="clear" w:color="auto" w:fill="auto"/>
            <w:noWrap/>
            <w:vAlign w:val="center"/>
          </w:tcPr>
          <w:p w14:paraId="7FE10EC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1917.5b</w:t>
            </w:r>
          </w:p>
        </w:tc>
        <w:tc>
          <w:tcPr>
            <w:tcW w:w="1080" w:type="dxa"/>
            <w:tcBorders>
              <w:top w:val="single" w:color="000000" w:sz="12" w:space="0"/>
              <w:left w:val="nil"/>
              <w:bottom w:val="nil"/>
              <w:right w:val="nil"/>
            </w:tcBorders>
            <w:shd w:val="clear" w:color="auto" w:fill="auto"/>
            <w:noWrap/>
            <w:vAlign w:val="center"/>
          </w:tcPr>
          <w:p w14:paraId="2CB22BB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9.5a</w:t>
            </w:r>
          </w:p>
        </w:tc>
        <w:tc>
          <w:tcPr>
            <w:tcW w:w="1170" w:type="dxa"/>
            <w:tcBorders>
              <w:top w:val="single" w:color="000000" w:sz="12" w:space="0"/>
              <w:left w:val="nil"/>
              <w:bottom w:val="nil"/>
              <w:right w:val="nil"/>
            </w:tcBorders>
            <w:shd w:val="clear" w:color="auto" w:fill="auto"/>
            <w:noWrap/>
            <w:vAlign w:val="center"/>
          </w:tcPr>
          <w:p w14:paraId="0FECDDF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19.33b</w:t>
            </w:r>
          </w:p>
        </w:tc>
        <w:tc>
          <w:tcPr>
            <w:tcW w:w="1244" w:type="dxa"/>
            <w:tcBorders>
              <w:top w:val="single" w:color="000000" w:sz="12" w:space="0"/>
              <w:left w:val="nil"/>
              <w:bottom w:val="nil"/>
              <w:right w:val="nil"/>
            </w:tcBorders>
            <w:shd w:val="clear" w:color="auto" w:fill="auto"/>
            <w:noWrap/>
            <w:vAlign w:val="center"/>
          </w:tcPr>
          <w:p w14:paraId="5387A7F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3064a</w:t>
            </w:r>
          </w:p>
        </w:tc>
        <w:tc>
          <w:tcPr>
            <w:tcW w:w="1260" w:type="dxa"/>
            <w:tcBorders>
              <w:top w:val="single" w:color="000000" w:sz="12" w:space="0"/>
              <w:left w:val="nil"/>
              <w:bottom w:val="nil"/>
              <w:right w:val="nil"/>
            </w:tcBorders>
            <w:shd w:val="clear" w:color="auto" w:fill="auto"/>
            <w:noWrap/>
            <w:vAlign w:val="center"/>
          </w:tcPr>
          <w:p w14:paraId="20B4092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90.12a</w:t>
            </w:r>
          </w:p>
        </w:tc>
        <w:tc>
          <w:tcPr>
            <w:tcW w:w="1454" w:type="dxa"/>
            <w:tcBorders>
              <w:top w:val="single" w:color="000000" w:sz="12" w:space="0"/>
              <w:left w:val="nil"/>
              <w:bottom w:val="nil"/>
              <w:right w:val="nil"/>
            </w:tcBorders>
            <w:shd w:val="clear" w:color="auto" w:fill="auto"/>
            <w:noWrap/>
            <w:vAlign w:val="center"/>
          </w:tcPr>
          <w:p w14:paraId="1051600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0.0034</w:t>
            </w:r>
          </w:p>
        </w:tc>
      </w:tr>
      <w:tr w14:paraId="15AEE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color="auto" w:fill="auto"/>
            <w:noWrap/>
            <w:vAlign w:val="center"/>
          </w:tcPr>
          <w:p w14:paraId="212F239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P2</w:t>
            </w:r>
          </w:p>
        </w:tc>
        <w:tc>
          <w:tcPr>
            <w:tcW w:w="1036" w:type="dxa"/>
            <w:tcBorders>
              <w:top w:val="nil"/>
              <w:left w:val="nil"/>
              <w:bottom w:val="nil"/>
              <w:right w:val="nil"/>
            </w:tcBorders>
            <w:shd w:val="clear" w:color="auto" w:fill="auto"/>
            <w:noWrap/>
            <w:vAlign w:val="center"/>
          </w:tcPr>
          <w:p w14:paraId="3F5420F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1905.5c</w:t>
            </w:r>
          </w:p>
        </w:tc>
        <w:tc>
          <w:tcPr>
            <w:tcW w:w="1080" w:type="dxa"/>
            <w:tcBorders>
              <w:top w:val="nil"/>
              <w:left w:val="nil"/>
              <w:bottom w:val="nil"/>
              <w:right w:val="nil"/>
            </w:tcBorders>
            <w:shd w:val="clear" w:color="auto" w:fill="auto"/>
            <w:noWrap/>
            <w:vAlign w:val="center"/>
          </w:tcPr>
          <w:p w14:paraId="4440110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9b</w:t>
            </w:r>
          </w:p>
        </w:tc>
        <w:tc>
          <w:tcPr>
            <w:tcW w:w="1170" w:type="dxa"/>
            <w:tcBorders>
              <w:top w:val="nil"/>
              <w:left w:val="nil"/>
              <w:bottom w:val="nil"/>
              <w:right w:val="nil"/>
            </w:tcBorders>
            <w:shd w:val="clear" w:color="auto" w:fill="auto"/>
            <w:noWrap/>
            <w:vAlign w:val="center"/>
          </w:tcPr>
          <w:p w14:paraId="3F5241AC">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20.67a</w:t>
            </w:r>
          </w:p>
        </w:tc>
        <w:tc>
          <w:tcPr>
            <w:tcW w:w="1244" w:type="dxa"/>
            <w:tcBorders>
              <w:top w:val="nil"/>
              <w:left w:val="nil"/>
              <w:bottom w:val="nil"/>
              <w:right w:val="nil"/>
            </w:tcBorders>
            <w:shd w:val="clear" w:color="auto" w:fill="auto"/>
            <w:noWrap/>
            <w:vAlign w:val="center"/>
          </w:tcPr>
          <w:p w14:paraId="2549E63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3050a</w:t>
            </w:r>
          </w:p>
        </w:tc>
        <w:tc>
          <w:tcPr>
            <w:tcW w:w="1260" w:type="dxa"/>
            <w:tcBorders>
              <w:top w:val="nil"/>
              <w:left w:val="nil"/>
              <w:bottom w:val="nil"/>
              <w:right w:val="nil"/>
            </w:tcBorders>
            <w:shd w:val="clear" w:color="auto" w:fill="auto"/>
            <w:noWrap/>
            <w:vAlign w:val="center"/>
          </w:tcPr>
          <w:p w14:paraId="69ADF59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90.09a</w:t>
            </w:r>
          </w:p>
        </w:tc>
        <w:tc>
          <w:tcPr>
            <w:tcW w:w="1454" w:type="dxa"/>
            <w:tcBorders>
              <w:top w:val="nil"/>
              <w:left w:val="nil"/>
              <w:bottom w:val="nil"/>
              <w:right w:val="nil"/>
            </w:tcBorders>
            <w:shd w:val="clear" w:color="auto" w:fill="auto"/>
            <w:noWrap/>
            <w:vAlign w:val="center"/>
          </w:tcPr>
          <w:p w14:paraId="07494F0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0.0099</w:t>
            </w:r>
          </w:p>
        </w:tc>
      </w:tr>
      <w:tr w14:paraId="7B655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080" w:type="dxa"/>
            <w:tcBorders>
              <w:top w:val="nil"/>
              <w:left w:val="nil"/>
              <w:bottom w:val="single" w:color="000000" w:sz="12" w:space="0"/>
              <w:right w:val="nil"/>
            </w:tcBorders>
            <w:shd w:val="clear" w:color="auto" w:fill="auto"/>
            <w:noWrap/>
            <w:vAlign w:val="center"/>
          </w:tcPr>
          <w:p w14:paraId="192F4E1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P3</w:t>
            </w:r>
          </w:p>
        </w:tc>
        <w:tc>
          <w:tcPr>
            <w:tcW w:w="1036" w:type="dxa"/>
            <w:tcBorders>
              <w:top w:val="nil"/>
              <w:left w:val="nil"/>
              <w:bottom w:val="single" w:color="000000" w:sz="12" w:space="0"/>
              <w:right w:val="nil"/>
            </w:tcBorders>
            <w:shd w:val="clear" w:color="auto" w:fill="auto"/>
            <w:noWrap/>
            <w:vAlign w:val="center"/>
          </w:tcPr>
          <w:p w14:paraId="4613D0F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1965.0a</w:t>
            </w:r>
          </w:p>
        </w:tc>
        <w:tc>
          <w:tcPr>
            <w:tcW w:w="1080" w:type="dxa"/>
            <w:tcBorders>
              <w:top w:val="nil"/>
              <w:left w:val="nil"/>
              <w:bottom w:val="single" w:color="000000" w:sz="12" w:space="0"/>
              <w:right w:val="nil"/>
            </w:tcBorders>
            <w:shd w:val="clear" w:color="auto" w:fill="auto"/>
            <w:noWrap/>
            <w:vAlign w:val="center"/>
          </w:tcPr>
          <w:p w14:paraId="177D9896">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9.5a</w:t>
            </w:r>
          </w:p>
        </w:tc>
        <w:tc>
          <w:tcPr>
            <w:tcW w:w="1170" w:type="dxa"/>
            <w:tcBorders>
              <w:top w:val="nil"/>
              <w:left w:val="nil"/>
              <w:bottom w:val="single" w:color="000000" w:sz="12" w:space="0"/>
              <w:right w:val="nil"/>
            </w:tcBorders>
            <w:shd w:val="clear" w:color="auto" w:fill="auto"/>
            <w:noWrap/>
            <w:vAlign w:val="center"/>
          </w:tcPr>
          <w:p w14:paraId="315431FC">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18.67c</w:t>
            </w:r>
          </w:p>
        </w:tc>
        <w:tc>
          <w:tcPr>
            <w:tcW w:w="1244" w:type="dxa"/>
            <w:tcBorders>
              <w:top w:val="nil"/>
              <w:left w:val="nil"/>
              <w:bottom w:val="single" w:color="000000" w:sz="12" w:space="0"/>
              <w:right w:val="nil"/>
            </w:tcBorders>
            <w:shd w:val="clear" w:color="auto" w:fill="auto"/>
            <w:noWrap/>
            <w:vAlign w:val="center"/>
          </w:tcPr>
          <w:p w14:paraId="0DB41FD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2650b</w:t>
            </w:r>
          </w:p>
        </w:tc>
        <w:tc>
          <w:tcPr>
            <w:tcW w:w="1260" w:type="dxa"/>
            <w:tcBorders>
              <w:top w:val="nil"/>
              <w:left w:val="nil"/>
              <w:bottom w:val="single" w:color="000000" w:sz="12" w:space="0"/>
              <w:right w:val="nil"/>
            </w:tcBorders>
            <w:shd w:val="clear" w:color="auto" w:fill="auto"/>
            <w:noWrap/>
            <w:vAlign w:val="center"/>
          </w:tcPr>
          <w:p w14:paraId="4D13677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88.54b</w:t>
            </w:r>
          </w:p>
        </w:tc>
        <w:tc>
          <w:tcPr>
            <w:tcW w:w="1454" w:type="dxa"/>
            <w:tcBorders>
              <w:top w:val="nil"/>
              <w:left w:val="nil"/>
              <w:bottom w:val="single" w:color="000000" w:sz="12" w:space="0"/>
              <w:right w:val="nil"/>
            </w:tcBorders>
            <w:shd w:val="clear" w:color="auto" w:fill="auto"/>
            <w:noWrap/>
            <w:vAlign w:val="center"/>
          </w:tcPr>
          <w:p w14:paraId="1C27DA4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0.1200</w:t>
            </w:r>
          </w:p>
        </w:tc>
      </w:tr>
    </w:tbl>
    <w:p w14:paraId="0CD59E83">
      <w:pPr>
        <w:spacing w:line="400" w:lineRule="exact"/>
        <w:rPr>
          <w:rFonts w:hint="eastAsia" w:ascii="宋体" w:hAnsi="宋体" w:eastAsia="宋体"/>
          <w:sz w:val="24"/>
          <w:lang w:val="en-US" w:eastAsia="zh-CN"/>
        </w:rPr>
      </w:pPr>
      <w:r>
        <w:rPr>
          <w:rFonts w:ascii="Times New Roman" w:hAnsi="黑体" w:eastAsia="黑体"/>
          <w:color w:val="000000" w:themeColor="text1"/>
          <w:sz w:val="18"/>
          <w:szCs w:val="18"/>
          <w14:textFill>
            <w14:solidFill>
              <w14:schemeClr w14:val="tx1"/>
            </w14:solidFill>
          </w14:textFill>
        </w:rPr>
        <w:t>注：表中同列数据后标有不同小写字母则表示相同因素不同处理间差异显著（</w:t>
      </w:r>
      <w:r>
        <w:rPr>
          <w:rFonts w:ascii="Times New Roman" w:hAnsi="Times New Roman" w:eastAsia="黑体"/>
          <w:i/>
          <w:color w:val="000000" w:themeColor="text1"/>
          <w:sz w:val="18"/>
          <w:szCs w:val="18"/>
          <w14:textFill>
            <w14:solidFill>
              <w14:schemeClr w14:val="tx1"/>
            </w14:solidFill>
          </w14:textFill>
        </w:rPr>
        <w:t>P</w:t>
      </w:r>
      <w:r>
        <w:rPr>
          <w:rFonts w:ascii="Times New Roman" w:hAnsi="Times New Roman" w:eastAsia="黑体"/>
          <w:color w:val="000000" w:themeColor="text1"/>
          <w:sz w:val="18"/>
          <w:szCs w:val="18"/>
          <w14:textFill>
            <w14:solidFill>
              <w14:schemeClr w14:val="tx1"/>
            </w14:solidFill>
          </w14:textFill>
        </w:rPr>
        <w:t>&lt;0.05</w:t>
      </w:r>
      <w:r>
        <w:rPr>
          <w:rFonts w:ascii="Times New Roman" w:hAnsi="黑体" w:eastAsia="黑体"/>
          <w:color w:val="000000" w:themeColor="text1"/>
          <w:sz w:val="18"/>
          <w:szCs w:val="18"/>
          <w14:textFill>
            <w14:solidFill>
              <w14:schemeClr w14:val="tx1"/>
            </w14:solidFill>
          </w14:textFill>
        </w:rPr>
        <w:t>）</w:t>
      </w:r>
      <w:r>
        <w:rPr>
          <w:rFonts w:hint="eastAsia" w:ascii="Times New Roman" w:hAnsi="黑体" w:eastAsia="黑体"/>
          <w:color w:val="000000" w:themeColor="text1"/>
          <w:sz w:val="18"/>
          <w:szCs w:val="18"/>
          <w:lang w:eastAsia="zh-CN"/>
          <w14:textFill>
            <w14:solidFill>
              <w14:schemeClr w14:val="tx1"/>
            </w14:solidFill>
          </w14:textFill>
        </w:rPr>
        <w:t>，</w:t>
      </w:r>
      <w:r>
        <w:rPr>
          <w:rFonts w:hint="eastAsia" w:ascii="Times New Roman" w:hAnsi="黑体" w:eastAsia="黑体"/>
          <w:color w:val="000000" w:themeColor="text1"/>
          <w:sz w:val="18"/>
          <w:szCs w:val="18"/>
          <w:lang w:val="en-US" w:eastAsia="zh-CN"/>
          <w14:textFill>
            <w14:solidFill>
              <w14:schemeClr w14:val="tx1"/>
            </w14:solidFill>
          </w14:textFill>
        </w:rPr>
        <w:t>变异系数以上等烟比例测算。</w:t>
      </w:r>
      <w:r>
        <w:rPr>
          <w:rFonts w:ascii="Times New Roman" w:hAnsi="黑体" w:eastAsia="黑体"/>
          <w:color w:val="000000" w:themeColor="text1"/>
          <w:sz w:val="18"/>
          <w:szCs w:val="18"/>
          <w14:textFill>
            <w14:solidFill>
              <w14:schemeClr w14:val="tx1"/>
            </w14:solidFill>
          </w14:textFill>
        </w:rPr>
        <w:t>下同。</w:t>
      </w:r>
    </w:p>
    <w:p w14:paraId="30319ED4">
      <w:pPr>
        <w:spacing w:line="360" w:lineRule="auto"/>
        <w:rPr>
          <w:rFonts w:hint="default" w:ascii="宋体" w:hAnsi="宋体" w:eastAsia="宋体"/>
          <w:b w:val="0"/>
          <w:bCs/>
          <w:sz w:val="24"/>
          <w:szCs w:val="24"/>
          <w:lang w:val="en-US" w:eastAsia="zh-CN"/>
        </w:rPr>
      </w:pPr>
      <w:r>
        <w:rPr>
          <w:rFonts w:hint="eastAsia" w:ascii="宋体" w:hAnsi="宋体" w:eastAsia="宋体" w:cs="Arial"/>
          <w:b w:val="0"/>
          <w:bCs/>
          <w:kern w:val="0"/>
          <w:sz w:val="24"/>
          <w:szCs w:val="24"/>
          <w:lang w:val="en-US" w:eastAsia="zh-CN"/>
        </w:rPr>
        <w:t>2</w:t>
      </w:r>
      <w:r>
        <w:rPr>
          <w:rFonts w:hint="eastAsia" w:ascii="宋体" w:hAnsi="宋体" w:eastAsia="宋体" w:cs="Arial"/>
          <w:b w:val="0"/>
          <w:bCs/>
          <w:kern w:val="0"/>
          <w:sz w:val="24"/>
          <w:szCs w:val="24"/>
        </w:rPr>
        <w:t>.</w:t>
      </w:r>
      <w:r>
        <w:rPr>
          <w:rFonts w:hint="eastAsia" w:ascii="宋体" w:hAnsi="宋体" w:eastAsia="宋体" w:cs="Arial"/>
          <w:b w:val="0"/>
          <w:bCs/>
          <w:kern w:val="0"/>
          <w:sz w:val="24"/>
          <w:szCs w:val="24"/>
          <w:lang w:val="en-US" w:eastAsia="zh-CN"/>
        </w:rPr>
        <w:t>2 不同育苗方式对白肋烟成苗期生长发育的影响</w:t>
      </w:r>
    </w:p>
    <w:p w14:paraId="0BDFBE6C">
      <w:pPr>
        <w:spacing w:line="36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成苗期A3处理基质平均温度显著高于A1、A2处理，较A1增加了5.60%；茎高以A1处理最高，A1、A2处理间无显著差异，且均显著高于A3处理；茎围以A3处理显著大于A1、A2处理，其中A1处理最小；一级侧根数、地下部分鲜重和上等烟比例均以A3处理最大，且显著高于A1、A2处理；变异系数为A3处理最小，A1处理最大；</w:t>
      </w:r>
    </w:p>
    <w:p w14:paraId="3A407561">
      <w:pPr>
        <w:spacing w:line="36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由结果分析得，A3处理日平均温度较高，烟苗成苗期茎高较低，茎围较大，地上部分发育情况较A1、A2处理差，地下部分发育较快，烟苗根部发育健壮，可能由于还苗期烟苗生长发育较为一致导致上等烟比例较高，变异系数最小，即地布育苗方式烟叶长势较为均匀一致。</w:t>
      </w:r>
    </w:p>
    <w:p w14:paraId="27FA29C9">
      <w:pPr>
        <w:spacing w:line="360" w:lineRule="auto"/>
        <w:jc w:val="center"/>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表2不同育苗方式对白肋烟成苗期生长发育的影响</w:t>
      </w:r>
    </w:p>
    <w:tbl>
      <w:tblPr>
        <w:tblStyle w:val="2"/>
        <w:tblpPr w:leftFromText="180" w:rightFromText="180" w:vertAnchor="text" w:horzAnchor="page" w:tblpX="1600" w:tblpY="341"/>
        <w:tblOverlap w:val="never"/>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60"/>
        <w:gridCol w:w="885"/>
        <w:gridCol w:w="885"/>
        <w:gridCol w:w="975"/>
        <w:gridCol w:w="915"/>
        <w:gridCol w:w="1050"/>
        <w:gridCol w:w="915"/>
        <w:gridCol w:w="1380"/>
        <w:gridCol w:w="1380"/>
      </w:tblGrid>
      <w:tr w14:paraId="3E5CE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6" w:hRule="atLeast"/>
        </w:trPr>
        <w:tc>
          <w:tcPr>
            <w:tcW w:w="960" w:type="dxa"/>
            <w:tcBorders>
              <w:top w:val="single" w:color="000000" w:sz="12" w:space="0"/>
              <w:left w:val="nil"/>
              <w:bottom w:val="nil"/>
              <w:right w:val="nil"/>
            </w:tcBorders>
            <w:shd w:val="clear" w:color="auto" w:fill="auto"/>
            <w:noWrap/>
            <w:vAlign w:val="center"/>
          </w:tcPr>
          <w:p w14:paraId="59954C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w:t>
            </w:r>
          </w:p>
        </w:tc>
        <w:tc>
          <w:tcPr>
            <w:tcW w:w="885" w:type="dxa"/>
            <w:tcBorders>
              <w:top w:val="single" w:color="000000" w:sz="12" w:space="0"/>
              <w:left w:val="nil"/>
              <w:bottom w:val="nil"/>
              <w:right w:val="nil"/>
            </w:tcBorders>
            <w:shd w:val="clear" w:color="auto" w:fill="auto"/>
            <w:noWrap/>
            <w:vAlign w:val="center"/>
          </w:tcPr>
          <w:p w14:paraId="1C9BD02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基质平均温度</w:t>
            </w:r>
          </w:p>
          <w:p w14:paraId="7DD582D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885" w:type="dxa"/>
            <w:tcBorders>
              <w:top w:val="single" w:color="000000" w:sz="12" w:space="0"/>
              <w:left w:val="nil"/>
              <w:bottom w:val="nil"/>
              <w:right w:val="nil"/>
            </w:tcBorders>
            <w:shd w:val="clear" w:color="auto" w:fill="auto"/>
            <w:noWrap/>
            <w:vAlign w:val="center"/>
          </w:tcPr>
          <w:p w14:paraId="59C02EF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茎高</w:t>
            </w:r>
          </w:p>
          <w:p w14:paraId="00109D6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（cm）</w:t>
            </w:r>
          </w:p>
        </w:tc>
        <w:tc>
          <w:tcPr>
            <w:tcW w:w="975" w:type="dxa"/>
            <w:tcBorders>
              <w:top w:val="single" w:color="000000" w:sz="12" w:space="0"/>
              <w:left w:val="nil"/>
              <w:bottom w:val="nil"/>
              <w:right w:val="nil"/>
            </w:tcBorders>
            <w:shd w:val="clear" w:color="auto" w:fill="auto"/>
            <w:noWrap/>
            <w:vAlign w:val="center"/>
          </w:tcPr>
          <w:p w14:paraId="0C57FCB6">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茎围</w:t>
            </w:r>
          </w:p>
          <w:p w14:paraId="16166C8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（cm）</w:t>
            </w:r>
          </w:p>
        </w:tc>
        <w:tc>
          <w:tcPr>
            <w:tcW w:w="915" w:type="dxa"/>
            <w:tcBorders>
              <w:top w:val="single" w:color="000000" w:sz="12" w:space="0"/>
              <w:left w:val="nil"/>
              <w:bottom w:val="nil"/>
              <w:right w:val="nil"/>
            </w:tcBorders>
            <w:shd w:val="clear" w:color="auto" w:fill="auto"/>
            <w:noWrap/>
            <w:vAlign w:val="center"/>
          </w:tcPr>
          <w:p w14:paraId="6CF82FF6">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一级侧根数</w:t>
            </w:r>
          </w:p>
          <w:p w14:paraId="6F79AE0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（条）</w:t>
            </w:r>
          </w:p>
        </w:tc>
        <w:tc>
          <w:tcPr>
            <w:tcW w:w="1050" w:type="dxa"/>
            <w:tcBorders>
              <w:top w:val="single" w:color="000000" w:sz="12" w:space="0"/>
              <w:left w:val="nil"/>
              <w:bottom w:val="nil"/>
              <w:right w:val="nil"/>
            </w:tcBorders>
            <w:shd w:val="clear" w:color="auto" w:fill="auto"/>
            <w:vAlign w:val="center"/>
          </w:tcPr>
          <w:p w14:paraId="295FA3BC">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地上部鲜重</w:t>
            </w:r>
          </w:p>
          <w:p w14:paraId="6469ABD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w:t>
            </w:r>
          </w:p>
        </w:tc>
        <w:tc>
          <w:tcPr>
            <w:tcW w:w="915" w:type="dxa"/>
            <w:tcBorders>
              <w:top w:val="single" w:color="000000" w:sz="12" w:space="0"/>
              <w:left w:val="nil"/>
              <w:bottom w:val="single" w:color="000000" w:sz="12" w:space="0"/>
              <w:right w:val="nil"/>
            </w:tcBorders>
            <w:shd w:val="clear" w:color="auto" w:fill="auto"/>
            <w:vAlign w:val="center"/>
          </w:tcPr>
          <w:p w14:paraId="0BBB6834">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地下部鲜重</w:t>
            </w:r>
          </w:p>
          <w:p w14:paraId="3F70348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w:t>
            </w:r>
          </w:p>
        </w:tc>
        <w:tc>
          <w:tcPr>
            <w:tcW w:w="1380" w:type="dxa"/>
            <w:tcBorders>
              <w:top w:val="single" w:color="000000" w:sz="12" w:space="0"/>
              <w:left w:val="nil"/>
              <w:bottom w:val="single" w:color="000000" w:sz="12" w:space="0"/>
              <w:right w:val="nil"/>
            </w:tcBorders>
            <w:shd w:val="clear" w:color="auto" w:fill="auto"/>
            <w:vAlign w:val="center"/>
          </w:tcPr>
          <w:p w14:paraId="7DFBD5E6">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上等烟比例</w:t>
            </w:r>
          </w:p>
        </w:tc>
        <w:tc>
          <w:tcPr>
            <w:tcW w:w="1380" w:type="dxa"/>
            <w:tcBorders>
              <w:top w:val="single" w:color="000000" w:sz="12" w:space="0"/>
              <w:left w:val="nil"/>
              <w:bottom w:val="single" w:color="000000" w:sz="12" w:space="0"/>
              <w:right w:val="nil"/>
            </w:tcBorders>
            <w:shd w:val="clear" w:color="auto" w:fill="auto"/>
            <w:vAlign w:val="center"/>
          </w:tcPr>
          <w:p w14:paraId="0746851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变异系数</w:t>
            </w:r>
          </w:p>
        </w:tc>
      </w:tr>
      <w:tr w14:paraId="52A60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60" w:type="dxa"/>
            <w:tcBorders>
              <w:top w:val="single" w:color="000000" w:sz="12" w:space="0"/>
              <w:left w:val="nil"/>
              <w:bottom w:val="nil"/>
              <w:right w:val="nil"/>
            </w:tcBorders>
            <w:shd w:val="clear" w:color="auto" w:fill="auto"/>
            <w:noWrap/>
            <w:vAlign w:val="center"/>
          </w:tcPr>
          <w:p w14:paraId="5D1C1EB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A1（CK））</w:t>
            </w:r>
          </w:p>
        </w:tc>
        <w:tc>
          <w:tcPr>
            <w:tcW w:w="885" w:type="dxa"/>
            <w:tcBorders>
              <w:top w:val="single" w:color="000000" w:sz="12" w:space="0"/>
              <w:left w:val="nil"/>
              <w:bottom w:val="nil"/>
              <w:right w:val="nil"/>
            </w:tcBorders>
            <w:shd w:val="clear" w:color="auto" w:fill="auto"/>
            <w:noWrap/>
            <w:vAlign w:val="center"/>
          </w:tcPr>
          <w:p w14:paraId="215CD18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23.77b</w:t>
            </w:r>
          </w:p>
        </w:tc>
        <w:tc>
          <w:tcPr>
            <w:tcW w:w="885" w:type="dxa"/>
            <w:tcBorders>
              <w:top w:val="single" w:color="000000" w:sz="12" w:space="0"/>
              <w:left w:val="nil"/>
              <w:bottom w:val="nil"/>
              <w:right w:val="nil"/>
            </w:tcBorders>
            <w:shd w:val="clear" w:color="auto" w:fill="auto"/>
            <w:noWrap/>
            <w:vAlign w:val="center"/>
          </w:tcPr>
          <w:p w14:paraId="5833326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9.26a</w:t>
            </w:r>
          </w:p>
        </w:tc>
        <w:tc>
          <w:tcPr>
            <w:tcW w:w="975" w:type="dxa"/>
            <w:tcBorders>
              <w:top w:val="single" w:color="000000" w:sz="12" w:space="0"/>
              <w:left w:val="nil"/>
              <w:bottom w:val="nil"/>
              <w:right w:val="nil"/>
            </w:tcBorders>
            <w:shd w:val="clear" w:color="auto" w:fill="auto"/>
            <w:noWrap/>
            <w:vAlign w:val="center"/>
          </w:tcPr>
          <w:p w14:paraId="2819124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2.03c</w:t>
            </w:r>
          </w:p>
        </w:tc>
        <w:tc>
          <w:tcPr>
            <w:tcW w:w="915" w:type="dxa"/>
            <w:tcBorders>
              <w:top w:val="single" w:color="000000" w:sz="12" w:space="0"/>
              <w:left w:val="nil"/>
              <w:bottom w:val="nil"/>
              <w:right w:val="nil"/>
            </w:tcBorders>
            <w:shd w:val="clear" w:color="auto" w:fill="auto"/>
            <w:noWrap/>
            <w:vAlign w:val="center"/>
          </w:tcPr>
          <w:p w14:paraId="37C2A1F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72.60b</w:t>
            </w:r>
          </w:p>
        </w:tc>
        <w:tc>
          <w:tcPr>
            <w:tcW w:w="1050" w:type="dxa"/>
            <w:tcBorders>
              <w:top w:val="single" w:color="000000" w:sz="12" w:space="0"/>
              <w:left w:val="nil"/>
              <w:bottom w:val="nil"/>
              <w:right w:val="nil"/>
            </w:tcBorders>
            <w:shd w:val="clear" w:color="auto" w:fill="auto"/>
            <w:noWrap/>
            <w:vAlign w:val="center"/>
          </w:tcPr>
          <w:p w14:paraId="642A28C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10.60a</w:t>
            </w:r>
          </w:p>
        </w:tc>
        <w:tc>
          <w:tcPr>
            <w:tcW w:w="915" w:type="dxa"/>
            <w:tcBorders>
              <w:top w:val="single" w:color="000000" w:sz="12" w:space="0"/>
              <w:left w:val="nil"/>
              <w:bottom w:val="nil"/>
              <w:right w:val="nil"/>
            </w:tcBorders>
            <w:shd w:val="clear" w:color="auto" w:fill="auto"/>
            <w:noWrap/>
            <w:vAlign w:val="center"/>
          </w:tcPr>
          <w:p w14:paraId="55019A2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1.31b</w:t>
            </w:r>
          </w:p>
        </w:tc>
        <w:tc>
          <w:tcPr>
            <w:tcW w:w="1380" w:type="dxa"/>
            <w:tcBorders>
              <w:top w:val="single" w:color="000000" w:sz="12" w:space="0"/>
              <w:left w:val="nil"/>
              <w:bottom w:val="nil"/>
              <w:right w:val="nil"/>
            </w:tcBorders>
            <w:shd w:val="clear" w:color="auto" w:fill="auto"/>
            <w:noWrap/>
            <w:vAlign w:val="center"/>
          </w:tcPr>
          <w:p w14:paraId="3FA5064D">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90.96b</w:t>
            </w:r>
          </w:p>
        </w:tc>
        <w:tc>
          <w:tcPr>
            <w:tcW w:w="1380" w:type="dxa"/>
            <w:tcBorders>
              <w:top w:val="single" w:color="000000" w:sz="12" w:space="0"/>
              <w:left w:val="nil"/>
              <w:bottom w:val="nil"/>
              <w:right w:val="nil"/>
            </w:tcBorders>
            <w:shd w:val="clear" w:color="auto" w:fill="auto"/>
            <w:noWrap/>
            <w:vAlign w:val="center"/>
          </w:tcPr>
          <w:p w14:paraId="67F17391">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0.0546</w:t>
            </w:r>
          </w:p>
        </w:tc>
      </w:tr>
      <w:tr w14:paraId="0957C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960" w:type="dxa"/>
            <w:tcBorders>
              <w:top w:val="nil"/>
              <w:left w:val="nil"/>
              <w:bottom w:val="nil"/>
              <w:right w:val="nil"/>
            </w:tcBorders>
            <w:shd w:val="clear" w:color="auto" w:fill="auto"/>
            <w:noWrap/>
            <w:vAlign w:val="center"/>
          </w:tcPr>
          <w:p w14:paraId="10F7818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A2</w:t>
            </w:r>
          </w:p>
        </w:tc>
        <w:tc>
          <w:tcPr>
            <w:tcW w:w="885" w:type="dxa"/>
            <w:tcBorders>
              <w:top w:val="nil"/>
              <w:left w:val="nil"/>
              <w:bottom w:val="nil"/>
              <w:right w:val="nil"/>
            </w:tcBorders>
            <w:shd w:val="clear" w:color="auto" w:fill="auto"/>
            <w:noWrap/>
            <w:vAlign w:val="center"/>
          </w:tcPr>
          <w:p w14:paraId="07DEAB5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23.94b</w:t>
            </w:r>
          </w:p>
        </w:tc>
        <w:tc>
          <w:tcPr>
            <w:tcW w:w="885" w:type="dxa"/>
            <w:tcBorders>
              <w:top w:val="nil"/>
              <w:left w:val="nil"/>
              <w:bottom w:val="nil"/>
              <w:right w:val="nil"/>
            </w:tcBorders>
            <w:shd w:val="clear" w:color="auto" w:fill="auto"/>
            <w:noWrap/>
            <w:vAlign w:val="center"/>
          </w:tcPr>
          <w:p w14:paraId="3BD8A66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9.17a</w:t>
            </w:r>
          </w:p>
        </w:tc>
        <w:tc>
          <w:tcPr>
            <w:tcW w:w="975" w:type="dxa"/>
            <w:tcBorders>
              <w:top w:val="nil"/>
              <w:left w:val="nil"/>
              <w:bottom w:val="nil"/>
              <w:right w:val="nil"/>
            </w:tcBorders>
            <w:shd w:val="clear" w:color="auto" w:fill="auto"/>
            <w:noWrap/>
            <w:vAlign w:val="center"/>
          </w:tcPr>
          <w:p w14:paraId="786B4044">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2.13b</w:t>
            </w:r>
          </w:p>
        </w:tc>
        <w:tc>
          <w:tcPr>
            <w:tcW w:w="915" w:type="dxa"/>
            <w:tcBorders>
              <w:top w:val="nil"/>
              <w:left w:val="nil"/>
              <w:bottom w:val="nil"/>
              <w:right w:val="nil"/>
            </w:tcBorders>
            <w:shd w:val="clear" w:color="auto" w:fill="auto"/>
            <w:noWrap/>
            <w:vAlign w:val="center"/>
          </w:tcPr>
          <w:p w14:paraId="6ADCCC0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73.80b</w:t>
            </w:r>
          </w:p>
        </w:tc>
        <w:tc>
          <w:tcPr>
            <w:tcW w:w="1050" w:type="dxa"/>
            <w:tcBorders>
              <w:top w:val="nil"/>
              <w:left w:val="nil"/>
              <w:bottom w:val="nil"/>
              <w:right w:val="nil"/>
            </w:tcBorders>
            <w:shd w:val="clear" w:color="auto" w:fill="auto"/>
            <w:noWrap/>
            <w:vAlign w:val="center"/>
          </w:tcPr>
          <w:p w14:paraId="2FA6DEB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10.50a</w:t>
            </w:r>
          </w:p>
        </w:tc>
        <w:tc>
          <w:tcPr>
            <w:tcW w:w="915" w:type="dxa"/>
            <w:tcBorders>
              <w:top w:val="nil"/>
              <w:left w:val="nil"/>
              <w:bottom w:val="nil"/>
              <w:right w:val="nil"/>
            </w:tcBorders>
            <w:shd w:val="clear" w:color="auto" w:fill="auto"/>
            <w:noWrap/>
            <w:vAlign w:val="center"/>
          </w:tcPr>
          <w:p w14:paraId="4D8702D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1.36b</w:t>
            </w:r>
          </w:p>
        </w:tc>
        <w:tc>
          <w:tcPr>
            <w:tcW w:w="1380" w:type="dxa"/>
            <w:tcBorders>
              <w:top w:val="nil"/>
              <w:left w:val="nil"/>
              <w:bottom w:val="nil"/>
              <w:right w:val="nil"/>
            </w:tcBorders>
            <w:shd w:val="clear" w:color="auto" w:fill="auto"/>
            <w:noWrap/>
            <w:vAlign w:val="center"/>
          </w:tcPr>
          <w:p w14:paraId="75AC5BA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90.98b</w:t>
            </w:r>
          </w:p>
        </w:tc>
        <w:tc>
          <w:tcPr>
            <w:tcW w:w="1380" w:type="dxa"/>
            <w:tcBorders>
              <w:top w:val="nil"/>
              <w:left w:val="nil"/>
              <w:bottom w:val="nil"/>
              <w:right w:val="nil"/>
            </w:tcBorders>
            <w:shd w:val="clear" w:color="auto" w:fill="auto"/>
            <w:noWrap/>
            <w:vAlign w:val="center"/>
          </w:tcPr>
          <w:p w14:paraId="4AEAA784">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0.0118</w:t>
            </w:r>
          </w:p>
        </w:tc>
      </w:tr>
      <w:tr w14:paraId="4E7A8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trPr>
        <w:tc>
          <w:tcPr>
            <w:tcW w:w="960" w:type="dxa"/>
            <w:tcBorders>
              <w:top w:val="nil"/>
              <w:left w:val="nil"/>
              <w:bottom w:val="single" w:color="000000" w:sz="12" w:space="0"/>
              <w:right w:val="nil"/>
            </w:tcBorders>
            <w:shd w:val="clear" w:color="auto" w:fill="auto"/>
            <w:noWrap/>
            <w:vAlign w:val="center"/>
          </w:tcPr>
          <w:p w14:paraId="5C4617E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A3</w:t>
            </w:r>
          </w:p>
        </w:tc>
        <w:tc>
          <w:tcPr>
            <w:tcW w:w="885" w:type="dxa"/>
            <w:tcBorders>
              <w:top w:val="nil"/>
              <w:left w:val="nil"/>
              <w:bottom w:val="single" w:color="000000" w:sz="12" w:space="0"/>
              <w:right w:val="nil"/>
            </w:tcBorders>
            <w:shd w:val="clear" w:color="auto" w:fill="auto"/>
            <w:noWrap/>
            <w:vAlign w:val="center"/>
          </w:tcPr>
          <w:p w14:paraId="7972F9FC">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25.10a</w:t>
            </w:r>
          </w:p>
        </w:tc>
        <w:tc>
          <w:tcPr>
            <w:tcW w:w="885" w:type="dxa"/>
            <w:tcBorders>
              <w:top w:val="nil"/>
              <w:left w:val="nil"/>
              <w:bottom w:val="single" w:color="000000" w:sz="12" w:space="0"/>
              <w:right w:val="nil"/>
            </w:tcBorders>
            <w:shd w:val="clear" w:color="auto" w:fill="auto"/>
            <w:noWrap/>
            <w:vAlign w:val="center"/>
          </w:tcPr>
          <w:p w14:paraId="357CB84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8.70c</w:t>
            </w:r>
          </w:p>
        </w:tc>
        <w:tc>
          <w:tcPr>
            <w:tcW w:w="975" w:type="dxa"/>
            <w:tcBorders>
              <w:top w:val="nil"/>
              <w:left w:val="nil"/>
              <w:bottom w:val="single" w:color="000000" w:sz="12" w:space="0"/>
              <w:right w:val="nil"/>
            </w:tcBorders>
            <w:shd w:val="clear" w:color="auto" w:fill="auto"/>
            <w:noWrap/>
            <w:vAlign w:val="center"/>
          </w:tcPr>
          <w:p w14:paraId="2530DC66">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2.35a</w:t>
            </w:r>
          </w:p>
        </w:tc>
        <w:tc>
          <w:tcPr>
            <w:tcW w:w="915" w:type="dxa"/>
            <w:tcBorders>
              <w:top w:val="nil"/>
              <w:left w:val="nil"/>
              <w:bottom w:val="single" w:color="000000" w:sz="12" w:space="0"/>
              <w:right w:val="nil"/>
            </w:tcBorders>
            <w:shd w:val="clear" w:color="auto" w:fill="auto"/>
            <w:noWrap/>
            <w:vAlign w:val="center"/>
          </w:tcPr>
          <w:p w14:paraId="0AE7495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77.33a</w:t>
            </w:r>
          </w:p>
        </w:tc>
        <w:tc>
          <w:tcPr>
            <w:tcW w:w="1050" w:type="dxa"/>
            <w:tcBorders>
              <w:top w:val="nil"/>
              <w:left w:val="nil"/>
              <w:bottom w:val="single" w:color="000000" w:sz="12" w:space="0"/>
              <w:right w:val="nil"/>
            </w:tcBorders>
            <w:shd w:val="clear" w:color="auto" w:fill="auto"/>
            <w:noWrap/>
            <w:vAlign w:val="center"/>
          </w:tcPr>
          <w:p w14:paraId="65F35BC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9.61b</w:t>
            </w:r>
          </w:p>
        </w:tc>
        <w:tc>
          <w:tcPr>
            <w:tcW w:w="915" w:type="dxa"/>
            <w:tcBorders>
              <w:top w:val="nil"/>
              <w:left w:val="nil"/>
              <w:bottom w:val="single" w:color="000000" w:sz="12" w:space="0"/>
              <w:right w:val="nil"/>
            </w:tcBorders>
            <w:shd w:val="clear" w:color="auto" w:fill="auto"/>
            <w:noWrap/>
            <w:vAlign w:val="center"/>
          </w:tcPr>
          <w:p w14:paraId="05C63322">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1.72a</w:t>
            </w:r>
          </w:p>
        </w:tc>
        <w:tc>
          <w:tcPr>
            <w:tcW w:w="1380" w:type="dxa"/>
            <w:tcBorders>
              <w:top w:val="nil"/>
              <w:left w:val="nil"/>
              <w:bottom w:val="single" w:color="000000" w:sz="12" w:space="0"/>
              <w:right w:val="nil"/>
            </w:tcBorders>
            <w:shd w:val="clear" w:color="auto" w:fill="auto"/>
            <w:noWrap/>
            <w:vAlign w:val="center"/>
          </w:tcPr>
          <w:p w14:paraId="36EA1E77">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91.97a</w:t>
            </w:r>
          </w:p>
        </w:tc>
        <w:tc>
          <w:tcPr>
            <w:tcW w:w="1380" w:type="dxa"/>
            <w:tcBorders>
              <w:top w:val="nil"/>
              <w:left w:val="nil"/>
              <w:bottom w:val="single" w:color="000000" w:sz="12" w:space="0"/>
              <w:right w:val="nil"/>
            </w:tcBorders>
            <w:shd w:val="clear" w:color="auto" w:fill="auto"/>
            <w:noWrap/>
            <w:vAlign w:val="center"/>
          </w:tcPr>
          <w:p w14:paraId="669EA004">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0.0089</w:t>
            </w:r>
          </w:p>
        </w:tc>
      </w:tr>
    </w:tbl>
    <w:p w14:paraId="7B9FB03A">
      <w:pPr>
        <w:spacing w:line="360" w:lineRule="auto"/>
        <w:rPr>
          <w:rFonts w:hint="eastAsia" w:ascii="宋体" w:hAnsi="宋体" w:eastAsia="宋体" w:cs="Arial"/>
          <w:b/>
          <w:kern w:val="0"/>
          <w:sz w:val="28"/>
          <w:szCs w:val="28"/>
          <w:lang w:eastAsia="zh-CN"/>
        </w:rPr>
      </w:pPr>
      <w:r>
        <w:rPr>
          <w:rFonts w:hint="eastAsia" w:ascii="宋体" w:hAnsi="宋体" w:eastAsia="宋体" w:cs="Arial"/>
          <w:b/>
          <w:kern w:val="0"/>
          <w:sz w:val="28"/>
          <w:szCs w:val="28"/>
          <w:lang w:val="en-US" w:eastAsia="zh-CN"/>
        </w:rPr>
        <w:t xml:space="preserve">          </w:t>
      </w:r>
      <w:r>
        <w:rPr>
          <w:rFonts w:hint="eastAsia" w:ascii="宋体" w:hAnsi="宋体" w:eastAsia="宋体" w:cs="Arial"/>
          <w:b/>
          <w:kern w:val="0"/>
          <w:sz w:val="28"/>
          <w:szCs w:val="28"/>
          <w:lang w:eastAsia="zh-CN"/>
        </w:rPr>
        <w:drawing>
          <wp:inline distT="0" distB="0" distL="114300" distR="114300">
            <wp:extent cx="5293360" cy="2301240"/>
            <wp:effectExtent l="0" t="0" r="2540" b="3810"/>
            <wp:docPr id="4" name="图片 4" descr="47d41a5374e8db7a2d84562d5400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7d41a5374e8db7a2d84562d5400f72"/>
                    <pic:cNvPicPr>
                      <a:picLocks noChangeAspect="1"/>
                    </pic:cNvPicPr>
                  </pic:nvPicPr>
                  <pic:blipFill>
                    <a:blip r:embed="rId4"/>
                    <a:srcRect b="35420"/>
                    <a:stretch>
                      <a:fillRect/>
                    </a:stretch>
                  </pic:blipFill>
                  <pic:spPr>
                    <a:xfrm>
                      <a:off x="0" y="0"/>
                      <a:ext cx="5293360" cy="2301240"/>
                    </a:xfrm>
                    <a:prstGeom prst="rect">
                      <a:avLst/>
                    </a:prstGeom>
                  </pic:spPr>
                </pic:pic>
              </a:graphicData>
            </a:graphic>
          </wp:inline>
        </w:drawing>
      </w:r>
    </w:p>
    <w:p w14:paraId="378CA529">
      <w:pPr>
        <w:spacing w:line="360" w:lineRule="auto"/>
        <w:jc w:val="center"/>
        <w:rPr>
          <w:rFonts w:hint="eastAsia" w:ascii="Times New Roman" w:hAnsi="黑体" w:eastAsia="黑体"/>
          <w:color w:val="000000" w:themeColor="text1"/>
          <w:sz w:val="18"/>
          <w:szCs w:val="18"/>
          <w:lang w:val="en-US" w:eastAsia="zh-CN"/>
          <w14:textFill>
            <w14:solidFill>
              <w14:schemeClr w14:val="tx1"/>
            </w14:solidFill>
          </w14:textFill>
        </w:rPr>
      </w:pPr>
      <w:r>
        <w:rPr>
          <w:rFonts w:hint="eastAsia" w:ascii="Times New Roman" w:hAnsi="黑体" w:eastAsia="黑体"/>
          <w:color w:val="000000" w:themeColor="text1"/>
          <w:sz w:val="18"/>
          <w:szCs w:val="18"/>
          <w:lang w:val="en-US" w:eastAsia="zh-CN"/>
          <w14:textFill>
            <w14:solidFill>
              <w14:schemeClr w14:val="tx1"/>
            </w14:solidFill>
          </w14:textFill>
        </w:rPr>
        <w:t>图1.左为地布育苗方式，右为湿润苗方式</w:t>
      </w:r>
    </w:p>
    <w:p w14:paraId="3E70CAE3">
      <w:pPr>
        <w:spacing w:line="360" w:lineRule="auto"/>
        <w:jc w:val="center"/>
        <w:rPr>
          <w:rFonts w:hint="eastAsia" w:ascii="Times New Roman" w:hAnsi="黑体" w:eastAsia="黑体"/>
          <w:color w:val="000000" w:themeColor="text1"/>
          <w:sz w:val="18"/>
          <w:szCs w:val="18"/>
          <w:lang w:val="en-US" w:eastAsia="zh-CN"/>
          <w14:textFill>
            <w14:solidFill>
              <w14:schemeClr w14:val="tx1"/>
            </w14:solidFill>
          </w14:textFill>
        </w:rPr>
      </w:pPr>
    </w:p>
    <w:p w14:paraId="2F067D70">
      <w:pPr>
        <w:spacing w:line="360" w:lineRule="auto"/>
        <w:jc w:val="both"/>
        <w:rPr>
          <w:rFonts w:hint="default" w:ascii="Times New Roman" w:hAnsi="黑体" w:eastAsia="黑体"/>
          <w:color w:val="000000" w:themeColor="text1"/>
          <w:sz w:val="18"/>
          <w:szCs w:val="18"/>
          <w:lang w:val="en-US" w:eastAsia="zh-CN"/>
          <w14:textFill>
            <w14:solidFill>
              <w14:schemeClr w14:val="tx1"/>
            </w14:solidFill>
          </w14:textFill>
        </w:rPr>
      </w:pPr>
      <w:r>
        <w:rPr>
          <w:rFonts w:hint="eastAsia" w:ascii="Times New Roman" w:hAnsi="黑体" w:eastAsia="黑体"/>
          <w:color w:val="000000" w:themeColor="text1"/>
          <w:sz w:val="18"/>
          <w:szCs w:val="18"/>
          <w:lang w:val="en-US" w:eastAsia="zh-CN"/>
          <w14:textFill>
            <w14:solidFill>
              <w14:schemeClr w14:val="tx1"/>
            </w14:solidFill>
          </w14:textFill>
        </w:rPr>
        <w:t xml:space="preserve">     </w:t>
      </w:r>
      <w:r>
        <w:rPr>
          <w:rFonts w:hint="eastAsia" w:ascii="Times New Roman" w:hAnsi="黑体" w:eastAsia="黑体"/>
          <w:color w:val="000000" w:themeColor="text1"/>
          <w:sz w:val="18"/>
          <w:szCs w:val="18"/>
          <w:lang w:val="en-US" w:eastAsia="zh-CN"/>
          <w14:textFill>
            <w14:solidFill>
              <w14:schemeClr w14:val="tx1"/>
            </w14:solidFill>
          </w14:textFill>
        </w:rPr>
        <w:drawing>
          <wp:inline distT="0" distB="0" distL="114300" distR="114300">
            <wp:extent cx="1890395" cy="1660525"/>
            <wp:effectExtent l="0" t="0" r="14605" b="15875"/>
            <wp:docPr id="6" name="图片 6" descr="261458724427121c222e003ec2b9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61458724427121c222e003ec2b9c2c"/>
                    <pic:cNvPicPr>
                      <a:picLocks noChangeAspect="1"/>
                    </pic:cNvPicPr>
                  </pic:nvPicPr>
                  <pic:blipFill>
                    <a:blip r:embed="rId5"/>
                    <a:srcRect l="14615"/>
                    <a:stretch>
                      <a:fillRect/>
                    </a:stretch>
                  </pic:blipFill>
                  <pic:spPr>
                    <a:xfrm>
                      <a:off x="0" y="0"/>
                      <a:ext cx="1890395" cy="1660525"/>
                    </a:xfrm>
                    <a:prstGeom prst="rect">
                      <a:avLst/>
                    </a:prstGeom>
                  </pic:spPr>
                </pic:pic>
              </a:graphicData>
            </a:graphic>
          </wp:inline>
        </w:drawing>
      </w:r>
      <w:r>
        <w:rPr>
          <w:rFonts w:hint="eastAsia" w:ascii="Times New Roman" w:hAnsi="黑体" w:eastAsia="黑体"/>
          <w:color w:val="000000" w:themeColor="text1"/>
          <w:sz w:val="18"/>
          <w:szCs w:val="18"/>
          <w:lang w:val="en-US" w:eastAsia="zh-CN"/>
          <w14:textFill>
            <w14:solidFill>
              <w14:schemeClr w14:val="tx1"/>
            </w14:solidFill>
          </w14:textFill>
        </w:rPr>
        <w:t xml:space="preserve">               </w:t>
      </w:r>
      <w:r>
        <w:rPr>
          <w:rFonts w:hint="default" w:ascii="Times New Roman" w:hAnsi="黑体" w:eastAsia="黑体"/>
          <w:color w:val="000000" w:themeColor="text1"/>
          <w:sz w:val="18"/>
          <w:szCs w:val="18"/>
          <w:lang w:val="en-US" w:eastAsia="zh-CN"/>
          <w14:textFill>
            <w14:solidFill>
              <w14:schemeClr w14:val="tx1"/>
            </w14:solidFill>
          </w14:textFill>
        </w:rPr>
        <w:drawing>
          <wp:inline distT="0" distB="0" distL="114300" distR="114300">
            <wp:extent cx="1880235" cy="1646555"/>
            <wp:effectExtent l="0" t="0" r="5715" b="10795"/>
            <wp:docPr id="7" name="图片 7" descr="04f78ce532c95d14fcc1161f4b01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4f78ce532c95d14fcc1161f4b019be"/>
                    <pic:cNvPicPr>
                      <a:picLocks noChangeAspect="1"/>
                    </pic:cNvPicPr>
                  </pic:nvPicPr>
                  <pic:blipFill>
                    <a:blip r:embed="rId6"/>
                    <a:srcRect l="19238" b="60214"/>
                    <a:stretch>
                      <a:fillRect/>
                    </a:stretch>
                  </pic:blipFill>
                  <pic:spPr>
                    <a:xfrm rot="10800000">
                      <a:off x="0" y="0"/>
                      <a:ext cx="1880235" cy="1646555"/>
                    </a:xfrm>
                    <a:prstGeom prst="rect">
                      <a:avLst/>
                    </a:prstGeom>
                  </pic:spPr>
                </pic:pic>
              </a:graphicData>
            </a:graphic>
          </wp:inline>
        </w:drawing>
      </w:r>
    </w:p>
    <w:p w14:paraId="46DDDE23">
      <w:pPr>
        <w:spacing w:line="360" w:lineRule="auto"/>
        <w:jc w:val="center"/>
        <w:rPr>
          <w:rFonts w:hint="eastAsia" w:ascii="Times New Roman" w:hAnsi="黑体" w:eastAsia="黑体"/>
          <w:color w:val="000000" w:themeColor="text1"/>
          <w:sz w:val="18"/>
          <w:szCs w:val="18"/>
          <w:lang w:val="en-US" w:eastAsia="zh-CN"/>
          <w14:textFill>
            <w14:solidFill>
              <w14:schemeClr w14:val="tx1"/>
            </w14:solidFill>
          </w14:textFill>
        </w:rPr>
      </w:pPr>
      <w:r>
        <w:rPr>
          <w:rFonts w:hint="eastAsia" w:ascii="Times New Roman" w:hAnsi="黑体" w:eastAsia="黑体"/>
          <w:color w:val="000000" w:themeColor="text1"/>
          <w:sz w:val="18"/>
          <w:szCs w:val="18"/>
          <w:lang w:val="en-US" w:eastAsia="zh-CN"/>
          <w14:textFill>
            <w14:solidFill>
              <w14:schemeClr w14:val="tx1"/>
            </w14:solidFill>
          </w14:textFill>
        </w:rPr>
        <w:t>图2.左为地布育苗方式，右为湿润苗方式</w:t>
      </w:r>
    </w:p>
    <w:p w14:paraId="230FDC4D">
      <w:pPr>
        <w:spacing w:line="360" w:lineRule="auto"/>
        <w:rPr>
          <w:rFonts w:hint="default" w:ascii="宋体" w:hAnsi="宋体" w:eastAsia="宋体"/>
          <w:b w:val="0"/>
          <w:bCs/>
          <w:sz w:val="24"/>
          <w:szCs w:val="24"/>
          <w:lang w:val="en-US" w:eastAsia="zh-CN"/>
        </w:rPr>
      </w:pPr>
      <w:r>
        <w:rPr>
          <w:rFonts w:hint="eastAsia" w:ascii="宋体" w:hAnsi="宋体" w:eastAsia="宋体" w:cs="Arial"/>
          <w:b w:val="0"/>
          <w:bCs/>
          <w:kern w:val="0"/>
          <w:sz w:val="24"/>
          <w:szCs w:val="24"/>
          <w:lang w:val="en-US" w:eastAsia="zh-CN"/>
        </w:rPr>
        <w:t>2</w:t>
      </w:r>
      <w:r>
        <w:rPr>
          <w:rFonts w:hint="eastAsia" w:ascii="宋体" w:hAnsi="宋体" w:eastAsia="宋体" w:cs="Arial"/>
          <w:b w:val="0"/>
          <w:bCs/>
          <w:kern w:val="0"/>
          <w:sz w:val="24"/>
          <w:szCs w:val="24"/>
        </w:rPr>
        <w:t>.</w:t>
      </w:r>
      <w:r>
        <w:rPr>
          <w:rFonts w:hint="eastAsia" w:ascii="宋体" w:hAnsi="宋体" w:eastAsia="宋体" w:cs="Arial"/>
          <w:b w:val="0"/>
          <w:bCs/>
          <w:kern w:val="0"/>
          <w:sz w:val="24"/>
          <w:szCs w:val="24"/>
          <w:lang w:val="en-US" w:eastAsia="zh-CN"/>
        </w:rPr>
        <w:t>3 生化调控措施对白肋烟生长发育及品质的影响</w:t>
      </w:r>
    </w:p>
    <w:p w14:paraId="112A38C1">
      <w:pPr>
        <w:spacing w:line="360" w:lineRule="auto"/>
        <w:ind w:firstLine="480" w:firstLineChars="200"/>
        <w:rPr>
          <w:rFonts w:hint="eastAsia" w:ascii="宋体" w:hAnsi="宋体" w:eastAsia="宋体" w:cs="宋体"/>
          <w:i w:val="0"/>
          <w:iCs w:val="0"/>
          <w:color w:val="000000"/>
          <w:sz w:val="24"/>
          <w:szCs w:val="24"/>
          <w:u w:val="none"/>
          <w:lang w:val="en-US" w:eastAsia="zh-CN"/>
        </w:rPr>
      </w:pPr>
      <w:r>
        <w:rPr>
          <w:rFonts w:hint="eastAsia" w:ascii="宋体" w:hAnsi="宋体" w:eastAsia="宋体"/>
          <w:sz w:val="24"/>
          <w:szCs w:val="24"/>
          <w:lang w:val="en-US" w:eastAsia="zh-CN"/>
        </w:rPr>
        <w:t>由表3可以看出，不同生化调控措施对打顶后10天及调制后烟叶品质具有明显调控作用，打顶后10天的第10叶位叶面积为以B1C2、</w:t>
      </w:r>
      <w:r>
        <w:rPr>
          <w:rFonts w:hint="eastAsia" w:ascii="宋体" w:hAnsi="宋体" w:eastAsia="宋体" w:cs="宋体"/>
          <w:i w:val="0"/>
          <w:iCs w:val="0"/>
          <w:color w:val="000000"/>
          <w:sz w:val="24"/>
          <w:szCs w:val="24"/>
          <w:u w:val="none"/>
          <w:lang w:val="en-US" w:eastAsia="zh-CN"/>
        </w:rPr>
        <w:t>B1C3处理最大，其中B1C3处理较B1C1（CK）处理增加了4.02%，以B2C2处理最小，且显著低于其他处理；株高、茎围、上等烟比例均以B1C3处理最高，但打顶后10天的5个处理的株高与对照的差异均不显著，无统计学意义，上等烟比例虽以B1C3处理最高，但与B2C3处理差异不显著，其中变异系数为B2C3处理最小，B1C3次之。</w:t>
      </w:r>
    </w:p>
    <w:p w14:paraId="568A66F3">
      <w:pPr>
        <w:spacing w:line="360" w:lineRule="auto"/>
        <w:ind w:firstLine="480" w:firstLineChars="200"/>
        <w:rPr>
          <w:rFonts w:hint="default" w:ascii="宋体" w:hAnsi="宋体" w:eastAsia="宋体"/>
          <w:sz w:val="24"/>
          <w:szCs w:val="24"/>
          <w:lang w:val="en-US" w:eastAsia="zh-CN"/>
        </w:rPr>
      </w:pPr>
      <w:r>
        <w:rPr>
          <w:rFonts w:hint="eastAsia" w:ascii="宋体" w:hAnsi="宋体" w:eastAsia="宋体" w:cs="宋体"/>
          <w:i w:val="0"/>
          <w:iCs w:val="0"/>
          <w:color w:val="000000"/>
          <w:sz w:val="24"/>
          <w:szCs w:val="24"/>
          <w:u w:val="none"/>
          <w:lang w:val="en-US" w:eastAsia="zh-CN"/>
        </w:rPr>
        <w:t>由上述结果分析可得，表油菜素内酯喷施对中部叶开片具有显著影响，但对株高影响不显著，茎围以B1C2、B1C3、B2C3处理最大，上等烟比例以B1C3、B2C3处理最高，但变异系数以B2C3处理最小，说明表油菜素材质喷施可以提高烟叶均质化程度，且对生长发育弱势烟株中部叶起到生长补偿作用。</w:t>
      </w:r>
    </w:p>
    <w:p w14:paraId="55B33787">
      <w:pPr>
        <w:spacing w:line="360" w:lineRule="auto"/>
        <w:rPr>
          <w:rFonts w:hint="eastAsia" w:ascii="宋体" w:hAnsi="宋体" w:eastAsia="宋体" w:cs="宋体"/>
          <w:i w:val="0"/>
          <w:iCs w:val="0"/>
          <w:color w:val="000000"/>
          <w:sz w:val="22"/>
          <w:szCs w:val="22"/>
          <w:u w:val="none"/>
          <w:lang w:val="en-US" w:eastAsia="zh-CN"/>
        </w:rPr>
      </w:pPr>
    </w:p>
    <w:p w14:paraId="0D01DE6F">
      <w:pPr>
        <w:spacing w:line="360" w:lineRule="auto"/>
        <w:jc w:val="center"/>
        <w:rPr>
          <w:rFonts w:hint="eastAsia" w:ascii="宋体" w:hAnsi="宋体" w:eastAsia="宋体"/>
          <w:b w:val="0"/>
          <w:bCs w:val="0"/>
          <w:sz w:val="21"/>
          <w:szCs w:val="21"/>
          <w:lang w:val="en-US" w:eastAsia="zh-CN"/>
        </w:rPr>
      </w:pPr>
    </w:p>
    <w:p w14:paraId="00A595E6">
      <w:pPr>
        <w:spacing w:line="360" w:lineRule="auto"/>
        <w:jc w:val="center"/>
        <w:rPr>
          <w:rFonts w:hint="default" w:ascii="宋体" w:hAnsi="宋体" w:eastAsia="宋体"/>
          <w:b w:val="0"/>
          <w:bCs w:val="0"/>
          <w:sz w:val="21"/>
          <w:szCs w:val="21"/>
          <w:lang w:val="en-US" w:eastAsia="zh-CN"/>
        </w:rPr>
      </w:pPr>
      <w:r>
        <w:rPr>
          <w:rFonts w:hint="eastAsia" w:ascii="宋体" w:hAnsi="宋体" w:eastAsia="宋体"/>
          <w:b w:val="0"/>
          <w:bCs w:val="0"/>
          <w:sz w:val="21"/>
          <w:szCs w:val="21"/>
          <w:lang w:val="en-US" w:eastAsia="zh-CN"/>
        </w:rPr>
        <w:t>表3打顶后10天白肋烟生长发育及品质的差异</w:t>
      </w:r>
    </w:p>
    <w:tbl>
      <w:tblPr>
        <w:tblStyle w:val="2"/>
        <w:tblpPr w:leftFromText="180" w:rightFromText="180" w:vertAnchor="text" w:horzAnchor="page" w:tblpX="1600" w:tblpY="341"/>
        <w:tblOverlap w:val="never"/>
        <w:tblW w:w="864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60"/>
        <w:gridCol w:w="1125"/>
        <w:gridCol w:w="1080"/>
        <w:gridCol w:w="1110"/>
        <w:gridCol w:w="1650"/>
        <w:gridCol w:w="1358"/>
        <w:gridCol w:w="1358"/>
      </w:tblGrid>
      <w:tr w14:paraId="52CAB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6" w:hRule="atLeast"/>
        </w:trPr>
        <w:tc>
          <w:tcPr>
            <w:tcW w:w="960" w:type="dxa"/>
            <w:tcBorders>
              <w:top w:val="single" w:color="000000" w:sz="12" w:space="0"/>
              <w:left w:val="nil"/>
              <w:bottom w:val="nil"/>
              <w:right w:val="nil"/>
            </w:tcBorders>
            <w:shd w:val="clear" w:color="auto" w:fill="auto"/>
            <w:noWrap/>
            <w:vAlign w:val="center"/>
          </w:tcPr>
          <w:p w14:paraId="62808B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w:t>
            </w:r>
          </w:p>
        </w:tc>
        <w:tc>
          <w:tcPr>
            <w:tcW w:w="1125" w:type="dxa"/>
            <w:tcBorders>
              <w:top w:val="single" w:color="000000" w:sz="12" w:space="0"/>
              <w:left w:val="nil"/>
              <w:bottom w:val="nil"/>
              <w:right w:val="nil"/>
            </w:tcBorders>
            <w:shd w:val="clear" w:color="auto" w:fill="auto"/>
            <w:noWrap/>
            <w:vAlign w:val="center"/>
          </w:tcPr>
          <w:p w14:paraId="76CBE07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第10叶位叶面积（cm</w:t>
            </w:r>
            <w:r>
              <w:rPr>
                <w:rFonts w:hint="eastAsia" w:ascii="宋体" w:hAnsi="宋体" w:eastAsia="宋体" w:cs="宋体"/>
                <w:i w:val="0"/>
                <w:iCs w:val="0"/>
                <w:color w:val="000000"/>
                <w:kern w:val="0"/>
                <w:sz w:val="22"/>
                <w:szCs w:val="22"/>
                <w:u w:val="none"/>
                <w:vertAlign w:val="superscript"/>
                <w:lang w:val="en-US" w:eastAsia="zh-CN" w:bidi="ar"/>
              </w:rPr>
              <w:t>2</w:t>
            </w:r>
            <w:r>
              <w:rPr>
                <w:rFonts w:hint="eastAsia" w:ascii="宋体" w:hAnsi="宋体" w:eastAsia="宋体" w:cs="宋体"/>
                <w:i w:val="0"/>
                <w:iCs w:val="0"/>
                <w:color w:val="000000"/>
                <w:kern w:val="0"/>
                <w:sz w:val="22"/>
                <w:szCs w:val="22"/>
                <w:u w:val="none"/>
                <w:lang w:val="en-US" w:eastAsia="zh-CN" w:bidi="ar"/>
              </w:rPr>
              <w:t>）</w:t>
            </w:r>
          </w:p>
        </w:tc>
        <w:tc>
          <w:tcPr>
            <w:tcW w:w="1080" w:type="dxa"/>
            <w:tcBorders>
              <w:top w:val="single" w:color="000000" w:sz="12" w:space="0"/>
              <w:left w:val="nil"/>
              <w:bottom w:val="nil"/>
              <w:right w:val="nil"/>
            </w:tcBorders>
            <w:shd w:val="clear" w:color="auto" w:fill="auto"/>
            <w:noWrap/>
            <w:vAlign w:val="center"/>
          </w:tcPr>
          <w:p w14:paraId="7A50FEC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株高</w:t>
            </w:r>
          </w:p>
          <w:p w14:paraId="2F085FC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（cm）</w:t>
            </w:r>
          </w:p>
        </w:tc>
        <w:tc>
          <w:tcPr>
            <w:tcW w:w="1110" w:type="dxa"/>
            <w:tcBorders>
              <w:top w:val="single" w:color="000000" w:sz="12" w:space="0"/>
              <w:left w:val="nil"/>
              <w:bottom w:val="nil"/>
              <w:right w:val="nil"/>
            </w:tcBorders>
            <w:shd w:val="clear" w:color="auto" w:fill="auto"/>
            <w:noWrap/>
            <w:vAlign w:val="center"/>
          </w:tcPr>
          <w:p w14:paraId="5E580A3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茎围</w:t>
            </w:r>
          </w:p>
          <w:p w14:paraId="73EDBAA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（cm）</w:t>
            </w:r>
          </w:p>
        </w:tc>
        <w:tc>
          <w:tcPr>
            <w:tcW w:w="1650" w:type="dxa"/>
            <w:tcBorders>
              <w:top w:val="single" w:color="000000" w:sz="12" w:space="0"/>
              <w:left w:val="nil"/>
              <w:bottom w:val="single" w:color="000000" w:sz="12" w:space="0"/>
              <w:right w:val="nil"/>
            </w:tcBorders>
            <w:shd w:val="clear" w:color="auto" w:fill="auto"/>
            <w:vAlign w:val="center"/>
          </w:tcPr>
          <w:p w14:paraId="7C6858C6">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上等烟比例</w:t>
            </w:r>
          </w:p>
        </w:tc>
        <w:tc>
          <w:tcPr>
            <w:tcW w:w="1358" w:type="dxa"/>
            <w:tcBorders>
              <w:top w:val="single" w:color="000000" w:sz="12" w:space="0"/>
              <w:left w:val="nil"/>
              <w:bottom w:val="single" w:color="000000" w:sz="12" w:space="0"/>
              <w:right w:val="nil"/>
            </w:tcBorders>
            <w:shd w:val="clear" w:color="auto" w:fill="auto"/>
            <w:vAlign w:val="center"/>
          </w:tcPr>
          <w:p w14:paraId="7A34BAE2">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产量</w:t>
            </w:r>
          </w:p>
          <w:p w14:paraId="6D8AB1E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（kg/hm</w:t>
            </w:r>
            <w:r>
              <w:rPr>
                <w:rFonts w:hint="eastAsia" w:ascii="宋体" w:hAnsi="宋体" w:eastAsia="宋体" w:cs="宋体"/>
                <w:i w:val="0"/>
                <w:iCs w:val="0"/>
                <w:color w:val="000000"/>
                <w:kern w:val="0"/>
                <w:sz w:val="22"/>
                <w:szCs w:val="22"/>
                <w:u w:val="none"/>
                <w:vertAlign w:val="superscript"/>
                <w:lang w:val="en-US" w:eastAsia="zh-CN" w:bidi="ar"/>
              </w:rPr>
              <w:t>-2</w:t>
            </w:r>
            <w:r>
              <w:rPr>
                <w:rFonts w:hint="eastAsia" w:ascii="宋体" w:hAnsi="宋体" w:eastAsia="宋体" w:cs="宋体"/>
                <w:i w:val="0"/>
                <w:iCs w:val="0"/>
                <w:color w:val="000000"/>
                <w:kern w:val="0"/>
                <w:sz w:val="22"/>
                <w:szCs w:val="22"/>
                <w:u w:val="none"/>
                <w:lang w:val="en-US" w:eastAsia="zh-CN" w:bidi="ar"/>
              </w:rPr>
              <w:t>）</w:t>
            </w:r>
          </w:p>
        </w:tc>
        <w:tc>
          <w:tcPr>
            <w:tcW w:w="1358" w:type="dxa"/>
            <w:tcBorders>
              <w:top w:val="single" w:color="000000" w:sz="12" w:space="0"/>
              <w:left w:val="nil"/>
              <w:bottom w:val="single" w:color="000000" w:sz="12" w:space="0"/>
              <w:right w:val="nil"/>
            </w:tcBorders>
            <w:shd w:val="clear" w:color="auto" w:fill="auto"/>
            <w:vAlign w:val="center"/>
          </w:tcPr>
          <w:p w14:paraId="7C52FA0C">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变异系数</w:t>
            </w:r>
          </w:p>
        </w:tc>
      </w:tr>
      <w:tr w14:paraId="0D62E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60" w:type="dxa"/>
            <w:tcBorders>
              <w:top w:val="single" w:color="000000" w:sz="12" w:space="0"/>
              <w:left w:val="nil"/>
              <w:bottom w:val="nil"/>
              <w:right w:val="nil"/>
            </w:tcBorders>
            <w:shd w:val="clear" w:color="auto" w:fill="auto"/>
            <w:noWrap/>
            <w:vAlign w:val="center"/>
          </w:tcPr>
          <w:p w14:paraId="27E2A33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B1C1（CK）</w:t>
            </w:r>
          </w:p>
        </w:tc>
        <w:tc>
          <w:tcPr>
            <w:tcW w:w="1125" w:type="dxa"/>
            <w:tcBorders>
              <w:top w:val="single" w:color="000000" w:sz="12" w:space="0"/>
              <w:left w:val="nil"/>
              <w:bottom w:val="nil"/>
              <w:right w:val="nil"/>
            </w:tcBorders>
            <w:shd w:val="clear" w:color="auto" w:fill="auto"/>
            <w:noWrap/>
            <w:vAlign w:val="center"/>
          </w:tcPr>
          <w:p w14:paraId="003F4A3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1814.67d</w:t>
            </w:r>
          </w:p>
        </w:tc>
        <w:tc>
          <w:tcPr>
            <w:tcW w:w="1080" w:type="dxa"/>
            <w:tcBorders>
              <w:top w:val="single" w:color="000000" w:sz="12" w:space="0"/>
              <w:left w:val="nil"/>
              <w:bottom w:val="nil"/>
              <w:right w:val="nil"/>
            </w:tcBorders>
            <w:shd w:val="clear" w:color="auto" w:fill="auto"/>
            <w:noWrap/>
            <w:vAlign w:val="center"/>
          </w:tcPr>
          <w:p w14:paraId="573CFAE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105.53a</w:t>
            </w:r>
          </w:p>
        </w:tc>
        <w:tc>
          <w:tcPr>
            <w:tcW w:w="1110" w:type="dxa"/>
            <w:tcBorders>
              <w:top w:val="single" w:color="000000" w:sz="12" w:space="0"/>
              <w:left w:val="nil"/>
              <w:bottom w:val="nil"/>
              <w:right w:val="nil"/>
            </w:tcBorders>
            <w:shd w:val="clear" w:color="auto" w:fill="auto"/>
            <w:noWrap/>
            <w:vAlign w:val="center"/>
          </w:tcPr>
          <w:p w14:paraId="5B68D705">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9.73b</w:t>
            </w:r>
          </w:p>
        </w:tc>
        <w:tc>
          <w:tcPr>
            <w:tcW w:w="1650" w:type="dxa"/>
            <w:tcBorders>
              <w:top w:val="single" w:color="000000" w:sz="12" w:space="0"/>
              <w:left w:val="nil"/>
              <w:bottom w:val="nil"/>
              <w:right w:val="nil"/>
            </w:tcBorders>
            <w:shd w:val="clear" w:color="auto" w:fill="auto"/>
            <w:noWrap/>
            <w:vAlign w:val="center"/>
          </w:tcPr>
          <w:p w14:paraId="1DC43E5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91.00b</w:t>
            </w:r>
          </w:p>
        </w:tc>
        <w:tc>
          <w:tcPr>
            <w:tcW w:w="1358" w:type="dxa"/>
            <w:tcBorders>
              <w:top w:val="single" w:color="000000" w:sz="12" w:space="0"/>
              <w:left w:val="nil"/>
              <w:bottom w:val="nil"/>
              <w:right w:val="nil"/>
            </w:tcBorders>
            <w:shd w:val="clear" w:color="auto" w:fill="auto"/>
            <w:noWrap/>
            <w:vAlign w:val="center"/>
          </w:tcPr>
          <w:p w14:paraId="4913AB97">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3007a</w:t>
            </w:r>
          </w:p>
        </w:tc>
        <w:tc>
          <w:tcPr>
            <w:tcW w:w="1358" w:type="dxa"/>
            <w:tcBorders>
              <w:top w:val="single" w:color="000000" w:sz="12" w:space="0"/>
              <w:left w:val="nil"/>
              <w:bottom w:val="nil"/>
              <w:right w:val="nil"/>
            </w:tcBorders>
            <w:shd w:val="clear" w:color="auto" w:fill="auto"/>
            <w:noWrap/>
            <w:vAlign w:val="center"/>
          </w:tcPr>
          <w:p w14:paraId="7A5F524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0.0216</w:t>
            </w:r>
          </w:p>
        </w:tc>
      </w:tr>
      <w:tr w14:paraId="5C699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960" w:type="dxa"/>
            <w:tcBorders>
              <w:top w:val="nil"/>
              <w:left w:val="nil"/>
              <w:bottom w:val="nil"/>
              <w:right w:val="nil"/>
            </w:tcBorders>
            <w:shd w:val="clear" w:color="auto" w:fill="auto"/>
            <w:noWrap/>
            <w:vAlign w:val="center"/>
          </w:tcPr>
          <w:p w14:paraId="7CA8591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B1C2</w:t>
            </w:r>
          </w:p>
        </w:tc>
        <w:tc>
          <w:tcPr>
            <w:tcW w:w="1125" w:type="dxa"/>
            <w:tcBorders>
              <w:top w:val="nil"/>
              <w:left w:val="nil"/>
              <w:bottom w:val="nil"/>
              <w:right w:val="nil"/>
            </w:tcBorders>
            <w:shd w:val="clear" w:color="auto" w:fill="auto"/>
            <w:noWrap/>
            <w:vAlign w:val="center"/>
          </w:tcPr>
          <w:p w14:paraId="16E07D0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1879.00a</w:t>
            </w:r>
          </w:p>
        </w:tc>
        <w:tc>
          <w:tcPr>
            <w:tcW w:w="1080" w:type="dxa"/>
            <w:tcBorders>
              <w:top w:val="nil"/>
              <w:left w:val="nil"/>
              <w:bottom w:val="nil"/>
              <w:right w:val="nil"/>
            </w:tcBorders>
            <w:shd w:val="clear" w:color="auto" w:fill="auto"/>
            <w:noWrap/>
            <w:vAlign w:val="center"/>
          </w:tcPr>
          <w:p w14:paraId="359F97F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108.73a</w:t>
            </w:r>
          </w:p>
        </w:tc>
        <w:tc>
          <w:tcPr>
            <w:tcW w:w="1110" w:type="dxa"/>
            <w:tcBorders>
              <w:top w:val="nil"/>
              <w:left w:val="nil"/>
              <w:bottom w:val="nil"/>
              <w:right w:val="nil"/>
            </w:tcBorders>
            <w:shd w:val="clear" w:color="auto" w:fill="auto"/>
            <w:noWrap/>
            <w:vAlign w:val="center"/>
          </w:tcPr>
          <w:p w14:paraId="0A6FA9D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10.80a</w:t>
            </w:r>
          </w:p>
        </w:tc>
        <w:tc>
          <w:tcPr>
            <w:tcW w:w="1650" w:type="dxa"/>
            <w:tcBorders>
              <w:top w:val="nil"/>
              <w:left w:val="nil"/>
              <w:bottom w:val="nil"/>
              <w:right w:val="nil"/>
            </w:tcBorders>
            <w:shd w:val="clear" w:color="auto" w:fill="auto"/>
            <w:noWrap/>
            <w:vAlign w:val="center"/>
          </w:tcPr>
          <w:p w14:paraId="4F60F98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91.51ab</w:t>
            </w:r>
          </w:p>
        </w:tc>
        <w:tc>
          <w:tcPr>
            <w:tcW w:w="1358" w:type="dxa"/>
            <w:tcBorders>
              <w:top w:val="nil"/>
              <w:left w:val="nil"/>
              <w:bottom w:val="nil"/>
              <w:right w:val="nil"/>
            </w:tcBorders>
            <w:shd w:val="clear" w:color="auto" w:fill="auto"/>
            <w:noWrap/>
            <w:vAlign w:val="center"/>
          </w:tcPr>
          <w:p w14:paraId="3D25D53C">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3049a</w:t>
            </w:r>
          </w:p>
        </w:tc>
        <w:tc>
          <w:tcPr>
            <w:tcW w:w="1358" w:type="dxa"/>
            <w:tcBorders>
              <w:top w:val="nil"/>
              <w:left w:val="nil"/>
              <w:bottom w:val="nil"/>
              <w:right w:val="nil"/>
            </w:tcBorders>
            <w:shd w:val="clear" w:color="auto" w:fill="auto"/>
            <w:noWrap/>
            <w:vAlign w:val="center"/>
          </w:tcPr>
          <w:p w14:paraId="14FAAA1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0.0162</w:t>
            </w:r>
          </w:p>
        </w:tc>
      </w:tr>
      <w:tr w14:paraId="6A86F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960" w:type="dxa"/>
            <w:tcBorders>
              <w:top w:val="nil"/>
              <w:left w:val="nil"/>
              <w:bottom w:val="nil"/>
              <w:right w:val="nil"/>
            </w:tcBorders>
            <w:shd w:val="clear" w:color="auto" w:fill="auto"/>
            <w:noWrap/>
            <w:vAlign w:val="center"/>
          </w:tcPr>
          <w:p w14:paraId="7F65987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B1C3</w:t>
            </w:r>
          </w:p>
        </w:tc>
        <w:tc>
          <w:tcPr>
            <w:tcW w:w="1125" w:type="dxa"/>
            <w:tcBorders>
              <w:top w:val="nil"/>
              <w:left w:val="nil"/>
              <w:bottom w:val="nil"/>
              <w:right w:val="nil"/>
            </w:tcBorders>
            <w:shd w:val="clear" w:color="auto" w:fill="auto"/>
            <w:noWrap/>
            <w:vAlign w:val="center"/>
          </w:tcPr>
          <w:p w14:paraId="75D379A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1887.53a</w:t>
            </w:r>
          </w:p>
        </w:tc>
        <w:tc>
          <w:tcPr>
            <w:tcW w:w="1080" w:type="dxa"/>
            <w:tcBorders>
              <w:top w:val="nil"/>
              <w:left w:val="nil"/>
              <w:bottom w:val="nil"/>
              <w:right w:val="nil"/>
            </w:tcBorders>
            <w:shd w:val="clear" w:color="auto" w:fill="auto"/>
            <w:noWrap/>
            <w:vAlign w:val="center"/>
          </w:tcPr>
          <w:p w14:paraId="3C4CC8A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109.80a</w:t>
            </w:r>
          </w:p>
        </w:tc>
        <w:tc>
          <w:tcPr>
            <w:tcW w:w="1110" w:type="dxa"/>
            <w:tcBorders>
              <w:top w:val="nil"/>
              <w:left w:val="nil"/>
              <w:bottom w:val="nil"/>
              <w:right w:val="nil"/>
            </w:tcBorders>
            <w:shd w:val="clear" w:color="auto" w:fill="auto"/>
            <w:noWrap/>
            <w:vAlign w:val="center"/>
          </w:tcPr>
          <w:p w14:paraId="0D350FD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11.53a</w:t>
            </w:r>
          </w:p>
        </w:tc>
        <w:tc>
          <w:tcPr>
            <w:tcW w:w="1650" w:type="dxa"/>
            <w:tcBorders>
              <w:top w:val="nil"/>
              <w:left w:val="nil"/>
              <w:bottom w:val="nil"/>
              <w:right w:val="nil"/>
            </w:tcBorders>
            <w:shd w:val="clear" w:color="auto" w:fill="auto"/>
            <w:noWrap/>
            <w:vAlign w:val="center"/>
          </w:tcPr>
          <w:p w14:paraId="4EBC840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91.72a</w:t>
            </w:r>
          </w:p>
        </w:tc>
        <w:tc>
          <w:tcPr>
            <w:tcW w:w="1358" w:type="dxa"/>
            <w:tcBorders>
              <w:top w:val="nil"/>
              <w:left w:val="nil"/>
              <w:bottom w:val="nil"/>
              <w:right w:val="nil"/>
            </w:tcBorders>
            <w:shd w:val="clear" w:color="auto" w:fill="auto"/>
            <w:noWrap/>
            <w:vAlign w:val="center"/>
          </w:tcPr>
          <w:p w14:paraId="5E7D0757">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3054a</w:t>
            </w:r>
          </w:p>
        </w:tc>
        <w:tc>
          <w:tcPr>
            <w:tcW w:w="1358" w:type="dxa"/>
            <w:tcBorders>
              <w:top w:val="nil"/>
              <w:left w:val="nil"/>
              <w:bottom w:val="nil"/>
              <w:right w:val="nil"/>
            </w:tcBorders>
            <w:shd w:val="clear" w:color="auto" w:fill="auto"/>
            <w:noWrap/>
            <w:vAlign w:val="center"/>
          </w:tcPr>
          <w:p w14:paraId="49516CC1">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0.0056</w:t>
            </w:r>
          </w:p>
        </w:tc>
      </w:tr>
      <w:tr w14:paraId="6E728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960" w:type="dxa"/>
            <w:tcBorders>
              <w:top w:val="nil"/>
              <w:left w:val="nil"/>
              <w:bottom w:val="nil"/>
              <w:right w:val="nil"/>
            </w:tcBorders>
            <w:shd w:val="clear" w:color="auto" w:fill="auto"/>
            <w:noWrap/>
            <w:vAlign w:val="center"/>
          </w:tcPr>
          <w:p w14:paraId="76A1ED1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B2C1</w:t>
            </w:r>
          </w:p>
        </w:tc>
        <w:tc>
          <w:tcPr>
            <w:tcW w:w="1125" w:type="dxa"/>
            <w:tcBorders>
              <w:top w:val="nil"/>
              <w:left w:val="nil"/>
              <w:bottom w:val="nil"/>
              <w:right w:val="nil"/>
            </w:tcBorders>
            <w:shd w:val="clear" w:color="auto" w:fill="auto"/>
            <w:noWrap/>
            <w:vAlign w:val="center"/>
          </w:tcPr>
          <w:p w14:paraId="514E44A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1788.33e</w:t>
            </w:r>
          </w:p>
        </w:tc>
        <w:tc>
          <w:tcPr>
            <w:tcW w:w="1080" w:type="dxa"/>
            <w:tcBorders>
              <w:top w:val="nil"/>
              <w:left w:val="nil"/>
              <w:bottom w:val="nil"/>
              <w:right w:val="nil"/>
            </w:tcBorders>
            <w:shd w:val="clear" w:color="auto" w:fill="auto"/>
            <w:noWrap/>
            <w:vAlign w:val="center"/>
          </w:tcPr>
          <w:p w14:paraId="53B4E7E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105.30a</w:t>
            </w:r>
          </w:p>
        </w:tc>
        <w:tc>
          <w:tcPr>
            <w:tcW w:w="1110" w:type="dxa"/>
            <w:tcBorders>
              <w:top w:val="nil"/>
              <w:left w:val="nil"/>
              <w:bottom w:val="nil"/>
              <w:right w:val="nil"/>
            </w:tcBorders>
            <w:shd w:val="clear" w:color="auto" w:fill="auto"/>
            <w:noWrap/>
            <w:vAlign w:val="center"/>
          </w:tcPr>
          <w:p w14:paraId="1A52B024">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9.53b</w:t>
            </w:r>
          </w:p>
        </w:tc>
        <w:tc>
          <w:tcPr>
            <w:tcW w:w="1650" w:type="dxa"/>
            <w:tcBorders>
              <w:top w:val="nil"/>
              <w:left w:val="nil"/>
              <w:bottom w:val="nil"/>
              <w:right w:val="nil"/>
            </w:tcBorders>
            <w:shd w:val="clear" w:color="auto" w:fill="auto"/>
            <w:noWrap/>
            <w:vAlign w:val="center"/>
          </w:tcPr>
          <w:p w14:paraId="103F0A6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90.99b</w:t>
            </w:r>
          </w:p>
        </w:tc>
        <w:tc>
          <w:tcPr>
            <w:tcW w:w="1358" w:type="dxa"/>
            <w:tcBorders>
              <w:top w:val="nil"/>
              <w:left w:val="nil"/>
              <w:bottom w:val="nil"/>
              <w:right w:val="nil"/>
            </w:tcBorders>
            <w:shd w:val="clear" w:color="auto" w:fill="auto"/>
            <w:noWrap/>
            <w:vAlign w:val="center"/>
          </w:tcPr>
          <w:p w14:paraId="0F5A099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2883b</w:t>
            </w:r>
          </w:p>
        </w:tc>
        <w:tc>
          <w:tcPr>
            <w:tcW w:w="1358" w:type="dxa"/>
            <w:tcBorders>
              <w:top w:val="nil"/>
              <w:left w:val="nil"/>
              <w:bottom w:val="nil"/>
              <w:right w:val="nil"/>
            </w:tcBorders>
            <w:shd w:val="clear" w:color="auto" w:fill="auto"/>
            <w:noWrap/>
            <w:vAlign w:val="center"/>
          </w:tcPr>
          <w:p w14:paraId="3DEFD48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0.0158</w:t>
            </w:r>
          </w:p>
        </w:tc>
      </w:tr>
      <w:tr w14:paraId="1A0B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960" w:type="dxa"/>
            <w:tcBorders>
              <w:top w:val="nil"/>
              <w:left w:val="nil"/>
              <w:bottom w:val="nil"/>
              <w:right w:val="nil"/>
            </w:tcBorders>
            <w:shd w:val="clear" w:color="auto" w:fill="auto"/>
            <w:noWrap/>
            <w:vAlign w:val="center"/>
          </w:tcPr>
          <w:p w14:paraId="466437B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B2C2</w:t>
            </w:r>
          </w:p>
        </w:tc>
        <w:tc>
          <w:tcPr>
            <w:tcW w:w="1125" w:type="dxa"/>
            <w:tcBorders>
              <w:top w:val="nil"/>
              <w:left w:val="nil"/>
              <w:bottom w:val="nil"/>
              <w:right w:val="nil"/>
            </w:tcBorders>
            <w:shd w:val="clear" w:color="auto" w:fill="auto"/>
            <w:noWrap/>
            <w:vAlign w:val="center"/>
          </w:tcPr>
          <w:p w14:paraId="5290CB2C">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1826.00c</w:t>
            </w:r>
          </w:p>
        </w:tc>
        <w:tc>
          <w:tcPr>
            <w:tcW w:w="1080" w:type="dxa"/>
            <w:tcBorders>
              <w:top w:val="nil"/>
              <w:left w:val="nil"/>
              <w:bottom w:val="nil"/>
              <w:right w:val="nil"/>
            </w:tcBorders>
            <w:shd w:val="clear" w:color="auto" w:fill="auto"/>
            <w:noWrap/>
            <w:vAlign w:val="center"/>
          </w:tcPr>
          <w:p w14:paraId="2FB1817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106.40a</w:t>
            </w:r>
          </w:p>
        </w:tc>
        <w:tc>
          <w:tcPr>
            <w:tcW w:w="1110" w:type="dxa"/>
            <w:tcBorders>
              <w:top w:val="nil"/>
              <w:left w:val="nil"/>
              <w:bottom w:val="nil"/>
              <w:right w:val="nil"/>
            </w:tcBorders>
            <w:shd w:val="clear" w:color="auto" w:fill="auto"/>
            <w:noWrap/>
            <w:vAlign w:val="center"/>
          </w:tcPr>
          <w:p w14:paraId="1CAD0C9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9.8b</w:t>
            </w:r>
          </w:p>
        </w:tc>
        <w:tc>
          <w:tcPr>
            <w:tcW w:w="1650" w:type="dxa"/>
            <w:tcBorders>
              <w:top w:val="nil"/>
              <w:left w:val="nil"/>
              <w:bottom w:val="nil"/>
              <w:right w:val="nil"/>
            </w:tcBorders>
            <w:shd w:val="clear" w:color="auto" w:fill="auto"/>
            <w:noWrap/>
            <w:vAlign w:val="center"/>
          </w:tcPr>
          <w:p w14:paraId="5D96E56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91.17b</w:t>
            </w:r>
          </w:p>
        </w:tc>
        <w:tc>
          <w:tcPr>
            <w:tcW w:w="1358" w:type="dxa"/>
            <w:tcBorders>
              <w:top w:val="nil"/>
              <w:left w:val="nil"/>
              <w:bottom w:val="nil"/>
              <w:right w:val="nil"/>
            </w:tcBorders>
            <w:shd w:val="clear" w:color="auto" w:fill="auto"/>
            <w:noWrap/>
            <w:vAlign w:val="center"/>
          </w:tcPr>
          <w:p w14:paraId="5CB563A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3004a</w:t>
            </w:r>
          </w:p>
        </w:tc>
        <w:tc>
          <w:tcPr>
            <w:tcW w:w="1358" w:type="dxa"/>
            <w:tcBorders>
              <w:top w:val="nil"/>
              <w:left w:val="nil"/>
              <w:bottom w:val="nil"/>
              <w:right w:val="nil"/>
            </w:tcBorders>
            <w:shd w:val="clear" w:color="auto" w:fill="auto"/>
            <w:noWrap/>
            <w:vAlign w:val="center"/>
          </w:tcPr>
          <w:p w14:paraId="5ECF879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0.0458</w:t>
            </w:r>
          </w:p>
        </w:tc>
      </w:tr>
      <w:tr w14:paraId="4CBE6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960" w:type="dxa"/>
            <w:tcBorders>
              <w:top w:val="nil"/>
              <w:left w:val="nil"/>
              <w:bottom w:val="single" w:color="000000" w:sz="12" w:space="0"/>
              <w:right w:val="nil"/>
            </w:tcBorders>
            <w:shd w:val="clear" w:color="auto" w:fill="auto"/>
            <w:noWrap/>
            <w:vAlign w:val="center"/>
          </w:tcPr>
          <w:p w14:paraId="1B9C334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B2C3</w:t>
            </w:r>
          </w:p>
        </w:tc>
        <w:tc>
          <w:tcPr>
            <w:tcW w:w="1125" w:type="dxa"/>
            <w:tcBorders>
              <w:top w:val="nil"/>
              <w:left w:val="nil"/>
              <w:bottom w:val="single" w:color="000000" w:sz="12" w:space="0"/>
              <w:right w:val="nil"/>
            </w:tcBorders>
            <w:shd w:val="clear" w:color="auto" w:fill="auto"/>
            <w:noWrap/>
            <w:vAlign w:val="center"/>
          </w:tcPr>
          <w:p w14:paraId="3D2195C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1851.83b</w:t>
            </w:r>
          </w:p>
        </w:tc>
        <w:tc>
          <w:tcPr>
            <w:tcW w:w="1080" w:type="dxa"/>
            <w:tcBorders>
              <w:top w:val="nil"/>
              <w:left w:val="nil"/>
              <w:bottom w:val="single" w:color="000000" w:sz="12" w:space="0"/>
              <w:right w:val="nil"/>
            </w:tcBorders>
            <w:shd w:val="clear" w:color="auto" w:fill="auto"/>
            <w:noWrap/>
            <w:vAlign w:val="center"/>
          </w:tcPr>
          <w:p w14:paraId="5C30A4B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107.90a</w:t>
            </w:r>
          </w:p>
        </w:tc>
        <w:tc>
          <w:tcPr>
            <w:tcW w:w="1110" w:type="dxa"/>
            <w:tcBorders>
              <w:top w:val="nil"/>
              <w:left w:val="nil"/>
              <w:bottom w:val="single" w:color="000000" w:sz="12" w:space="0"/>
              <w:right w:val="nil"/>
            </w:tcBorders>
            <w:shd w:val="clear" w:color="auto" w:fill="auto"/>
            <w:noWrap/>
            <w:vAlign w:val="center"/>
          </w:tcPr>
          <w:p w14:paraId="0E45D5E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10.33ab</w:t>
            </w:r>
          </w:p>
        </w:tc>
        <w:tc>
          <w:tcPr>
            <w:tcW w:w="1650" w:type="dxa"/>
            <w:tcBorders>
              <w:top w:val="nil"/>
              <w:left w:val="nil"/>
              <w:bottom w:val="single" w:color="000000" w:sz="12" w:space="0"/>
              <w:right w:val="nil"/>
            </w:tcBorders>
            <w:shd w:val="clear" w:color="auto" w:fill="auto"/>
            <w:noWrap/>
            <w:vAlign w:val="center"/>
          </w:tcPr>
          <w:p w14:paraId="0C8A9EE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91.67a</w:t>
            </w:r>
          </w:p>
        </w:tc>
        <w:tc>
          <w:tcPr>
            <w:tcW w:w="1358" w:type="dxa"/>
            <w:tcBorders>
              <w:top w:val="nil"/>
              <w:left w:val="nil"/>
              <w:bottom w:val="single" w:color="000000" w:sz="12" w:space="0"/>
              <w:right w:val="nil"/>
            </w:tcBorders>
            <w:shd w:val="clear" w:color="auto" w:fill="auto"/>
            <w:noWrap/>
            <w:vAlign w:val="center"/>
          </w:tcPr>
          <w:p w14:paraId="3E09299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3065a</w:t>
            </w:r>
          </w:p>
        </w:tc>
        <w:tc>
          <w:tcPr>
            <w:tcW w:w="1358" w:type="dxa"/>
            <w:tcBorders>
              <w:top w:val="nil"/>
              <w:left w:val="nil"/>
              <w:bottom w:val="single" w:color="000000" w:sz="12" w:space="0"/>
              <w:right w:val="nil"/>
            </w:tcBorders>
            <w:shd w:val="clear" w:color="auto" w:fill="auto"/>
            <w:noWrap/>
            <w:vAlign w:val="center"/>
          </w:tcPr>
          <w:p w14:paraId="09D677E8">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0.0032</w:t>
            </w:r>
          </w:p>
        </w:tc>
      </w:tr>
    </w:tbl>
    <w:p w14:paraId="5CEFA062">
      <w:pPr>
        <w:spacing w:line="360" w:lineRule="auto"/>
        <w:ind w:firstLine="480" w:firstLineChars="200"/>
        <w:rPr>
          <w:rFonts w:hint="eastAsia" w:ascii="宋体" w:hAnsi="宋体" w:eastAsia="宋体" w:cs="宋体"/>
          <w:i w:val="0"/>
          <w:iCs w:val="0"/>
          <w:color w:val="000000"/>
          <w:sz w:val="24"/>
          <w:szCs w:val="24"/>
          <w:u w:val="none"/>
          <w:lang w:val="en-US" w:eastAsia="zh-CN"/>
        </w:rPr>
      </w:pPr>
    </w:p>
    <w:p w14:paraId="52B97384">
      <w:pPr>
        <w:spacing w:line="360" w:lineRule="auto"/>
        <w:rPr>
          <w:rFonts w:hint="default" w:ascii="宋体" w:hAnsi="宋体" w:eastAsia="宋体"/>
          <w:b w:val="0"/>
          <w:bCs/>
          <w:sz w:val="24"/>
          <w:szCs w:val="24"/>
          <w:lang w:val="en-US" w:eastAsia="zh-CN"/>
        </w:rPr>
      </w:pPr>
      <w:r>
        <w:rPr>
          <w:rFonts w:hint="eastAsia" w:ascii="宋体" w:hAnsi="宋体" w:eastAsia="宋体" w:cs="Arial"/>
          <w:b w:val="0"/>
          <w:bCs/>
          <w:kern w:val="0"/>
          <w:sz w:val="24"/>
          <w:szCs w:val="24"/>
          <w:lang w:val="en-US" w:eastAsia="zh-CN"/>
        </w:rPr>
        <w:t>2</w:t>
      </w:r>
      <w:r>
        <w:rPr>
          <w:rFonts w:hint="eastAsia" w:ascii="宋体" w:hAnsi="宋体" w:eastAsia="宋体" w:cs="Arial"/>
          <w:b w:val="0"/>
          <w:bCs/>
          <w:kern w:val="0"/>
          <w:sz w:val="24"/>
          <w:szCs w:val="24"/>
        </w:rPr>
        <w:t>.</w:t>
      </w:r>
      <w:r>
        <w:rPr>
          <w:rFonts w:hint="eastAsia" w:ascii="宋体" w:hAnsi="宋体" w:eastAsia="宋体" w:cs="Arial"/>
          <w:b w:val="0"/>
          <w:bCs/>
          <w:kern w:val="0"/>
          <w:sz w:val="24"/>
          <w:szCs w:val="24"/>
          <w:lang w:val="en-US" w:eastAsia="zh-CN"/>
        </w:rPr>
        <w:t>4 不同调制干预措施对白肋烟品质的影响</w:t>
      </w:r>
    </w:p>
    <w:p w14:paraId="62CFEF1F">
      <w:pPr>
        <w:spacing w:line="36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由表4可以看出，紫苏精油对菌丝生长抑制作用以D2处理效果最佳，上等烟比例以D2处理最高，由图3可以看出，紫苏精油对烟柄部霉防除效果较为明显，但仍有部分霉菌残留，由图4初步判断此次试验中紫苏精油防治霉菌为曲霉属。</w:t>
      </w:r>
    </w:p>
    <w:p w14:paraId="1B1A8C40">
      <w:pPr>
        <w:spacing w:line="360" w:lineRule="auto"/>
        <w:jc w:val="center"/>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表4不同调制干预措施对白肋烟品质的影响</w:t>
      </w:r>
    </w:p>
    <w:tbl>
      <w:tblPr>
        <w:tblStyle w:val="2"/>
        <w:tblpPr w:leftFromText="180" w:rightFromText="180" w:vertAnchor="text" w:horzAnchor="page" w:tblpX="1600" w:tblpY="341"/>
        <w:tblOverlap w:val="never"/>
        <w:tblW w:w="95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05"/>
        <w:gridCol w:w="2430"/>
        <w:gridCol w:w="2910"/>
        <w:gridCol w:w="2910"/>
      </w:tblGrid>
      <w:tr w14:paraId="08A40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1305" w:type="dxa"/>
            <w:tcBorders>
              <w:top w:val="single" w:color="000000" w:sz="12" w:space="0"/>
              <w:left w:val="nil"/>
              <w:bottom w:val="nil"/>
              <w:right w:val="nil"/>
            </w:tcBorders>
            <w:shd w:val="clear" w:color="auto" w:fill="auto"/>
            <w:noWrap/>
            <w:vAlign w:val="center"/>
          </w:tcPr>
          <w:p w14:paraId="234198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w:t>
            </w:r>
          </w:p>
        </w:tc>
        <w:tc>
          <w:tcPr>
            <w:tcW w:w="2430" w:type="dxa"/>
            <w:tcBorders>
              <w:top w:val="single" w:color="000000" w:sz="12" w:space="0"/>
              <w:left w:val="nil"/>
              <w:bottom w:val="nil"/>
              <w:right w:val="nil"/>
            </w:tcBorders>
            <w:shd w:val="clear" w:color="auto" w:fill="auto"/>
            <w:noWrap/>
            <w:vAlign w:val="center"/>
          </w:tcPr>
          <w:p w14:paraId="758EA4D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菌丝生长抑制作用</w:t>
            </w:r>
          </w:p>
          <w:p w14:paraId="43D5AD0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2910" w:type="dxa"/>
            <w:tcBorders>
              <w:top w:val="single" w:color="000000" w:sz="12" w:space="0"/>
              <w:left w:val="nil"/>
              <w:bottom w:val="nil"/>
              <w:right w:val="nil"/>
            </w:tcBorders>
            <w:shd w:val="clear" w:color="auto" w:fill="auto"/>
            <w:noWrap/>
            <w:vAlign w:val="center"/>
          </w:tcPr>
          <w:p w14:paraId="5E7DBEF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上等烟比例</w:t>
            </w:r>
          </w:p>
          <w:p w14:paraId="3F8CDDB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2910" w:type="dxa"/>
            <w:tcBorders>
              <w:top w:val="single" w:color="000000" w:sz="12" w:space="0"/>
              <w:left w:val="nil"/>
              <w:bottom w:val="nil"/>
              <w:right w:val="nil"/>
            </w:tcBorders>
            <w:shd w:val="clear" w:color="auto" w:fill="auto"/>
            <w:noWrap/>
            <w:vAlign w:val="center"/>
          </w:tcPr>
          <w:p w14:paraId="60D746F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变异系数</w:t>
            </w:r>
          </w:p>
        </w:tc>
      </w:tr>
      <w:tr w14:paraId="32251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05" w:type="dxa"/>
            <w:tcBorders>
              <w:top w:val="single" w:color="000000" w:sz="12" w:space="0"/>
              <w:left w:val="nil"/>
              <w:bottom w:val="nil"/>
              <w:right w:val="nil"/>
            </w:tcBorders>
            <w:shd w:val="clear" w:color="auto" w:fill="auto"/>
            <w:noWrap/>
            <w:vAlign w:val="center"/>
          </w:tcPr>
          <w:p w14:paraId="40039AF6">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D1</w:t>
            </w:r>
          </w:p>
        </w:tc>
        <w:tc>
          <w:tcPr>
            <w:tcW w:w="2430" w:type="dxa"/>
            <w:tcBorders>
              <w:top w:val="single" w:color="000000" w:sz="12" w:space="0"/>
              <w:left w:val="nil"/>
              <w:bottom w:val="nil"/>
              <w:right w:val="nil"/>
            </w:tcBorders>
            <w:shd w:val="clear" w:color="auto" w:fill="auto"/>
            <w:noWrap/>
            <w:vAlign w:val="center"/>
          </w:tcPr>
          <w:p w14:paraId="508DB70A">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81.75</w:t>
            </w:r>
          </w:p>
        </w:tc>
        <w:tc>
          <w:tcPr>
            <w:tcW w:w="2910" w:type="dxa"/>
            <w:tcBorders>
              <w:top w:val="single" w:color="000000" w:sz="12" w:space="0"/>
              <w:left w:val="nil"/>
              <w:bottom w:val="nil"/>
              <w:right w:val="nil"/>
            </w:tcBorders>
            <w:shd w:val="clear" w:color="auto" w:fill="auto"/>
            <w:noWrap/>
            <w:vAlign w:val="center"/>
          </w:tcPr>
          <w:p w14:paraId="718582B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91.20b</w:t>
            </w:r>
          </w:p>
        </w:tc>
        <w:tc>
          <w:tcPr>
            <w:tcW w:w="2910" w:type="dxa"/>
            <w:tcBorders>
              <w:top w:val="single" w:color="000000" w:sz="12" w:space="0"/>
              <w:left w:val="nil"/>
              <w:bottom w:val="nil"/>
              <w:right w:val="nil"/>
            </w:tcBorders>
            <w:shd w:val="clear" w:color="auto" w:fill="auto"/>
            <w:noWrap/>
            <w:vAlign w:val="center"/>
          </w:tcPr>
          <w:p w14:paraId="5DD7684C">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0.0278</w:t>
            </w:r>
          </w:p>
        </w:tc>
      </w:tr>
      <w:tr w14:paraId="53176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1305" w:type="dxa"/>
            <w:tcBorders>
              <w:top w:val="nil"/>
              <w:left w:val="nil"/>
              <w:bottom w:val="nil"/>
              <w:right w:val="nil"/>
            </w:tcBorders>
            <w:shd w:val="clear" w:color="auto" w:fill="auto"/>
            <w:noWrap/>
            <w:vAlign w:val="center"/>
          </w:tcPr>
          <w:p w14:paraId="4534F85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D2</w:t>
            </w:r>
          </w:p>
        </w:tc>
        <w:tc>
          <w:tcPr>
            <w:tcW w:w="2430" w:type="dxa"/>
            <w:tcBorders>
              <w:top w:val="nil"/>
              <w:left w:val="nil"/>
              <w:bottom w:val="nil"/>
              <w:right w:val="nil"/>
            </w:tcBorders>
            <w:shd w:val="clear" w:color="auto" w:fill="auto"/>
            <w:noWrap/>
            <w:vAlign w:val="center"/>
          </w:tcPr>
          <w:p w14:paraId="33BB52C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93.07</w:t>
            </w:r>
          </w:p>
        </w:tc>
        <w:tc>
          <w:tcPr>
            <w:tcW w:w="2910" w:type="dxa"/>
            <w:tcBorders>
              <w:top w:val="nil"/>
              <w:left w:val="nil"/>
              <w:bottom w:val="nil"/>
              <w:right w:val="nil"/>
            </w:tcBorders>
            <w:shd w:val="clear" w:color="auto" w:fill="auto"/>
            <w:noWrap/>
            <w:vAlign w:val="center"/>
          </w:tcPr>
          <w:p w14:paraId="469FA8A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91.80a</w:t>
            </w:r>
          </w:p>
        </w:tc>
        <w:tc>
          <w:tcPr>
            <w:tcW w:w="2910" w:type="dxa"/>
            <w:tcBorders>
              <w:top w:val="nil"/>
              <w:left w:val="nil"/>
              <w:bottom w:val="nil"/>
              <w:right w:val="nil"/>
            </w:tcBorders>
            <w:shd w:val="clear" w:color="auto" w:fill="auto"/>
            <w:noWrap/>
            <w:vAlign w:val="center"/>
          </w:tcPr>
          <w:p w14:paraId="209C8E1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0.0104</w:t>
            </w:r>
          </w:p>
        </w:tc>
      </w:tr>
      <w:tr w14:paraId="33B02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305" w:type="dxa"/>
            <w:tcBorders>
              <w:top w:val="nil"/>
              <w:left w:val="nil"/>
              <w:bottom w:val="single" w:color="000000" w:sz="12" w:space="0"/>
              <w:right w:val="nil"/>
            </w:tcBorders>
            <w:shd w:val="clear" w:color="auto" w:fill="auto"/>
            <w:noWrap/>
            <w:vAlign w:val="center"/>
          </w:tcPr>
          <w:p w14:paraId="08290DBC">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D3</w:t>
            </w:r>
          </w:p>
        </w:tc>
        <w:tc>
          <w:tcPr>
            <w:tcW w:w="2430" w:type="dxa"/>
            <w:tcBorders>
              <w:top w:val="nil"/>
              <w:left w:val="nil"/>
              <w:bottom w:val="single" w:color="000000" w:sz="12" w:space="0"/>
              <w:right w:val="nil"/>
            </w:tcBorders>
            <w:shd w:val="clear" w:color="auto" w:fill="auto"/>
            <w:noWrap/>
            <w:vAlign w:val="center"/>
          </w:tcPr>
          <w:p w14:paraId="41A7E25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88.05</w:t>
            </w:r>
          </w:p>
        </w:tc>
        <w:tc>
          <w:tcPr>
            <w:tcW w:w="2910" w:type="dxa"/>
            <w:tcBorders>
              <w:top w:val="nil"/>
              <w:left w:val="nil"/>
              <w:bottom w:val="single" w:color="000000" w:sz="12" w:space="0"/>
              <w:right w:val="nil"/>
            </w:tcBorders>
            <w:shd w:val="clear" w:color="auto" w:fill="auto"/>
            <w:noWrap/>
            <w:vAlign w:val="center"/>
          </w:tcPr>
          <w:p w14:paraId="47727BB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91.37b</w:t>
            </w:r>
          </w:p>
        </w:tc>
        <w:tc>
          <w:tcPr>
            <w:tcW w:w="2910" w:type="dxa"/>
            <w:tcBorders>
              <w:top w:val="nil"/>
              <w:left w:val="nil"/>
              <w:bottom w:val="single" w:color="000000" w:sz="12" w:space="0"/>
              <w:right w:val="nil"/>
            </w:tcBorders>
            <w:shd w:val="clear" w:color="auto" w:fill="auto"/>
            <w:noWrap/>
            <w:vAlign w:val="center"/>
          </w:tcPr>
          <w:p w14:paraId="19F03FA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0.0362</w:t>
            </w:r>
          </w:p>
        </w:tc>
      </w:tr>
    </w:tbl>
    <w:p w14:paraId="53274D17">
      <w:pPr>
        <w:spacing w:line="360" w:lineRule="auto"/>
        <w:rPr>
          <w:rFonts w:hint="eastAsia" w:ascii="宋体" w:hAnsi="宋体" w:eastAsia="宋体" w:cs="Arial"/>
          <w:b/>
          <w:kern w:val="0"/>
          <w:sz w:val="28"/>
          <w:szCs w:val="28"/>
          <w:lang w:eastAsia="zh-CN"/>
        </w:rPr>
      </w:pPr>
      <w:r>
        <w:rPr>
          <w:rFonts w:hint="eastAsia" w:ascii="宋体" w:hAnsi="宋体" w:eastAsia="宋体" w:cs="Arial"/>
          <w:b/>
          <w:kern w:val="0"/>
          <w:sz w:val="28"/>
          <w:szCs w:val="28"/>
          <w:lang w:val="en-US" w:eastAsia="zh-CN"/>
        </w:rPr>
        <w:t xml:space="preserve">    </w:t>
      </w:r>
      <w:r>
        <w:rPr>
          <w:rFonts w:hint="eastAsia" w:ascii="宋体" w:hAnsi="宋体" w:eastAsia="宋体" w:cs="Arial"/>
          <w:b/>
          <w:kern w:val="0"/>
          <w:sz w:val="28"/>
          <w:szCs w:val="28"/>
          <w:lang w:val="en-US" w:eastAsia="zh-CN"/>
        </w:rPr>
        <w:drawing>
          <wp:inline distT="0" distB="0" distL="114300" distR="114300">
            <wp:extent cx="1906905" cy="1430020"/>
            <wp:effectExtent l="0" t="0" r="17780" b="17145"/>
            <wp:docPr id="10" name="图片 10" descr="使用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使用前"/>
                    <pic:cNvPicPr>
                      <a:picLocks noChangeAspect="1"/>
                    </pic:cNvPicPr>
                  </pic:nvPicPr>
                  <pic:blipFill>
                    <a:blip r:embed="rId7"/>
                    <a:stretch>
                      <a:fillRect/>
                    </a:stretch>
                  </pic:blipFill>
                  <pic:spPr>
                    <a:xfrm rot="5400000">
                      <a:off x="0" y="0"/>
                      <a:ext cx="1906905" cy="1430020"/>
                    </a:xfrm>
                    <a:prstGeom prst="rect">
                      <a:avLst/>
                    </a:prstGeom>
                  </pic:spPr>
                </pic:pic>
              </a:graphicData>
            </a:graphic>
          </wp:inline>
        </w:drawing>
      </w:r>
      <w:r>
        <w:rPr>
          <w:rFonts w:hint="eastAsia" w:ascii="宋体" w:hAnsi="宋体" w:eastAsia="宋体" w:cs="Arial"/>
          <w:b/>
          <w:kern w:val="0"/>
          <w:sz w:val="28"/>
          <w:szCs w:val="28"/>
          <w:lang w:val="en-US" w:eastAsia="zh-CN"/>
        </w:rPr>
        <w:t xml:space="preserve">         </w:t>
      </w:r>
      <w:r>
        <w:rPr>
          <w:rFonts w:hint="eastAsia" w:ascii="宋体" w:hAnsi="宋体" w:eastAsia="宋体" w:cs="Arial"/>
          <w:b/>
          <w:kern w:val="0"/>
          <w:sz w:val="28"/>
          <w:szCs w:val="28"/>
          <w:lang w:eastAsia="zh-CN"/>
        </w:rPr>
        <w:drawing>
          <wp:inline distT="0" distB="0" distL="114300" distR="114300">
            <wp:extent cx="1480185" cy="1973580"/>
            <wp:effectExtent l="0" t="0" r="5715" b="7620"/>
            <wp:docPr id="8" name="图片 8" descr="使用后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使用后2"/>
                    <pic:cNvPicPr>
                      <a:picLocks noChangeAspect="1"/>
                    </pic:cNvPicPr>
                  </pic:nvPicPr>
                  <pic:blipFill>
                    <a:blip r:embed="rId8"/>
                    <a:stretch>
                      <a:fillRect/>
                    </a:stretch>
                  </pic:blipFill>
                  <pic:spPr>
                    <a:xfrm>
                      <a:off x="0" y="0"/>
                      <a:ext cx="1480185" cy="1973580"/>
                    </a:xfrm>
                    <a:prstGeom prst="rect">
                      <a:avLst/>
                    </a:prstGeom>
                  </pic:spPr>
                </pic:pic>
              </a:graphicData>
            </a:graphic>
          </wp:inline>
        </w:drawing>
      </w:r>
    </w:p>
    <w:p w14:paraId="6FCB084C">
      <w:pPr>
        <w:spacing w:line="360" w:lineRule="auto"/>
        <w:jc w:val="center"/>
        <w:rPr>
          <w:rFonts w:hint="eastAsia" w:ascii="Times New Roman" w:hAnsi="黑体" w:eastAsia="黑体"/>
          <w:color w:val="000000" w:themeColor="text1"/>
          <w:sz w:val="18"/>
          <w:szCs w:val="18"/>
          <w:lang w:val="en-US" w:eastAsia="zh-CN"/>
          <w14:textFill>
            <w14:solidFill>
              <w14:schemeClr w14:val="tx1"/>
            </w14:solidFill>
          </w14:textFill>
        </w:rPr>
      </w:pPr>
      <w:r>
        <w:rPr>
          <w:rFonts w:hint="eastAsia" w:ascii="Times New Roman" w:hAnsi="黑体" w:eastAsia="黑体"/>
          <w:color w:val="000000" w:themeColor="text1"/>
          <w:sz w:val="18"/>
          <w:szCs w:val="18"/>
          <w:lang w:val="en-US" w:eastAsia="zh-CN"/>
          <w14:textFill>
            <w14:solidFill>
              <w14:schemeClr w14:val="tx1"/>
            </w14:solidFill>
          </w14:textFill>
        </w:rPr>
        <w:t>图3.左为使用紫苏精油前，右为使用紫苏精油7d后</w:t>
      </w:r>
    </w:p>
    <w:p w14:paraId="3B2E131C">
      <w:pPr>
        <w:spacing w:line="360" w:lineRule="auto"/>
        <w:ind w:firstLine="480" w:firstLineChars="200"/>
        <w:rPr>
          <w:rFonts w:hint="eastAsia" w:ascii="Times New Roman" w:hAnsi="黑体" w:eastAsia="黑体"/>
          <w:color w:val="000000" w:themeColor="text1"/>
          <w:sz w:val="18"/>
          <w:szCs w:val="18"/>
          <w:lang w:val="en-US" w:eastAsia="zh-CN"/>
          <w14:textFill>
            <w14:solidFill>
              <w14:schemeClr w14:val="tx1"/>
            </w14:solidFill>
          </w14:textFill>
        </w:rPr>
      </w:pPr>
      <w:r>
        <w:rPr>
          <w:rFonts w:hint="eastAsia" w:ascii="宋体" w:hAnsi="宋体" w:eastAsia="宋体"/>
          <w:sz w:val="24"/>
          <w:lang w:val="en-US" w:eastAsia="zh-CN"/>
        </w:rPr>
        <w:t>由结果分析可得，随着紫苏精油剂量增加，对霉菌的生长抑制作用随之增强，表现出一定的剂量效应，当紫苏精油剂量为1‰时，对菌丝的抑制作用反而降低，由此推测紫苏精油对霉菌的生长抑制作用浓度在0.5‰左右，最适浓度有待后续研究，且本试验中3个处理以D2处理变异系数最小，烟叶均质化水平最高。</w:t>
      </w:r>
    </w:p>
    <w:p w14:paraId="639D959F">
      <w:pPr>
        <w:spacing w:line="360" w:lineRule="auto"/>
        <w:jc w:val="both"/>
        <w:rPr>
          <w:rFonts w:hint="default" w:ascii="Times New Roman" w:hAnsi="黑体" w:eastAsia="黑体"/>
          <w:color w:val="000000" w:themeColor="text1"/>
          <w:sz w:val="18"/>
          <w:szCs w:val="18"/>
          <w:lang w:val="en-US" w:eastAsia="zh-CN"/>
          <w14:textFill>
            <w14:solidFill>
              <w14:schemeClr w14:val="tx1"/>
            </w14:solidFill>
          </w14:textFill>
        </w:rPr>
      </w:pPr>
      <w:r>
        <w:rPr>
          <w:rFonts w:hint="default" w:ascii="Times New Roman" w:hAnsi="黑体" w:eastAsia="黑体"/>
          <w:color w:val="000000" w:themeColor="text1"/>
          <w:sz w:val="18"/>
          <w:szCs w:val="18"/>
          <w:lang w:val="en-US" w:eastAsia="zh-CN"/>
          <w14:textFill>
            <w14:solidFill>
              <w14:schemeClr w14:val="tx1"/>
            </w14:solidFill>
          </w14:textFill>
        </w:rPr>
        <w:drawing>
          <wp:inline distT="0" distB="0" distL="114300" distR="114300">
            <wp:extent cx="2391410" cy="1793875"/>
            <wp:effectExtent l="0" t="0" r="8890" b="15875"/>
            <wp:docPr id="13" name="图片 13" descr="1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11111"/>
                    <pic:cNvPicPr>
                      <a:picLocks noChangeAspect="1"/>
                    </pic:cNvPicPr>
                  </pic:nvPicPr>
                  <pic:blipFill>
                    <a:blip r:embed="rId9"/>
                    <a:stretch>
                      <a:fillRect/>
                    </a:stretch>
                  </pic:blipFill>
                  <pic:spPr>
                    <a:xfrm>
                      <a:off x="0" y="0"/>
                      <a:ext cx="2391410" cy="1793875"/>
                    </a:xfrm>
                    <a:prstGeom prst="rect">
                      <a:avLst/>
                    </a:prstGeom>
                  </pic:spPr>
                </pic:pic>
              </a:graphicData>
            </a:graphic>
          </wp:inline>
        </w:drawing>
      </w:r>
      <w:r>
        <w:rPr>
          <w:rFonts w:hint="eastAsia" w:ascii="Times New Roman" w:hAnsi="黑体" w:eastAsia="黑体"/>
          <w:color w:val="000000" w:themeColor="text1"/>
          <w:sz w:val="18"/>
          <w:szCs w:val="18"/>
          <w:lang w:val="en-US" w:eastAsia="zh-CN"/>
          <w14:textFill>
            <w14:solidFill>
              <w14:schemeClr w14:val="tx1"/>
            </w14:solidFill>
          </w14:textFill>
        </w:rPr>
        <w:t xml:space="preserve">       </w:t>
      </w:r>
      <w:r>
        <w:rPr>
          <w:rFonts w:hint="default" w:ascii="Times New Roman" w:hAnsi="黑体" w:eastAsia="黑体"/>
          <w:color w:val="000000" w:themeColor="text1"/>
          <w:sz w:val="18"/>
          <w:szCs w:val="18"/>
          <w:lang w:val="en-US" w:eastAsia="zh-CN"/>
          <w14:textFill>
            <w14:solidFill>
              <w14:schemeClr w14:val="tx1"/>
            </w14:solidFill>
          </w14:textFill>
        </w:rPr>
        <w:drawing>
          <wp:inline distT="0" distB="0" distL="114300" distR="114300">
            <wp:extent cx="2407285" cy="1804670"/>
            <wp:effectExtent l="0" t="0" r="12065" b="5080"/>
            <wp:docPr id="14" name="图片 14"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22"/>
                    <pic:cNvPicPr>
                      <a:picLocks noChangeAspect="1"/>
                    </pic:cNvPicPr>
                  </pic:nvPicPr>
                  <pic:blipFill>
                    <a:blip r:embed="rId10"/>
                    <a:stretch>
                      <a:fillRect/>
                    </a:stretch>
                  </pic:blipFill>
                  <pic:spPr>
                    <a:xfrm>
                      <a:off x="0" y="0"/>
                      <a:ext cx="2407285" cy="1804670"/>
                    </a:xfrm>
                    <a:prstGeom prst="rect">
                      <a:avLst/>
                    </a:prstGeom>
                  </pic:spPr>
                </pic:pic>
              </a:graphicData>
            </a:graphic>
          </wp:inline>
        </w:drawing>
      </w:r>
    </w:p>
    <w:p w14:paraId="765478E5">
      <w:pPr>
        <w:spacing w:line="360" w:lineRule="auto"/>
        <w:jc w:val="center"/>
        <w:rPr>
          <w:rFonts w:hint="eastAsia" w:ascii="Times New Roman" w:hAnsi="黑体" w:eastAsia="黑体"/>
          <w:color w:val="000000" w:themeColor="text1"/>
          <w:sz w:val="18"/>
          <w:szCs w:val="18"/>
          <w:lang w:val="en-US" w:eastAsia="zh-CN"/>
          <w14:textFill>
            <w14:solidFill>
              <w14:schemeClr w14:val="tx1"/>
            </w14:solidFill>
          </w14:textFill>
        </w:rPr>
      </w:pPr>
      <w:r>
        <w:rPr>
          <w:rFonts w:hint="eastAsia" w:ascii="Times New Roman" w:hAnsi="黑体" w:eastAsia="黑体"/>
          <w:color w:val="000000" w:themeColor="text1"/>
          <w:sz w:val="18"/>
          <w:szCs w:val="18"/>
          <w:lang w:val="en-US" w:eastAsia="zh-CN"/>
          <w14:textFill>
            <w14:solidFill>
              <w14:schemeClr w14:val="tx1"/>
            </w14:solidFill>
          </w14:textFill>
        </w:rPr>
        <w:t>图4.左为PDA接种培养7d后，右为使用0.5‰紫苏精油7d后（图片经黑白锐化处理）</w:t>
      </w:r>
    </w:p>
    <w:p w14:paraId="605F2DE7">
      <w:pPr>
        <w:spacing w:line="360" w:lineRule="auto"/>
        <w:jc w:val="center"/>
        <w:rPr>
          <w:rFonts w:hint="default" w:ascii="Times New Roman" w:hAnsi="黑体" w:eastAsia="黑体"/>
          <w:color w:val="000000" w:themeColor="text1"/>
          <w:sz w:val="18"/>
          <w:szCs w:val="18"/>
          <w:lang w:val="en-US" w:eastAsia="zh-CN"/>
          <w14:textFill>
            <w14:solidFill>
              <w14:schemeClr w14:val="tx1"/>
            </w14:solidFill>
          </w14:textFill>
        </w:rPr>
      </w:pPr>
      <w:r>
        <w:rPr>
          <w:rFonts w:hint="default" w:ascii="Times New Roman" w:hAnsi="黑体" w:eastAsia="黑体"/>
          <w:color w:val="000000" w:themeColor="text1"/>
          <w:sz w:val="18"/>
          <w:szCs w:val="18"/>
          <w:lang w:val="en-US" w:eastAsia="zh-CN"/>
          <w14:textFill>
            <w14:solidFill>
              <w14:schemeClr w14:val="tx1"/>
            </w14:solidFill>
          </w14:textFill>
        </w:rPr>
        <w:drawing>
          <wp:inline distT="0" distB="0" distL="114300" distR="114300">
            <wp:extent cx="2873375" cy="2155190"/>
            <wp:effectExtent l="0" t="0" r="3175" b="16510"/>
            <wp:docPr id="15" name="图片 15" descr="00d502ab9e9136ddf1a99cfdf99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0d502ab9e9136ddf1a99cfdf997515"/>
                    <pic:cNvPicPr>
                      <a:picLocks noChangeAspect="1"/>
                    </pic:cNvPicPr>
                  </pic:nvPicPr>
                  <pic:blipFill>
                    <a:blip r:embed="rId11"/>
                    <a:stretch>
                      <a:fillRect/>
                    </a:stretch>
                  </pic:blipFill>
                  <pic:spPr>
                    <a:xfrm>
                      <a:off x="0" y="0"/>
                      <a:ext cx="2873375" cy="2155190"/>
                    </a:xfrm>
                    <a:prstGeom prst="rect">
                      <a:avLst/>
                    </a:prstGeom>
                  </pic:spPr>
                </pic:pic>
              </a:graphicData>
            </a:graphic>
          </wp:inline>
        </w:drawing>
      </w:r>
    </w:p>
    <w:p w14:paraId="76DB450D">
      <w:pPr>
        <w:spacing w:line="360" w:lineRule="auto"/>
        <w:jc w:val="center"/>
        <w:rPr>
          <w:rFonts w:hint="default" w:ascii="Times New Roman" w:hAnsi="黑体" w:eastAsia="黑体"/>
          <w:color w:val="000000" w:themeColor="text1"/>
          <w:sz w:val="18"/>
          <w:szCs w:val="18"/>
          <w:lang w:val="en-US" w:eastAsia="zh-CN"/>
          <w14:textFill>
            <w14:solidFill>
              <w14:schemeClr w14:val="tx1"/>
            </w14:solidFill>
          </w14:textFill>
        </w:rPr>
      </w:pPr>
      <w:r>
        <w:rPr>
          <w:rFonts w:hint="eastAsia" w:ascii="Times New Roman" w:hAnsi="黑体" w:eastAsia="黑体"/>
          <w:color w:val="000000" w:themeColor="text1"/>
          <w:sz w:val="18"/>
          <w:szCs w:val="18"/>
          <w:lang w:val="en-US" w:eastAsia="zh-CN"/>
          <w14:textFill>
            <w14:solidFill>
              <w14:schemeClr w14:val="tx1"/>
            </w14:solidFill>
          </w14:textFill>
        </w:rPr>
        <w:t>图5.PDA接种培养7d后菌落特征</w:t>
      </w:r>
    </w:p>
    <w:p w14:paraId="772B9180">
      <w:pPr>
        <w:spacing w:line="360" w:lineRule="auto"/>
        <w:rPr>
          <w:rFonts w:hint="default" w:ascii="宋体" w:hAnsi="宋体" w:eastAsia="宋体"/>
          <w:b w:val="0"/>
          <w:bCs/>
          <w:sz w:val="24"/>
          <w:szCs w:val="24"/>
          <w:lang w:val="en-US" w:eastAsia="zh-CN"/>
        </w:rPr>
      </w:pPr>
      <w:r>
        <w:rPr>
          <w:rFonts w:hint="eastAsia" w:ascii="宋体" w:hAnsi="宋体" w:eastAsia="宋体" w:cs="Arial"/>
          <w:b w:val="0"/>
          <w:bCs/>
          <w:kern w:val="0"/>
          <w:sz w:val="24"/>
          <w:szCs w:val="24"/>
          <w:lang w:val="en-US" w:eastAsia="zh-CN"/>
        </w:rPr>
        <w:t>2</w:t>
      </w:r>
      <w:r>
        <w:rPr>
          <w:rFonts w:hint="eastAsia" w:ascii="宋体" w:hAnsi="宋体" w:eastAsia="宋体" w:cs="Arial"/>
          <w:b w:val="0"/>
          <w:bCs/>
          <w:kern w:val="0"/>
          <w:sz w:val="24"/>
          <w:szCs w:val="24"/>
        </w:rPr>
        <w:t>.</w:t>
      </w:r>
      <w:r>
        <w:rPr>
          <w:rFonts w:hint="eastAsia" w:ascii="宋体" w:hAnsi="宋体" w:eastAsia="宋体" w:cs="Arial"/>
          <w:b w:val="0"/>
          <w:bCs/>
          <w:kern w:val="0"/>
          <w:sz w:val="24"/>
          <w:szCs w:val="24"/>
          <w:lang w:val="en-US" w:eastAsia="zh-CN"/>
        </w:rPr>
        <w:t>5 不同储存方式对调制后白肋烟质量的影响</w:t>
      </w:r>
    </w:p>
    <w:p w14:paraId="77E95558">
      <w:pPr>
        <w:spacing w:line="360" w:lineRule="auto"/>
        <w:ind w:firstLine="480" w:firstLineChars="200"/>
        <w:rPr>
          <w:rFonts w:hint="default" w:ascii="宋体" w:hAnsi="宋体" w:eastAsia="宋体"/>
          <w:sz w:val="24"/>
          <w:lang w:val="en-US" w:eastAsia="zh-CN"/>
        </w:rPr>
      </w:pPr>
      <w:r>
        <w:rPr>
          <w:rFonts w:hint="eastAsia" w:ascii="宋体" w:hAnsi="宋体" w:eastAsia="宋体"/>
          <w:sz w:val="24"/>
          <w:lang w:val="en-US" w:eastAsia="zh-CN"/>
        </w:rPr>
        <w:t>由表5可以看出，霉变率以E2、E3处理最低，但E2、E3处理间差异不显著，外观质量及上等烟比例均以E2、E3处理最高，变异系数以E2处理最低。</w:t>
      </w:r>
    </w:p>
    <w:p w14:paraId="6B23D3C5">
      <w:pPr>
        <w:spacing w:line="360" w:lineRule="auto"/>
        <w:ind w:firstLine="480" w:firstLineChars="200"/>
        <w:rPr>
          <w:rFonts w:hint="eastAsia" w:ascii="宋体" w:hAnsi="宋体" w:eastAsia="宋体"/>
          <w:b w:val="0"/>
          <w:bCs w:val="0"/>
          <w:sz w:val="21"/>
          <w:szCs w:val="21"/>
          <w:lang w:val="en-US" w:eastAsia="zh-CN"/>
        </w:rPr>
      </w:pPr>
      <w:r>
        <w:rPr>
          <w:rFonts w:hint="eastAsia" w:ascii="宋体" w:hAnsi="宋体" w:eastAsia="宋体"/>
          <w:sz w:val="24"/>
          <w:lang w:val="en-US" w:eastAsia="zh-CN"/>
        </w:rPr>
        <w:t>由结果分析得，薄膜半封闭对储存措施对烟叶储存醇化具有显著影响，能够降低烟叶霉变率，提升烟叶储存期外观质量，提高上等烟比例，但E2、E3处理间差异不明显，可能是由于试验过程中降氧处理不到位所致。</w:t>
      </w:r>
      <w:bookmarkStart w:id="0" w:name="_GoBack"/>
      <w:bookmarkEnd w:id="0"/>
    </w:p>
    <w:p w14:paraId="028EE8F4">
      <w:pPr>
        <w:spacing w:line="360" w:lineRule="auto"/>
        <w:jc w:val="center"/>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表5不同储存方式对调制后白肋烟质量的影响</w:t>
      </w:r>
    </w:p>
    <w:tbl>
      <w:tblPr>
        <w:tblStyle w:val="2"/>
        <w:tblpPr w:leftFromText="180" w:rightFromText="180" w:vertAnchor="text" w:horzAnchor="page" w:tblpX="1600" w:tblpY="341"/>
        <w:tblOverlap w:val="never"/>
        <w:tblW w:w="8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60"/>
        <w:gridCol w:w="1935"/>
        <w:gridCol w:w="1725"/>
        <w:gridCol w:w="1590"/>
        <w:gridCol w:w="2205"/>
      </w:tblGrid>
      <w:tr w14:paraId="422CA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6" w:hRule="atLeast"/>
        </w:trPr>
        <w:tc>
          <w:tcPr>
            <w:tcW w:w="960" w:type="dxa"/>
            <w:tcBorders>
              <w:top w:val="single" w:color="000000" w:sz="12" w:space="0"/>
              <w:left w:val="nil"/>
              <w:bottom w:val="nil"/>
              <w:right w:val="nil"/>
            </w:tcBorders>
            <w:shd w:val="clear" w:color="auto" w:fill="auto"/>
            <w:noWrap/>
            <w:vAlign w:val="center"/>
          </w:tcPr>
          <w:p w14:paraId="08D240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w:t>
            </w:r>
          </w:p>
        </w:tc>
        <w:tc>
          <w:tcPr>
            <w:tcW w:w="1935" w:type="dxa"/>
            <w:tcBorders>
              <w:top w:val="single" w:color="000000" w:sz="12" w:space="0"/>
              <w:left w:val="nil"/>
              <w:bottom w:val="nil"/>
              <w:right w:val="nil"/>
            </w:tcBorders>
            <w:shd w:val="clear" w:color="auto" w:fill="auto"/>
            <w:noWrap/>
            <w:vAlign w:val="center"/>
          </w:tcPr>
          <w:p w14:paraId="3D58B6D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霉变率</w:t>
            </w:r>
          </w:p>
          <w:p w14:paraId="4F93F7C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1725" w:type="dxa"/>
            <w:tcBorders>
              <w:top w:val="single" w:color="000000" w:sz="12" w:space="0"/>
              <w:left w:val="nil"/>
              <w:bottom w:val="nil"/>
              <w:right w:val="nil"/>
            </w:tcBorders>
            <w:shd w:val="clear" w:color="auto" w:fill="auto"/>
            <w:noWrap/>
            <w:vAlign w:val="center"/>
          </w:tcPr>
          <w:p w14:paraId="56540278">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外观质量评价</w:t>
            </w:r>
          </w:p>
          <w:p w14:paraId="5F8A498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（分）</w:t>
            </w:r>
          </w:p>
        </w:tc>
        <w:tc>
          <w:tcPr>
            <w:tcW w:w="1590" w:type="dxa"/>
            <w:tcBorders>
              <w:top w:val="single" w:color="000000" w:sz="12" w:space="0"/>
              <w:left w:val="nil"/>
              <w:bottom w:val="nil"/>
              <w:right w:val="nil"/>
            </w:tcBorders>
            <w:shd w:val="clear" w:color="auto" w:fill="auto"/>
            <w:noWrap/>
            <w:vAlign w:val="center"/>
          </w:tcPr>
          <w:p w14:paraId="33D5E03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上等烟比例</w:t>
            </w:r>
          </w:p>
          <w:p w14:paraId="1CF6A9E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2205" w:type="dxa"/>
            <w:tcBorders>
              <w:top w:val="single" w:color="000000" w:sz="12" w:space="0"/>
              <w:left w:val="nil"/>
              <w:bottom w:val="single" w:color="000000" w:sz="12" w:space="0"/>
              <w:right w:val="nil"/>
            </w:tcBorders>
            <w:shd w:val="clear" w:color="auto" w:fill="auto"/>
            <w:vAlign w:val="center"/>
          </w:tcPr>
          <w:p w14:paraId="217B656D">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变异系数</w:t>
            </w:r>
          </w:p>
        </w:tc>
      </w:tr>
      <w:tr w14:paraId="7E408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60" w:type="dxa"/>
            <w:tcBorders>
              <w:top w:val="single" w:color="000000" w:sz="12" w:space="0"/>
              <w:left w:val="nil"/>
              <w:bottom w:val="nil"/>
              <w:right w:val="nil"/>
            </w:tcBorders>
            <w:shd w:val="clear" w:color="auto" w:fill="auto"/>
            <w:noWrap/>
            <w:vAlign w:val="center"/>
          </w:tcPr>
          <w:p w14:paraId="684A5BD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E1（CK））</w:t>
            </w:r>
          </w:p>
        </w:tc>
        <w:tc>
          <w:tcPr>
            <w:tcW w:w="1935" w:type="dxa"/>
            <w:tcBorders>
              <w:top w:val="single" w:color="000000" w:sz="12" w:space="0"/>
              <w:left w:val="nil"/>
              <w:bottom w:val="nil"/>
              <w:right w:val="nil"/>
            </w:tcBorders>
            <w:shd w:val="clear" w:color="auto" w:fill="auto"/>
            <w:noWrap/>
            <w:vAlign w:val="center"/>
          </w:tcPr>
          <w:p w14:paraId="67FEA5D5">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1.20a</w:t>
            </w:r>
          </w:p>
        </w:tc>
        <w:tc>
          <w:tcPr>
            <w:tcW w:w="1725" w:type="dxa"/>
            <w:tcBorders>
              <w:top w:val="single" w:color="000000" w:sz="12" w:space="0"/>
              <w:left w:val="nil"/>
              <w:bottom w:val="nil"/>
              <w:right w:val="nil"/>
            </w:tcBorders>
            <w:shd w:val="clear" w:color="auto" w:fill="auto"/>
            <w:noWrap/>
            <w:vAlign w:val="center"/>
          </w:tcPr>
          <w:p w14:paraId="286F280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80.5b</w:t>
            </w:r>
          </w:p>
        </w:tc>
        <w:tc>
          <w:tcPr>
            <w:tcW w:w="1590" w:type="dxa"/>
            <w:tcBorders>
              <w:top w:val="single" w:color="000000" w:sz="12" w:space="0"/>
              <w:left w:val="nil"/>
              <w:bottom w:val="nil"/>
              <w:right w:val="nil"/>
            </w:tcBorders>
            <w:shd w:val="clear" w:color="auto" w:fill="auto"/>
            <w:noWrap/>
            <w:vAlign w:val="center"/>
          </w:tcPr>
          <w:p w14:paraId="0DB7E58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90.85b</w:t>
            </w:r>
          </w:p>
        </w:tc>
        <w:tc>
          <w:tcPr>
            <w:tcW w:w="2205" w:type="dxa"/>
            <w:tcBorders>
              <w:top w:val="single" w:color="000000" w:sz="12" w:space="0"/>
              <w:left w:val="nil"/>
              <w:bottom w:val="nil"/>
              <w:right w:val="nil"/>
            </w:tcBorders>
            <w:shd w:val="clear" w:color="auto" w:fill="auto"/>
            <w:noWrap/>
            <w:vAlign w:val="center"/>
          </w:tcPr>
          <w:p w14:paraId="03E9E284">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sz w:val="22"/>
                <w:szCs w:val="22"/>
                <w:u w:val="none"/>
                <w:lang w:val="en-US" w:eastAsia="zh-CN"/>
              </w:rPr>
              <w:t>0.0087</w:t>
            </w:r>
          </w:p>
        </w:tc>
      </w:tr>
      <w:tr w14:paraId="3E37A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960" w:type="dxa"/>
            <w:tcBorders>
              <w:top w:val="nil"/>
              <w:left w:val="nil"/>
              <w:bottom w:val="nil"/>
              <w:right w:val="nil"/>
            </w:tcBorders>
            <w:shd w:val="clear" w:color="auto" w:fill="auto"/>
            <w:noWrap/>
            <w:vAlign w:val="center"/>
          </w:tcPr>
          <w:p w14:paraId="4DB0512C">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E2</w:t>
            </w:r>
          </w:p>
        </w:tc>
        <w:tc>
          <w:tcPr>
            <w:tcW w:w="1935" w:type="dxa"/>
            <w:tcBorders>
              <w:top w:val="nil"/>
              <w:left w:val="nil"/>
              <w:bottom w:val="nil"/>
              <w:right w:val="nil"/>
            </w:tcBorders>
            <w:shd w:val="clear" w:color="auto" w:fill="auto"/>
            <w:noWrap/>
            <w:vAlign w:val="center"/>
          </w:tcPr>
          <w:p w14:paraId="48FF02F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0.60b</w:t>
            </w:r>
          </w:p>
        </w:tc>
        <w:tc>
          <w:tcPr>
            <w:tcW w:w="1725" w:type="dxa"/>
            <w:tcBorders>
              <w:top w:val="nil"/>
              <w:left w:val="nil"/>
              <w:bottom w:val="nil"/>
              <w:right w:val="nil"/>
            </w:tcBorders>
            <w:shd w:val="clear" w:color="auto" w:fill="auto"/>
            <w:noWrap/>
            <w:vAlign w:val="center"/>
          </w:tcPr>
          <w:p w14:paraId="7A8D837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82.5a</w:t>
            </w:r>
          </w:p>
        </w:tc>
        <w:tc>
          <w:tcPr>
            <w:tcW w:w="1590" w:type="dxa"/>
            <w:tcBorders>
              <w:top w:val="nil"/>
              <w:left w:val="nil"/>
              <w:bottom w:val="nil"/>
              <w:right w:val="nil"/>
            </w:tcBorders>
            <w:shd w:val="clear" w:color="auto" w:fill="auto"/>
            <w:noWrap/>
            <w:vAlign w:val="center"/>
          </w:tcPr>
          <w:p w14:paraId="5F22D6C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92.43a</w:t>
            </w:r>
          </w:p>
        </w:tc>
        <w:tc>
          <w:tcPr>
            <w:tcW w:w="2205" w:type="dxa"/>
            <w:tcBorders>
              <w:top w:val="nil"/>
              <w:left w:val="nil"/>
              <w:bottom w:val="nil"/>
              <w:right w:val="nil"/>
            </w:tcBorders>
            <w:shd w:val="clear" w:color="auto" w:fill="auto"/>
            <w:noWrap/>
            <w:vAlign w:val="center"/>
          </w:tcPr>
          <w:p w14:paraId="0B566BC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sz w:val="22"/>
                <w:szCs w:val="22"/>
                <w:u w:val="none"/>
                <w:lang w:val="en-US" w:eastAsia="zh-CN"/>
              </w:rPr>
              <w:t>0.0014</w:t>
            </w:r>
          </w:p>
        </w:tc>
      </w:tr>
      <w:tr w14:paraId="3FB15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trPr>
        <w:tc>
          <w:tcPr>
            <w:tcW w:w="960" w:type="dxa"/>
            <w:tcBorders>
              <w:top w:val="nil"/>
              <w:left w:val="nil"/>
              <w:bottom w:val="single" w:color="000000" w:sz="12" w:space="0"/>
              <w:right w:val="nil"/>
            </w:tcBorders>
            <w:shd w:val="clear" w:color="auto" w:fill="auto"/>
            <w:noWrap/>
            <w:vAlign w:val="center"/>
          </w:tcPr>
          <w:p w14:paraId="193F434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E3</w:t>
            </w:r>
          </w:p>
        </w:tc>
        <w:tc>
          <w:tcPr>
            <w:tcW w:w="1935" w:type="dxa"/>
            <w:tcBorders>
              <w:top w:val="nil"/>
              <w:left w:val="nil"/>
              <w:bottom w:val="single" w:color="000000" w:sz="12" w:space="0"/>
              <w:right w:val="nil"/>
            </w:tcBorders>
            <w:shd w:val="clear" w:color="auto" w:fill="auto"/>
            <w:noWrap/>
            <w:vAlign w:val="center"/>
          </w:tcPr>
          <w:p w14:paraId="06E652D5">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0.57b</w:t>
            </w:r>
          </w:p>
        </w:tc>
        <w:tc>
          <w:tcPr>
            <w:tcW w:w="1725" w:type="dxa"/>
            <w:tcBorders>
              <w:top w:val="nil"/>
              <w:left w:val="nil"/>
              <w:bottom w:val="single" w:color="000000" w:sz="12" w:space="0"/>
              <w:right w:val="nil"/>
            </w:tcBorders>
            <w:shd w:val="clear" w:color="auto" w:fill="auto"/>
            <w:noWrap/>
            <w:vAlign w:val="center"/>
          </w:tcPr>
          <w:p w14:paraId="697080D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82.0a</w:t>
            </w:r>
          </w:p>
        </w:tc>
        <w:tc>
          <w:tcPr>
            <w:tcW w:w="1590" w:type="dxa"/>
            <w:tcBorders>
              <w:top w:val="nil"/>
              <w:left w:val="nil"/>
              <w:bottom w:val="single" w:color="000000" w:sz="12" w:space="0"/>
              <w:right w:val="nil"/>
            </w:tcBorders>
            <w:shd w:val="clear" w:color="auto" w:fill="auto"/>
            <w:noWrap/>
            <w:vAlign w:val="center"/>
          </w:tcPr>
          <w:p w14:paraId="579089C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92.46a</w:t>
            </w:r>
          </w:p>
        </w:tc>
        <w:tc>
          <w:tcPr>
            <w:tcW w:w="2205" w:type="dxa"/>
            <w:tcBorders>
              <w:top w:val="nil"/>
              <w:left w:val="nil"/>
              <w:bottom w:val="single" w:color="000000" w:sz="12" w:space="0"/>
              <w:right w:val="nil"/>
            </w:tcBorders>
            <w:shd w:val="clear" w:color="auto" w:fill="auto"/>
            <w:noWrap/>
            <w:vAlign w:val="center"/>
          </w:tcPr>
          <w:p w14:paraId="19E4671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sz w:val="22"/>
                <w:szCs w:val="22"/>
                <w:u w:val="none"/>
                <w:lang w:val="en-US" w:eastAsia="zh-CN"/>
              </w:rPr>
              <w:t>0.0036</w:t>
            </w:r>
          </w:p>
        </w:tc>
      </w:tr>
    </w:tbl>
    <w:p w14:paraId="564D988F">
      <w:pPr>
        <w:spacing w:line="360" w:lineRule="auto"/>
        <w:jc w:val="center"/>
        <w:rPr>
          <w:rFonts w:hint="eastAsia" w:ascii="宋体" w:hAnsi="宋体" w:eastAsia="宋体" w:cs="Arial"/>
          <w:b/>
          <w:kern w:val="0"/>
          <w:sz w:val="28"/>
          <w:szCs w:val="28"/>
          <w:lang w:val="en-US" w:eastAsia="zh-CN"/>
        </w:rPr>
      </w:pPr>
      <w:r>
        <w:rPr>
          <w:rFonts w:hint="eastAsia" w:ascii="宋体" w:hAnsi="宋体" w:eastAsia="宋体" w:cs="Arial"/>
          <w:b/>
          <w:kern w:val="0"/>
          <w:sz w:val="28"/>
          <w:szCs w:val="28"/>
          <w:lang w:val="en-US" w:eastAsia="zh-CN"/>
        </w:rPr>
        <w:t xml:space="preserve">          </w:t>
      </w:r>
    </w:p>
    <w:p w14:paraId="5A8D149E">
      <w:pPr>
        <w:spacing w:line="360" w:lineRule="auto"/>
        <w:jc w:val="both"/>
        <w:rPr>
          <w:rFonts w:hint="eastAsia" w:ascii="宋体" w:hAnsi="宋体" w:eastAsia="宋体" w:cs="Arial"/>
          <w:b w:val="0"/>
          <w:bCs/>
          <w:kern w:val="0"/>
          <w:sz w:val="24"/>
          <w:szCs w:val="24"/>
          <w:lang w:val="en-US" w:eastAsia="zh-CN"/>
        </w:rPr>
      </w:pPr>
      <w:r>
        <w:rPr>
          <w:rFonts w:hint="eastAsia" w:ascii="宋体" w:hAnsi="宋体" w:eastAsia="宋体" w:cs="Arial"/>
          <w:b w:val="0"/>
          <w:bCs/>
          <w:kern w:val="0"/>
          <w:sz w:val="24"/>
          <w:szCs w:val="24"/>
          <w:lang w:val="en-US" w:eastAsia="zh-CN"/>
        </w:rPr>
        <w:t>2</w:t>
      </w:r>
      <w:r>
        <w:rPr>
          <w:rFonts w:hint="eastAsia" w:ascii="宋体" w:hAnsi="宋体" w:eastAsia="宋体" w:cs="Arial"/>
          <w:b w:val="0"/>
          <w:bCs/>
          <w:kern w:val="0"/>
          <w:sz w:val="24"/>
          <w:szCs w:val="24"/>
        </w:rPr>
        <w:t>.</w:t>
      </w:r>
      <w:r>
        <w:rPr>
          <w:rFonts w:hint="eastAsia" w:ascii="宋体" w:hAnsi="宋体" w:eastAsia="宋体" w:cs="Arial"/>
          <w:b w:val="0"/>
          <w:bCs/>
          <w:kern w:val="0"/>
          <w:sz w:val="24"/>
          <w:szCs w:val="24"/>
          <w:lang w:val="en-US" w:eastAsia="zh-CN"/>
        </w:rPr>
        <w:t>6 各环节均质化调控措施对白肋烟均质性的影响分析</w:t>
      </w:r>
    </w:p>
    <w:p w14:paraId="27D53CC8">
      <w:pPr>
        <w:spacing w:line="360" w:lineRule="auto"/>
        <w:ind w:firstLine="480" w:firstLineChars="200"/>
        <w:jc w:val="both"/>
        <w:rPr>
          <w:rFonts w:hint="eastAsia" w:ascii="宋体" w:hAnsi="宋体" w:eastAsia="宋体"/>
          <w:b/>
          <w:bCs/>
          <w:sz w:val="24"/>
          <w:lang w:val="en-US" w:eastAsia="zh-CN"/>
        </w:rPr>
      </w:pPr>
      <w:r>
        <w:rPr>
          <w:rFonts w:hint="eastAsia" w:ascii="宋体" w:hAnsi="宋体" w:eastAsia="宋体"/>
          <w:sz w:val="24"/>
          <w:lang w:val="en-US" w:eastAsia="zh-CN"/>
        </w:rPr>
        <w:t>白肋烟生产各环节均质化调控措施对上等烟比例造成的影响，变异系数的倒数（H）初步量化为白肋烟均质化程度比较度量值，各环节均质化得分如表6。</w:t>
      </w:r>
    </w:p>
    <w:p w14:paraId="3FB8A5FC">
      <w:pPr>
        <w:spacing w:line="360" w:lineRule="auto"/>
        <w:jc w:val="center"/>
        <w:rPr>
          <w:rFonts w:hint="default" w:ascii="宋体" w:hAnsi="宋体" w:eastAsia="宋体"/>
          <w:sz w:val="24"/>
          <w:lang w:val="en-US" w:eastAsia="zh-CN"/>
        </w:rPr>
      </w:pPr>
      <w:r>
        <w:rPr>
          <w:rFonts w:hint="eastAsia" w:ascii="宋体" w:hAnsi="宋体" w:eastAsia="宋体"/>
          <w:b/>
          <w:bCs/>
          <w:sz w:val="24"/>
          <w:lang w:val="en-US" w:eastAsia="zh-CN"/>
        </w:rPr>
        <w:t>表6 烟叶生产各环节均质化程度</w:t>
      </w:r>
    </w:p>
    <w:tbl>
      <w:tblPr>
        <w:tblStyle w:val="2"/>
        <w:tblpPr w:leftFromText="180" w:rightFromText="180" w:vertAnchor="text" w:horzAnchor="page" w:tblpX="1600" w:tblpY="341"/>
        <w:tblOverlap w:val="never"/>
        <w:tblW w:w="83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200"/>
        <w:gridCol w:w="4170"/>
      </w:tblGrid>
      <w:tr w14:paraId="6E415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6" w:hRule="atLeast"/>
        </w:trPr>
        <w:tc>
          <w:tcPr>
            <w:tcW w:w="4200" w:type="dxa"/>
            <w:tcBorders>
              <w:top w:val="single" w:color="000000" w:sz="12" w:space="0"/>
              <w:left w:val="nil"/>
              <w:bottom w:val="nil"/>
              <w:right w:val="nil"/>
            </w:tcBorders>
            <w:shd w:val="clear" w:color="auto" w:fill="auto"/>
            <w:noWrap/>
            <w:vAlign w:val="center"/>
          </w:tcPr>
          <w:p w14:paraId="29BA4E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w:t>
            </w:r>
          </w:p>
        </w:tc>
        <w:tc>
          <w:tcPr>
            <w:tcW w:w="4170" w:type="dxa"/>
            <w:tcBorders>
              <w:top w:val="single" w:color="000000" w:sz="12" w:space="0"/>
              <w:left w:val="nil"/>
              <w:bottom w:val="nil"/>
              <w:right w:val="nil"/>
            </w:tcBorders>
            <w:shd w:val="clear" w:color="auto" w:fill="auto"/>
            <w:noWrap/>
            <w:vAlign w:val="center"/>
          </w:tcPr>
          <w:p w14:paraId="66095841">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w:t>
            </w:r>
          </w:p>
        </w:tc>
      </w:tr>
      <w:tr w14:paraId="624B2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200" w:type="dxa"/>
            <w:vMerge w:val="restart"/>
            <w:tcBorders>
              <w:top w:val="single" w:color="000000" w:sz="12" w:space="0"/>
              <w:left w:val="nil"/>
              <w:right w:val="nil"/>
            </w:tcBorders>
            <w:shd w:val="clear" w:color="auto" w:fill="auto"/>
            <w:noWrap/>
            <w:vAlign w:val="center"/>
          </w:tcPr>
          <w:p w14:paraId="6689D276">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品种</w:t>
            </w:r>
          </w:p>
        </w:tc>
        <w:tc>
          <w:tcPr>
            <w:tcW w:w="4170" w:type="dxa"/>
            <w:tcBorders>
              <w:top w:val="single" w:color="000000" w:sz="12" w:space="0"/>
              <w:left w:val="nil"/>
              <w:bottom w:val="nil"/>
              <w:right w:val="nil"/>
            </w:tcBorders>
            <w:shd w:val="clear" w:color="auto" w:fill="auto"/>
            <w:noWrap/>
            <w:vAlign w:val="center"/>
          </w:tcPr>
          <w:p w14:paraId="64B388B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294</w:t>
            </w:r>
          </w:p>
        </w:tc>
      </w:tr>
      <w:tr w14:paraId="42985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4200" w:type="dxa"/>
            <w:vMerge w:val="continue"/>
            <w:tcBorders>
              <w:left w:val="nil"/>
              <w:right w:val="nil"/>
            </w:tcBorders>
            <w:shd w:val="clear" w:color="auto" w:fill="auto"/>
            <w:noWrap/>
            <w:vAlign w:val="center"/>
          </w:tcPr>
          <w:p w14:paraId="261BD24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3A79D02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101</w:t>
            </w:r>
          </w:p>
        </w:tc>
      </w:tr>
      <w:tr w14:paraId="04F64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4200" w:type="dxa"/>
            <w:vMerge w:val="continue"/>
            <w:tcBorders>
              <w:left w:val="nil"/>
              <w:bottom w:val="nil"/>
              <w:right w:val="nil"/>
            </w:tcBorders>
            <w:shd w:val="clear" w:color="auto" w:fill="auto"/>
            <w:noWrap/>
            <w:vAlign w:val="center"/>
          </w:tcPr>
          <w:p w14:paraId="01B3E4F0">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70978F3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w:t>
            </w:r>
          </w:p>
        </w:tc>
      </w:tr>
      <w:tr w14:paraId="1D47C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4200" w:type="dxa"/>
            <w:vMerge w:val="restart"/>
            <w:tcBorders>
              <w:top w:val="nil"/>
              <w:left w:val="nil"/>
              <w:right w:val="nil"/>
            </w:tcBorders>
            <w:shd w:val="clear" w:color="auto" w:fill="auto"/>
            <w:noWrap/>
            <w:vAlign w:val="center"/>
          </w:tcPr>
          <w:p w14:paraId="72E1DDB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育苗方式</w:t>
            </w:r>
          </w:p>
        </w:tc>
        <w:tc>
          <w:tcPr>
            <w:tcW w:w="4170" w:type="dxa"/>
            <w:tcBorders>
              <w:top w:val="nil"/>
              <w:left w:val="nil"/>
              <w:bottom w:val="nil"/>
              <w:right w:val="nil"/>
            </w:tcBorders>
            <w:shd w:val="clear" w:color="auto" w:fill="auto"/>
            <w:noWrap/>
            <w:vAlign w:val="center"/>
          </w:tcPr>
          <w:p w14:paraId="7493940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18</w:t>
            </w:r>
          </w:p>
        </w:tc>
      </w:tr>
      <w:tr w14:paraId="42723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right w:val="nil"/>
            </w:tcBorders>
            <w:shd w:val="clear" w:color="auto" w:fill="auto"/>
            <w:noWrap/>
            <w:vAlign w:val="center"/>
          </w:tcPr>
          <w:p w14:paraId="7B5EF7A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3C8A9E2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84</w:t>
            </w:r>
          </w:p>
        </w:tc>
      </w:tr>
      <w:tr w14:paraId="5424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bottom w:val="nil"/>
              <w:right w:val="nil"/>
            </w:tcBorders>
            <w:shd w:val="clear" w:color="auto" w:fill="auto"/>
            <w:noWrap/>
            <w:vAlign w:val="center"/>
          </w:tcPr>
          <w:p w14:paraId="0010BE85">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0DAA964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112</w:t>
            </w:r>
          </w:p>
        </w:tc>
      </w:tr>
      <w:tr w14:paraId="62178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restart"/>
            <w:tcBorders>
              <w:top w:val="nil"/>
              <w:left w:val="nil"/>
              <w:right w:val="nil"/>
            </w:tcBorders>
            <w:shd w:val="clear" w:color="auto" w:fill="auto"/>
            <w:noWrap/>
            <w:vAlign w:val="center"/>
          </w:tcPr>
          <w:p w14:paraId="444B856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生化调控</w:t>
            </w:r>
          </w:p>
        </w:tc>
        <w:tc>
          <w:tcPr>
            <w:tcW w:w="4170" w:type="dxa"/>
            <w:tcBorders>
              <w:top w:val="nil"/>
              <w:left w:val="nil"/>
              <w:bottom w:val="nil"/>
              <w:right w:val="nil"/>
            </w:tcBorders>
            <w:shd w:val="clear" w:color="auto" w:fill="auto"/>
            <w:noWrap/>
            <w:vAlign w:val="center"/>
          </w:tcPr>
          <w:p w14:paraId="72AA3145">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46</w:t>
            </w:r>
          </w:p>
        </w:tc>
      </w:tr>
      <w:tr w14:paraId="264D6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right w:val="nil"/>
            </w:tcBorders>
            <w:shd w:val="clear" w:color="auto" w:fill="auto"/>
            <w:noWrap/>
            <w:vAlign w:val="center"/>
          </w:tcPr>
          <w:p w14:paraId="25AE5075">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6C2BF90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61</w:t>
            </w:r>
          </w:p>
        </w:tc>
      </w:tr>
      <w:tr w14:paraId="53EE6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right w:val="nil"/>
            </w:tcBorders>
            <w:shd w:val="clear" w:color="auto" w:fill="auto"/>
            <w:noWrap/>
            <w:vAlign w:val="center"/>
          </w:tcPr>
          <w:p w14:paraId="1298FA8A">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7751A5A0">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178</w:t>
            </w:r>
          </w:p>
        </w:tc>
      </w:tr>
      <w:tr w14:paraId="505AC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right w:val="nil"/>
            </w:tcBorders>
            <w:shd w:val="clear" w:color="auto" w:fill="auto"/>
            <w:noWrap/>
            <w:vAlign w:val="center"/>
          </w:tcPr>
          <w:p w14:paraId="32C8FD7D">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652E38A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63</w:t>
            </w:r>
          </w:p>
        </w:tc>
      </w:tr>
      <w:tr w14:paraId="290BF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trPr>
        <w:tc>
          <w:tcPr>
            <w:tcW w:w="4200" w:type="dxa"/>
            <w:vMerge w:val="continue"/>
            <w:tcBorders>
              <w:left w:val="nil"/>
              <w:right w:val="nil"/>
            </w:tcBorders>
            <w:shd w:val="clear" w:color="auto" w:fill="auto"/>
            <w:noWrap/>
            <w:vAlign w:val="center"/>
          </w:tcPr>
          <w:p w14:paraId="191064C6">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362432E0">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21</w:t>
            </w:r>
          </w:p>
        </w:tc>
      </w:tr>
      <w:tr w14:paraId="0E240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bottom w:val="nil"/>
              <w:right w:val="nil"/>
            </w:tcBorders>
            <w:shd w:val="clear" w:color="auto" w:fill="auto"/>
            <w:noWrap/>
            <w:vAlign w:val="center"/>
          </w:tcPr>
          <w:p w14:paraId="1A2E3014">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5F6415A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312</w:t>
            </w:r>
          </w:p>
        </w:tc>
      </w:tr>
      <w:tr w14:paraId="1D6F1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restart"/>
            <w:tcBorders>
              <w:top w:val="nil"/>
              <w:left w:val="nil"/>
              <w:right w:val="nil"/>
            </w:tcBorders>
            <w:shd w:val="clear" w:color="auto" w:fill="auto"/>
            <w:noWrap/>
            <w:vAlign w:val="center"/>
          </w:tcPr>
          <w:p w14:paraId="4CD7833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调制</w:t>
            </w:r>
          </w:p>
        </w:tc>
        <w:tc>
          <w:tcPr>
            <w:tcW w:w="4170" w:type="dxa"/>
            <w:tcBorders>
              <w:top w:val="nil"/>
              <w:left w:val="nil"/>
              <w:bottom w:val="nil"/>
              <w:right w:val="nil"/>
            </w:tcBorders>
            <w:shd w:val="clear" w:color="auto" w:fill="auto"/>
            <w:noWrap/>
            <w:vAlign w:val="center"/>
          </w:tcPr>
          <w:p w14:paraId="71B920B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35</w:t>
            </w:r>
          </w:p>
        </w:tc>
      </w:tr>
      <w:tr w14:paraId="13E9D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right w:val="nil"/>
            </w:tcBorders>
            <w:shd w:val="clear" w:color="auto" w:fill="auto"/>
            <w:noWrap/>
            <w:vAlign w:val="center"/>
          </w:tcPr>
          <w:p w14:paraId="7F07C442">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4288E0D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96</w:t>
            </w:r>
          </w:p>
        </w:tc>
      </w:tr>
      <w:tr w14:paraId="00DBF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trPr>
        <w:tc>
          <w:tcPr>
            <w:tcW w:w="4200" w:type="dxa"/>
            <w:vMerge w:val="continue"/>
            <w:tcBorders>
              <w:left w:val="nil"/>
              <w:bottom w:val="nil"/>
              <w:right w:val="nil"/>
            </w:tcBorders>
            <w:shd w:val="clear" w:color="auto" w:fill="auto"/>
            <w:noWrap/>
            <w:vAlign w:val="center"/>
          </w:tcPr>
          <w:p w14:paraId="333F8091">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4884878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27</w:t>
            </w:r>
          </w:p>
        </w:tc>
      </w:tr>
      <w:tr w14:paraId="0BBAC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trPr>
        <w:tc>
          <w:tcPr>
            <w:tcW w:w="4200" w:type="dxa"/>
            <w:vMerge w:val="restart"/>
            <w:tcBorders>
              <w:top w:val="nil"/>
              <w:left w:val="nil"/>
              <w:right w:val="nil"/>
            </w:tcBorders>
            <w:shd w:val="clear" w:color="auto" w:fill="auto"/>
            <w:noWrap/>
            <w:vAlign w:val="center"/>
          </w:tcPr>
          <w:p w14:paraId="65DAABA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储存</w:t>
            </w:r>
          </w:p>
        </w:tc>
        <w:tc>
          <w:tcPr>
            <w:tcW w:w="4170" w:type="dxa"/>
            <w:tcBorders>
              <w:top w:val="nil"/>
              <w:left w:val="nil"/>
              <w:bottom w:val="nil"/>
              <w:right w:val="nil"/>
            </w:tcBorders>
            <w:shd w:val="clear" w:color="auto" w:fill="auto"/>
            <w:noWrap/>
            <w:vAlign w:val="center"/>
          </w:tcPr>
          <w:p w14:paraId="435D19B5">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114</w:t>
            </w:r>
          </w:p>
        </w:tc>
      </w:tr>
      <w:tr w14:paraId="7080A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right w:val="nil"/>
            </w:tcBorders>
            <w:shd w:val="clear" w:color="auto" w:fill="auto"/>
            <w:noWrap/>
            <w:vAlign w:val="center"/>
          </w:tcPr>
          <w:p w14:paraId="0365390F">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nil"/>
              <w:right w:val="nil"/>
            </w:tcBorders>
            <w:shd w:val="clear" w:color="auto" w:fill="auto"/>
            <w:noWrap/>
            <w:vAlign w:val="center"/>
          </w:tcPr>
          <w:p w14:paraId="44459DA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524</w:t>
            </w:r>
          </w:p>
        </w:tc>
      </w:tr>
      <w:tr w14:paraId="0AF43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4200" w:type="dxa"/>
            <w:vMerge w:val="continue"/>
            <w:tcBorders>
              <w:left w:val="nil"/>
              <w:bottom w:val="single" w:color="000000" w:sz="12" w:space="0"/>
              <w:right w:val="nil"/>
            </w:tcBorders>
            <w:shd w:val="clear" w:color="auto" w:fill="auto"/>
            <w:noWrap/>
            <w:vAlign w:val="center"/>
          </w:tcPr>
          <w:p w14:paraId="700EABC8">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p>
        </w:tc>
        <w:tc>
          <w:tcPr>
            <w:tcW w:w="4170" w:type="dxa"/>
            <w:tcBorders>
              <w:top w:val="nil"/>
              <w:left w:val="nil"/>
              <w:bottom w:val="single" w:color="000000" w:sz="12" w:space="0"/>
              <w:right w:val="nil"/>
            </w:tcBorders>
            <w:shd w:val="clear" w:color="auto" w:fill="auto"/>
            <w:noWrap/>
            <w:vAlign w:val="center"/>
          </w:tcPr>
          <w:p w14:paraId="60BB38A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277</w:t>
            </w:r>
          </w:p>
        </w:tc>
      </w:tr>
    </w:tbl>
    <w:p w14:paraId="7FA11CAF">
      <w:pPr>
        <w:spacing w:line="360" w:lineRule="auto"/>
        <w:ind w:firstLine="480" w:firstLineChars="200"/>
        <w:jc w:val="both"/>
        <w:rPr>
          <w:rFonts w:hint="default" w:ascii="宋体" w:hAnsi="宋体" w:eastAsia="宋体"/>
          <w:sz w:val="24"/>
          <w:lang w:val="en-US" w:eastAsia="zh-CN"/>
        </w:rPr>
      </w:pPr>
    </w:p>
    <w:p w14:paraId="2C8246AD">
      <w:pPr>
        <w:spacing w:line="360" w:lineRule="auto"/>
        <w:ind w:firstLine="480" w:firstLineChars="200"/>
        <w:jc w:val="both"/>
        <w:rPr>
          <w:rFonts w:hint="eastAsia" w:ascii="宋体" w:hAnsi="宋体" w:eastAsia="宋体"/>
          <w:sz w:val="24"/>
          <w:lang w:val="en-US" w:eastAsia="zh-CN"/>
        </w:rPr>
      </w:pPr>
      <w:r>
        <w:rPr>
          <w:rFonts w:hint="eastAsia" w:ascii="宋体" w:hAnsi="宋体" w:eastAsia="宋体"/>
          <w:sz w:val="24"/>
          <w:lang w:val="en-US" w:eastAsia="zh-CN"/>
        </w:rPr>
        <w:t>对各环节均质化比较值二分类为“是否具有均质化（因变量编码否为0，是为1）”，对各环节均质化调控措施下因变量进行公因子提取的品种为最大叶面积，育苗方式为一级侧根数，生化调控为第10叶位叶面积，储存为外观质量评价，调制环节直接选取菌丝生长抑制作用为该环节公因子，对上述四项进行公因子加权，对上等烟比例进行个案加权，对上述指标进行二元logistic回归分析，霍斯默检验显著性为0.553＞0.05，观测数据和回归模型拟合良好，结果如表7，即品种环节，当成熟期最大叶面积每增加1个单位，烟叶具有均质化程度增加1.223倍；在育苗环节，一级侧根数每增加1个单位，烟叶具有均质化程度增加6.596倍；在大田生化调控措施下，第10叶位叶面积每增加1个单位，烟叶具有均质化的程度增加1.647倍；在调制期各调制干预措施下，外观质量评价得分每增加1个单位，烟叶具有均质化程度增加1.002倍；在储存干预措施下，外观质量评价得分每增加1个单位，烟叶具有均质化程度增加7.858倍，因此可得在育苗方式为地步育苗，储存方式为薄膜覆盖半封闭储存时，烟叶具有均质化生产水平，变异系数为0.0063，均质化平均得分为318，此时上等烟比例平均为92.22%，较全县平均水平高出1.25%，符合试验预期。</w:t>
      </w:r>
    </w:p>
    <w:p w14:paraId="5DF2486A">
      <w:pPr>
        <w:spacing w:line="360" w:lineRule="auto"/>
        <w:jc w:val="center"/>
        <w:rPr>
          <w:rFonts w:hint="eastAsia" w:ascii="宋体" w:hAnsi="宋体" w:eastAsia="宋体"/>
          <w:sz w:val="24"/>
          <w:lang w:val="en-US" w:eastAsia="zh-CN"/>
        </w:rPr>
      </w:pPr>
      <w:r>
        <w:rPr>
          <w:rFonts w:hint="eastAsia" w:ascii="宋体" w:hAnsi="宋体" w:eastAsia="宋体"/>
          <w:b/>
          <w:bCs/>
          <w:sz w:val="24"/>
          <w:lang w:val="en-US" w:eastAsia="zh-CN"/>
        </w:rPr>
        <w:t>表7不同储存方式对调制后白肋烟质量的影响</w:t>
      </w:r>
    </w:p>
    <w:tbl>
      <w:tblPr>
        <w:tblStyle w:val="2"/>
        <w:tblpPr w:leftFromText="180" w:rightFromText="180" w:vertAnchor="text" w:horzAnchor="page" w:tblpX="1600" w:tblpY="341"/>
        <w:tblOverlap w:val="never"/>
        <w:tblW w:w="76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95"/>
        <w:gridCol w:w="3885"/>
      </w:tblGrid>
      <w:tr w14:paraId="5DF0A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6" w:hRule="atLeast"/>
        </w:trPr>
        <w:tc>
          <w:tcPr>
            <w:tcW w:w="3795" w:type="dxa"/>
            <w:tcBorders>
              <w:top w:val="single" w:color="000000" w:sz="12" w:space="0"/>
              <w:left w:val="nil"/>
              <w:bottom w:val="nil"/>
              <w:right w:val="nil"/>
            </w:tcBorders>
            <w:shd w:val="clear" w:color="auto" w:fill="auto"/>
            <w:noWrap/>
            <w:vAlign w:val="center"/>
          </w:tcPr>
          <w:p w14:paraId="390B7B14">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因子提取</w:t>
            </w:r>
          </w:p>
        </w:tc>
        <w:tc>
          <w:tcPr>
            <w:tcW w:w="3885" w:type="dxa"/>
            <w:tcBorders>
              <w:top w:val="single" w:color="000000" w:sz="12" w:space="0"/>
              <w:left w:val="nil"/>
              <w:bottom w:val="nil"/>
              <w:right w:val="nil"/>
            </w:tcBorders>
            <w:shd w:val="clear" w:color="auto" w:fill="auto"/>
            <w:noWrap/>
            <w:vAlign w:val="center"/>
          </w:tcPr>
          <w:p w14:paraId="039B356D">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Exp（B）</w:t>
            </w:r>
          </w:p>
        </w:tc>
      </w:tr>
      <w:tr w14:paraId="504FE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95" w:type="dxa"/>
            <w:tcBorders>
              <w:top w:val="single" w:color="000000" w:sz="12" w:space="0"/>
              <w:left w:val="nil"/>
              <w:bottom w:val="nil"/>
              <w:right w:val="nil"/>
            </w:tcBorders>
            <w:shd w:val="clear" w:color="auto" w:fill="auto"/>
            <w:noWrap/>
            <w:vAlign w:val="center"/>
          </w:tcPr>
          <w:p w14:paraId="77DDE33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最大叶面积（品种）</w:t>
            </w:r>
          </w:p>
        </w:tc>
        <w:tc>
          <w:tcPr>
            <w:tcW w:w="3885" w:type="dxa"/>
            <w:tcBorders>
              <w:top w:val="single" w:color="000000" w:sz="12" w:space="0"/>
              <w:left w:val="nil"/>
              <w:bottom w:val="nil"/>
              <w:right w:val="nil"/>
            </w:tcBorders>
            <w:shd w:val="clear" w:color="auto" w:fill="auto"/>
            <w:noWrap/>
            <w:vAlign w:val="center"/>
          </w:tcPr>
          <w:p w14:paraId="6C2B6F6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1.223</w:t>
            </w:r>
          </w:p>
        </w:tc>
      </w:tr>
      <w:tr w14:paraId="547A7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95" w:type="dxa"/>
            <w:tcBorders>
              <w:top w:val="nil"/>
              <w:left w:val="nil"/>
              <w:bottom w:val="nil"/>
              <w:right w:val="nil"/>
            </w:tcBorders>
            <w:shd w:val="clear" w:color="auto" w:fill="auto"/>
            <w:noWrap/>
            <w:vAlign w:val="center"/>
          </w:tcPr>
          <w:p w14:paraId="7B57D8AD">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一级侧根数</w:t>
            </w:r>
          </w:p>
        </w:tc>
        <w:tc>
          <w:tcPr>
            <w:tcW w:w="3885" w:type="dxa"/>
            <w:tcBorders>
              <w:top w:val="nil"/>
              <w:left w:val="nil"/>
              <w:bottom w:val="nil"/>
              <w:right w:val="nil"/>
            </w:tcBorders>
            <w:shd w:val="clear" w:color="auto" w:fill="auto"/>
            <w:noWrap/>
            <w:vAlign w:val="center"/>
          </w:tcPr>
          <w:p w14:paraId="22CC9BA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6.596</w:t>
            </w:r>
          </w:p>
        </w:tc>
      </w:tr>
      <w:tr w14:paraId="456C1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95" w:type="dxa"/>
            <w:tcBorders>
              <w:top w:val="nil"/>
              <w:left w:val="nil"/>
              <w:bottom w:val="nil"/>
              <w:right w:val="nil"/>
            </w:tcBorders>
            <w:shd w:val="clear" w:color="auto" w:fill="auto"/>
            <w:noWrap/>
            <w:vAlign w:val="center"/>
          </w:tcPr>
          <w:p w14:paraId="1BB5A5B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第10叶位叶面积</w:t>
            </w:r>
          </w:p>
        </w:tc>
        <w:tc>
          <w:tcPr>
            <w:tcW w:w="3885" w:type="dxa"/>
            <w:tcBorders>
              <w:top w:val="nil"/>
              <w:left w:val="nil"/>
              <w:bottom w:val="nil"/>
              <w:right w:val="nil"/>
            </w:tcBorders>
            <w:shd w:val="clear" w:color="auto" w:fill="auto"/>
            <w:noWrap/>
            <w:vAlign w:val="center"/>
          </w:tcPr>
          <w:p w14:paraId="432BA26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2.647</w:t>
            </w:r>
          </w:p>
        </w:tc>
      </w:tr>
      <w:tr w14:paraId="3337D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95" w:type="dxa"/>
            <w:tcBorders>
              <w:top w:val="nil"/>
              <w:left w:val="nil"/>
              <w:bottom w:val="nil"/>
              <w:right w:val="nil"/>
            </w:tcBorders>
            <w:shd w:val="clear" w:color="auto" w:fill="auto"/>
            <w:noWrap/>
            <w:vAlign w:val="center"/>
          </w:tcPr>
          <w:p w14:paraId="150E70BF">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菌丝生长抑制作用</w:t>
            </w:r>
          </w:p>
        </w:tc>
        <w:tc>
          <w:tcPr>
            <w:tcW w:w="3885" w:type="dxa"/>
            <w:tcBorders>
              <w:top w:val="nil"/>
              <w:left w:val="nil"/>
              <w:bottom w:val="nil"/>
              <w:right w:val="nil"/>
            </w:tcBorders>
            <w:shd w:val="clear" w:color="auto" w:fill="auto"/>
            <w:noWrap/>
            <w:vAlign w:val="center"/>
          </w:tcPr>
          <w:p w14:paraId="4F41490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1.002</w:t>
            </w:r>
          </w:p>
        </w:tc>
      </w:tr>
      <w:tr w14:paraId="25313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2" w:hRule="atLeast"/>
        </w:trPr>
        <w:tc>
          <w:tcPr>
            <w:tcW w:w="3795" w:type="dxa"/>
            <w:tcBorders>
              <w:top w:val="nil"/>
              <w:left w:val="nil"/>
              <w:bottom w:val="single" w:color="000000" w:sz="12" w:space="0"/>
              <w:right w:val="nil"/>
            </w:tcBorders>
            <w:shd w:val="clear" w:color="auto" w:fill="auto"/>
            <w:noWrap/>
            <w:vAlign w:val="center"/>
          </w:tcPr>
          <w:p w14:paraId="124B90E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外观质量评价得分</w:t>
            </w:r>
          </w:p>
        </w:tc>
        <w:tc>
          <w:tcPr>
            <w:tcW w:w="3885" w:type="dxa"/>
            <w:tcBorders>
              <w:top w:val="nil"/>
              <w:left w:val="nil"/>
              <w:bottom w:val="single" w:color="000000" w:sz="12" w:space="0"/>
              <w:right w:val="nil"/>
            </w:tcBorders>
            <w:shd w:val="clear" w:color="auto" w:fill="auto"/>
            <w:noWrap/>
            <w:vAlign w:val="center"/>
          </w:tcPr>
          <w:p w14:paraId="0FB0AC5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7.858</w:t>
            </w:r>
          </w:p>
        </w:tc>
      </w:tr>
    </w:tbl>
    <w:p w14:paraId="5BC11CA8">
      <w:pPr>
        <w:spacing w:line="360" w:lineRule="auto"/>
        <w:ind w:firstLine="480" w:firstLineChars="200"/>
        <w:jc w:val="both"/>
        <w:rPr>
          <w:rFonts w:hint="default" w:ascii="宋体" w:hAnsi="宋体" w:eastAsia="宋体"/>
          <w:sz w:val="24"/>
          <w:lang w:val="en-US" w:eastAsia="zh-CN"/>
        </w:rPr>
      </w:pPr>
    </w:p>
    <w:p w14:paraId="46345B4F">
      <w:pPr>
        <w:spacing w:line="360" w:lineRule="auto"/>
        <w:jc w:val="both"/>
        <w:rPr>
          <w:rFonts w:hint="default" w:ascii="Times New Roman" w:hAnsi="黑体" w:eastAsia="黑体"/>
          <w:color w:val="000000" w:themeColor="text1"/>
          <w:sz w:val="18"/>
          <w:szCs w:val="18"/>
          <w:lang w:val="en-US" w:eastAsia="zh-CN"/>
          <w14:textFill>
            <w14:solidFill>
              <w14:schemeClr w14:val="tx1"/>
            </w14:solidFill>
          </w14:textFill>
        </w:rPr>
      </w:pPr>
    </w:p>
    <w:p w14:paraId="0950411D">
      <w:pPr>
        <w:spacing w:line="360" w:lineRule="auto"/>
        <w:rPr>
          <w:rFonts w:ascii="宋体" w:hAnsi="宋体" w:eastAsia="宋体" w:cs="Arial"/>
          <w:b/>
          <w:kern w:val="0"/>
          <w:sz w:val="28"/>
          <w:szCs w:val="28"/>
        </w:rPr>
      </w:pPr>
    </w:p>
    <w:p w14:paraId="3EB0459F">
      <w:pPr>
        <w:spacing w:line="360" w:lineRule="auto"/>
        <w:rPr>
          <w:rFonts w:ascii="Times New Roman" w:hAnsi="黑体" w:eastAsia="黑体"/>
          <w:color w:val="000000" w:themeColor="text1"/>
          <w:sz w:val="18"/>
          <w:szCs w:val="18"/>
          <w14:textFill>
            <w14:solidFill>
              <w14:schemeClr w14:val="tx1"/>
            </w14:solidFill>
          </w14:textFill>
        </w:rPr>
      </w:pPr>
    </w:p>
    <w:p w14:paraId="0B3DACB9">
      <w:pPr>
        <w:spacing w:line="360" w:lineRule="auto"/>
        <w:rPr>
          <w:rFonts w:ascii="宋体" w:hAnsi="宋体" w:eastAsia="宋体" w:cs="Arial"/>
          <w:b/>
          <w:kern w:val="0"/>
          <w:sz w:val="28"/>
          <w:szCs w:val="28"/>
        </w:rPr>
      </w:pPr>
    </w:p>
    <w:p w14:paraId="3DE5FF5B">
      <w:pPr>
        <w:spacing w:line="360" w:lineRule="auto"/>
        <w:rPr>
          <w:rFonts w:ascii="宋体" w:hAnsi="宋体" w:eastAsia="宋体" w:cs="Arial"/>
          <w:b/>
          <w:kern w:val="0"/>
          <w:sz w:val="28"/>
          <w:szCs w:val="28"/>
        </w:rPr>
      </w:pPr>
    </w:p>
    <w:p w14:paraId="7CD60B74">
      <w:pPr>
        <w:spacing w:line="360" w:lineRule="auto"/>
        <w:jc w:val="both"/>
        <w:rPr>
          <w:rFonts w:hint="default" w:ascii="宋体" w:hAnsi="宋体" w:eastAsia="宋体" w:cs="Arial"/>
          <w:b w:val="0"/>
          <w:bCs/>
          <w:kern w:val="0"/>
          <w:sz w:val="24"/>
          <w:szCs w:val="24"/>
          <w:lang w:val="en-US" w:eastAsia="zh-CN"/>
        </w:rPr>
      </w:pPr>
      <w:r>
        <w:rPr>
          <w:rFonts w:hint="eastAsia" w:ascii="宋体" w:hAnsi="宋体" w:eastAsia="宋体" w:cs="Arial"/>
          <w:b w:val="0"/>
          <w:bCs/>
          <w:kern w:val="0"/>
          <w:sz w:val="24"/>
          <w:szCs w:val="24"/>
          <w:lang w:val="en-US" w:eastAsia="zh-CN"/>
        </w:rPr>
        <w:t>2</w:t>
      </w:r>
      <w:r>
        <w:rPr>
          <w:rFonts w:hint="eastAsia" w:ascii="宋体" w:hAnsi="宋体" w:eastAsia="宋体" w:cs="Arial"/>
          <w:b w:val="0"/>
          <w:bCs/>
          <w:kern w:val="0"/>
          <w:sz w:val="24"/>
          <w:szCs w:val="24"/>
        </w:rPr>
        <w:t>.</w:t>
      </w:r>
      <w:r>
        <w:rPr>
          <w:rFonts w:hint="eastAsia" w:ascii="宋体" w:hAnsi="宋体" w:eastAsia="宋体" w:cs="Arial"/>
          <w:b w:val="0"/>
          <w:bCs/>
          <w:kern w:val="0"/>
          <w:sz w:val="24"/>
          <w:szCs w:val="24"/>
          <w:lang w:val="en-US" w:eastAsia="zh-CN"/>
        </w:rPr>
        <w:t>7 拼装式晾烟棚对白肋烟产质量的影响</w:t>
      </w:r>
    </w:p>
    <w:p w14:paraId="1CFABCFA">
      <w:pPr>
        <w:spacing w:line="360" w:lineRule="auto"/>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在调制期，对实用新型专利《拼装式晾烟棚》开展推广应用。由表8可以看出，拼装式晾烟棚较传统木质晾棚晾制期缩短6天，两处理产量无显著差异，上等烟比例以拼装式晾烟棚处理显著高于木质晾烟棚，较之增加1.64%，拼装式晾烟棚变异系数小于木质晾烟棚，上等烟比例离散程度较小，代入均质化程度值H验证，均质化程度得分81分，均质化程度较高。</w:t>
      </w:r>
    </w:p>
    <w:p w14:paraId="7CF35D08">
      <w:pPr>
        <w:spacing w:line="360" w:lineRule="auto"/>
        <w:jc w:val="center"/>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表8拼装式晾烟棚对白肋烟产质量的影响</w:t>
      </w:r>
    </w:p>
    <w:tbl>
      <w:tblPr>
        <w:tblStyle w:val="2"/>
        <w:tblpPr w:leftFromText="180" w:rightFromText="180" w:vertAnchor="text" w:horzAnchor="page" w:tblpX="1600" w:tblpY="341"/>
        <w:tblOverlap w:val="never"/>
        <w:tblW w:w="8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60"/>
        <w:gridCol w:w="1935"/>
        <w:gridCol w:w="1725"/>
        <w:gridCol w:w="1590"/>
        <w:gridCol w:w="2205"/>
      </w:tblGrid>
      <w:tr w14:paraId="6DC4A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6" w:hRule="atLeast"/>
        </w:trPr>
        <w:tc>
          <w:tcPr>
            <w:tcW w:w="960" w:type="dxa"/>
            <w:tcBorders>
              <w:top w:val="single" w:color="000000" w:sz="12" w:space="0"/>
              <w:left w:val="nil"/>
              <w:bottom w:val="nil"/>
              <w:right w:val="nil"/>
            </w:tcBorders>
            <w:shd w:val="clear" w:color="auto" w:fill="auto"/>
            <w:noWrap/>
            <w:vAlign w:val="center"/>
          </w:tcPr>
          <w:p w14:paraId="101326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w:t>
            </w:r>
          </w:p>
        </w:tc>
        <w:tc>
          <w:tcPr>
            <w:tcW w:w="1935" w:type="dxa"/>
            <w:tcBorders>
              <w:top w:val="single" w:color="000000" w:sz="12" w:space="0"/>
              <w:left w:val="nil"/>
              <w:bottom w:val="nil"/>
              <w:right w:val="nil"/>
            </w:tcBorders>
            <w:shd w:val="clear" w:color="auto" w:fill="auto"/>
            <w:noWrap/>
            <w:vAlign w:val="center"/>
          </w:tcPr>
          <w:p w14:paraId="15F1FA5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晾制期</w:t>
            </w:r>
          </w:p>
          <w:p w14:paraId="59FB2B96">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w:t>
            </w:r>
          </w:p>
        </w:tc>
        <w:tc>
          <w:tcPr>
            <w:tcW w:w="1725" w:type="dxa"/>
            <w:tcBorders>
              <w:top w:val="single" w:color="000000" w:sz="12" w:space="0"/>
              <w:left w:val="nil"/>
              <w:bottom w:val="nil"/>
              <w:right w:val="nil"/>
            </w:tcBorders>
            <w:shd w:val="clear" w:color="auto" w:fill="auto"/>
            <w:noWrap/>
            <w:vAlign w:val="center"/>
          </w:tcPr>
          <w:p w14:paraId="2CCA0F8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产量</w:t>
            </w:r>
          </w:p>
          <w:p w14:paraId="2B6DA19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（kg/hm</w:t>
            </w:r>
            <w:r>
              <w:rPr>
                <w:rFonts w:hint="eastAsia" w:ascii="宋体" w:hAnsi="宋体" w:eastAsia="宋体" w:cs="宋体"/>
                <w:i w:val="0"/>
                <w:iCs w:val="0"/>
                <w:color w:val="000000"/>
                <w:kern w:val="0"/>
                <w:sz w:val="22"/>
                <w:szCs w:val="22"/>
                <w:u w:val="none"/>
                <w:vertAlign w:val="superscript"/>
                <w:lang w:val="en-US" w:eastAsia="zh-CN" w:bidi="ar"/>
              </w:rPr>
              <w:t>-2</w:t>
            </w:r>
            <w:r>
              <w:rPr>
                <w:rFonts w:hint="eastAsia" w:ascii="宋体" w:hAnsi="宋体" w:eastAsia="宋体" w:cs="宋体"/>
                <w:i w:val="0"/>
                <w:iCs w:val="0"/>
                <w:color w:val="000000"/>
                <w:kern w:val="0"/>
                <w:sz w:val="22"/>
                <w:szCs w:val="22"/>
                <w:u w:val="none"/>
                <w:lang w:val="en-US" w:eastAsia="zh-CN" w:bidi="ar"/>
              </w:rPr>
              <w:t>）</w:t>
            </w:r>
          </w:p>
        </w:tc>
        <w:tc>
          <w:tcPr>
            <w:tcW w:w="1590" w:type="dxa"/>
            <w:tcBorders>
              <w:top w:val="single" w:color="000000" w:sz="12" w:space="0"/>
              <w:left w:val="nil"/>
              <w:bottom w:val="nil"/>
              <w:right w:val="nil"/>
            </w:tcBorders>
            <w:shd w:val="clear" w:color="auto" w:fill="auto"/>
            <w:noWrap/>
            <w:vAlign w:val="center"/>
          </w:tcPr>
          <w:p w14:paraId="36512DB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上等烟比例</w:t>
            </w:r>
          </w:p>
          <w:p w14:paraId="32128D4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2205" w:type="dxa"/>
            <w:tcBorders>
              <w:top w:val="single" w:color="000000" w:sz="12" w:space="0"/>
              <w:left w:val="nil"/>
              <w:bottom w:val="single" w:color="000000" w:sz="12" w:space="0"/>
              <w:right w:val="nil"/>
            </w:tcBorders>
            <w:shd w:val="clear" w:color="auto" w:fill="auto"/>
            <w:vAlign w:val="center"/>
          </w:tcPr>
          <w:p w14:paraId="253F332D">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变异系数</w:t>
            </w:r>
          </w:p>
        </w:tc>
      </w:tr>
      <w:tr w14:paraId="6F6EC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60" w:type="dxa"/>
            <w:tcBorders>
              <w:top w:val="single" w:color="000000" w:sz="12" w:space="0"/>
              <w:left w:val="nil"/>
              <w:bottom w:val="nil"/>
              <w:right w:val="nil"/>
            </w:tcBorders>
            <w:shd w:val="clear" w:color="auto" w:fill="auto"/>
            <w:noWrap/>
            <w:vAlign w:val="center"/>
          </w:tcPr>
          <w:p w14:paraId="231C634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木制晾烟棚</w:t>
            </w:r>
          </w:p>
        </w:tc>
        <w:tc>
          <w:tcPr>
            <w:tcW w:w="1935" w:type="dxa"/>
            <w:tcBorders>
              <w:top w:val="single" w:color="000000" w:sz="12" w:space="0"/>
              <w:left w:val="nil"/>
              <w:bottom w:val="nil"/>
              <w:right w:val="nil"/>
            </w:tcBorders>
            <w:shd w:val="clear" w:color="auto" w:fill="auto"/>
            <w:noWrap/>
            <w:vAlign w:val="center"/>
          </w:tcPr>
          <w:p w14:paraId="41D9801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37a</w:t>
            </w:r>
          </w:p>
        </w:tc>
        <w:tc>
          <w:tcPr>
            <w:tcW w:w="1725" w:type="dxa"/>
            <w:tcBorders>
              <w:top w:val="single" w:color="000000" w:sz="12" w:space="0"/>
              <w:left w:val="nil"/>
              <w:bottom w:val="nil"/>
              <w:right w:val="nil"/>
            </w:tcBorders>
            <w:shd w:val="clear" w:color="auto" w:fill="auto"/>
            <w:noWrap/>
            <w:vAlign w:val="center"/>
          </w:tcPr>
          <w:p w14:paraId="625D089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2833a</w:t>
            </w:r>
          </w:p>
        </w:tc>
        <w:tc>
          <w:tcPr>
            <w:tcW w:w="1590" w:type="dxa"/>
            <w:tcBorders>
              <w:top w:val="single" w:color="000000" w:sz="12" w:space="0"/>
              <w:left w:val="nil"/>
              <w:bottom w:val="nil"/>
              <w:right w:val="nil"/>
            </w:tcBorders>
            <w:shd w:val="clear" w:color="auto" w:fill="auto"/>
            <w:noWrap/>
            <w:vAlign w:val="center"/>
          </w:tcPr>
          <w:p w14:paraId="32BAC6F6">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90.71b</w:t>
            </w:r>
          </w:p>
        </w:tc>
        <w:tc>
          <w:tcPr>
            <w:tcW w:w="2205" w:type="dxa"/>
            <w:tcBorders>
              <w:top w:val="single" w:color="000000" w:sz="12" w:space="0"/>
              <w:left w:val="nil"/>
              <w:bottom w:val="nil"/>
              <w:right w:val="nil"/>
            </w:tcBorders>
            <w:shd w:val="clear" w:color="auto" w:fill="auto"/>
            <w:noWrap/>
            <w:vAlign w:val="center"/>
          </w:tcPr>
          <w:p w14:paraId="4FBC3D98">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sz w:val="22"/>
                <w:szCs w:val="22"/>
                <w:u w:val="none"/>
                <w:lang w:val="en-US" w:eastAsia="zh-CN"/>
              </w:rPr>
              <w:t>0.1893</w:t>
            </w:r>
          </w:p>
        </w:tc>
      </w:tr>
      <w:tr w14:paraId="6FEB8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trPr>
        <w:tc>
          <w:tcPr>
            <w:tcW w:w="960" w:type="dxa"/>
            <w:tcBorders>
              <w:top w:val="nil"/>
              <w:left w:val="nil"/>
              <w:bottom w:val="single" w:color="000000" w:sz="12" w:space="0"/>
              <w:right w:val="nil"/>
            </w:tcBorders>
            <w:shd w:val="clear" w:color="auto" w:fill="auto"/>
            <w:noWrap/>
            <w:vAlign w:val="center"/>
          </w:tcPr>
          <w:p w14:paraId="4C1E8A7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拼装式晾烟棚</w:t>
            </w:r>
          </w:p>
        </w:tc>
        <w:tc>
          <w:tcPr>
            <w:tcW w:w="1935" w:type="dxa"/>
            <w:tcBorders>
              <w:top w:val="nil"/>
              <w:left w:val="nil"/>
              <w:bottom w:val="single" w:color="000000" w:sz="12" w:space="0"/>
              <w:right w:val="nil"/>
            </w:tcBorders>
            <w:shd w:val="clear" w:color="auto" w:fill="auto"/>
            <w:noWrap/>
            <w:vAlign w:val="center"/>
          </w:tcPr>
          <w:p w14:paraId="297FC85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31b</w:t>
            </w:r>
          </w:p>
        </w:tc>
        <w:tc>
          <w:tcPr>
            <w:tcW w:w="1725" w:type="dxa"/>
            <w:tcBorders>
              <w:top w:val="nil"/>
              <w:left w:val="nil"/>
              <w:bottom w:val="single" w:color="000000" w:sz="12" w:space="0"/>
              <w:right w:val="nil"/>
            </w:tcBorders>
            <w:shd w:val="clear" w:color="auto" w:fill="auto"/>
            <w:noWrap/>
            <w:vAlign w:val="center"/>
          </w:tcPr>
          <w:p w14:paraId="5AE05F04">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2847a</w:t>
            </w:r>
          </w:p>
        </w:tc>
        <w:tc>
          <w:tcPr>
            <w:tcW w:w="1590" w:type="dxa"/>
            <w:tcBorders>
              <w:top w:val="nil"/>
              <w:left w:val="nil"/>
              <w:bottom w:val="single" w:color="000000" w:sz="12" w:space="0"/>
              <w:right w:val="nil"/>
            </w:tcBorders>
            <w:shd w:val="clear" w:color="auto" w:fill="auto"/>
            <w:noWrap/>
            <w:vAlign w:val="center"/>
          </w:tcPr>
          <w:p w14:paraId="04CE741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92.35a</w:t>
            </w:r>
          </w:p>
        </w:tc>
        <w:tc>
          <w:tcPr>
            <w:tcW w:w="2205" w:type="dxa"/>
            <w:tcBorders>
              <w:top w:val="nil"/>
              <w:left w:val="nil"/>
              <w:bottom w:val="single" w:color="000000" w:sz="12" w:space="0"/>
              <w:right w:val="nil"/>
            </w:tcBorders>
            <w:shd w:val="clear" w:color="auto" w:fill="auto"/>
            <w:noWrap/>
            <w:vAlign w:val="center"/>
          </w:tcPr>
          <w:p w14:paraId="051CE26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sz w:val="22"/>
                <w:szCs w:val="22"/>
                <w:u w:val="none"/>
                <w:lang w:val="en-US" w:eastAsia="zh-CN"/>
              </w:rPr>
              <w:t>0.0123</w:t>
            </w:r>
          </w:p>
        </w:tc>
      </w:tr>
    </w:tbl>
    <w:p w14:paraId="5476B10A">
      <w:pPr>
        <w:spacing w:line="360" w:lineRule="auto"/>
        <w:rPr>
          <w:rFonts w:hint="eastAsia" w:ascii="宋体" w:hAnsi="宋体" w:eastAsia="宋体"/>
          <w:sz w:val="24"/>
          <w:szCs w:val="24"/>
          <w:lang w:val="en-US" w:eastAsia="zh-CN"/>
        </w:rPr>
      </w:pPr>
    </w:p>
    <w:p w14:paraId="73777C42">
      <w:pPr>
        <w:spacing w:line="360" w:lineRule="auto"/>
        <w:rPr>
          <w:rFonts w:hint="eastAsia" w:ascii="宋体" w:hAnsi="宋体" w:eastAsia="宋体" w:cs="Arial"/>
          <w:b w:val="0"/>
          <w:bCs/>
          <w:kern w:val="0"/>
          <w:sz w:val="24"/>
          <w:szCs w:val="24"/>
          <w:lang w:val="en-US" w:eastAsia="zh-CN"/>
        </w:rPr>
      </w:pPr>
      <w:r>
        <w:rPr>
          <w:rFonts w:hint="eastAsia" w:ascii="宋体" w:hAnsi="宋体" w:eastAsia="宋体" w:cs="Arial"/>
          <w:b w:val="0"/>
          <w:bCs/>
          <w:kern w:val="0"/>
          <w:sz w:val="24"/>
          <w:szCs w:val="24"/>
          <w:lang w:val="en-US" w:eastAsia="zh-CN"/>
        </w:rPr>
        <w:t>3讨论与结论</w:t>
      </w:r>
    </w:p>
    <w:p w14:paraId="1EF360DB">
      <w:pPr>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通过对白肋烟品种（系），育苗方式及不同生化调控、调制、储存等均质化调控措施的筛选，得出不同调控措施对白肋烟均质化生产具有影响，对不同调控措施下的变异系数进行分析，初步建立白肋烟均质化度量指标H，同时结合不同均质化调控措施对白肋烟生长发育的影响，利用各环节提取的公因子和个案加权上等烟比例与经二分类编码的均质化指标H，进行二元logistic回归分析，通过对比分析</w:t>
      </w:r>
      <w:r>
        <w:rPr>
          <w:rFonts w:hint="eastAsia" w:ascii="宋体" w:hAnsi="宋体" w:eastAsia="宋体" w:cs="宋体"/>
          <w:i w:val="0"/>
          <w:iCs w:val="0"/>
          <w:color w:val="000000"/>
          <w:kern w:val="0"/>
          <w:sz w:val="24"/>
          <w:szCs w:val="24"/>
          <w:u w:val="none"/>
          <w:lang w:val="en-US" w:eastAsia="zh-CN" w:bidi="ar"/>
        </w:rPr>
        <w:t>Exp（B）</w:t>
      </w:r>
      <w:r>
        <w:rPr>
          <w:rFonts w:hint="eastAsia" w:ascii="宋体" w:hAnsi="宋体" w:eastAsia="宋体"/>
          <w:sz w:val="24"/>
          <w:szCs w:val="24"/>
          <w:lang w:val="en-US" w:eastAsia="zh-CN"/>
        </w:rPr>
        <w:t>值，得出各环节均质化调控措施下的重点干预环节，为白肋烟生产的均衡性、稳定性提供一个简单、实用的评价度量指标和关键环节干预选项，对掌握烟叶生产均质化水平提供数据支撑，同时为新时期市场导向的白肋烟生产技术集成提供理论依据。</w:t>
      </w:r>
    </w:p>
    <w:p w14:paraId="61E754CD">
      <w:pPr>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结论如下：</w:t>
      </w:r>
    </w:p>
    <w:p w14:paraId="45842490">
      <w:pPr>
        <w:numPr>
          <w:ilvl w:val="0"/>
          <w:numId w:val="2"/>
        </w:numPr>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在品种、育苗方式选择，大田栽培、调制、储存环节生理生化调控等措施干预下均对白肋烟均质化生产具有显著影响，通过各环节均质化措施对白肋烟中部叶生长发育及品质的影响的变异系数进行分析，鄂烟1号、地布育苗、留叶16片EBR叶面喷施浓度为1μmol/L或留叶20片EBR叶面喷施浓度为10μmol/L、紫苏精油施用浓度为0.5mg/ml、薄膜覆盖半封闭储存等干预措施能够显著提升白肋烟均质性。</w:t>
      </w:r>
    </w:p>
    <w:p w14:paraId="2312D6E5">
      <w:pPr>
        <w:numPr>
          <w:ilvl w:val="0"/>
          <w:numId w:val="2"/>
        </w:numPr>
        <w:spacing w:line="360" w:lineRule="auto"/>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由均质化得分整体分析的储存环节干预措施对白肋烟均质化提升较为明显。对各环节因变量提取公因子与是否具有均质化进行二元logistic回归分析得，育苗方式选择地布育苗，储存方式选择薄膜覆盖半封闭均每提升1个单位量，均质化生产程度分别提升6.596倍和7.858倍，适应市场导向能力更强。</w:t>
      </w:r>
    </w:p>
    <w:p w14:paraId="61A30462">
      <w:pPr>
        <w:numPr>
          <w:ilvl w:val="0"/>
          <w:numId w:val="0"/>
        </w:numPr>
        <w:spacing w:line="360" w:lineRule="auto"/>
        <w:jc w:val="both"/>
        <w:rPr>
          <w:rFonts w:hint="eastAsia" w:ascii="黑体" w:hAnsi="黑体" w:eastAsia="黑体" w:cs="黑体"/>
          <w:sz w:val="28"/>
          <w:szCs w:val="28"/>
          <w:lang w:val="en-US" w:eastAsia="zh-CN"/>
        </w:rPr>
      </w:pPr>
    </w:p>
    <w:p w14:paraId="7CDB3710">
      <w:pPr>
        <w:numPr>
          <w:ilvl w:val="0"/>
          <w:numId w:val="0"/>
        </w:numPr>
        <w:spacing w:line="360" w:lineRule="auto"/>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参考文献</w:t>
      </w:r>
    </w:p>
    <w:p w14:paraId="106AC0B8">
      <w:pPr>
        <w:spacing w:line="360" w:lineRule="auto"/>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t>[1]黄文昌,吴成林,王毅,等.不同白肋烟品种叶片主要性状比较及其与单叶质量的相关性分析[J].作物研究,2021,35(01):50-54.</w:t>
      </w:r>
    </w:p>
    <w:p w14:paraId="4EAFB15F">
      <w:pPr>
        <w:spacing w:line="360" w:lineRule="auto"/>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t>[2]吴兴富,焦芳婵,张谊寒,等.清香型烟叶产区云烟116农艺性状及品质特点分析[J].江西农业大学学报,2018,40(05):925-931.</w:t>
      </w:r>
    </w:p>
    <w:p w14:paraId="7FC7C862">
      <w:pPr>
        <w:spacing w:line="360" w:lineRule="auto"/>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t>[3]张思唯,李金奥,刘博远,等.打顶方式对雪茄烟烟叶氮素积累及品质的影响[J].作物杂志,2022,(01):184-189.</w:t>
      </w:r>
    </w:p>
    <w:p w14:paraId="4D61BCE3">
      <w:pPr>
        <w:spacing w:line="360" w:lineRule="auto"/>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t>[4]关罗浩,杨欣,李超,等.留叶数对腾冲烟叶产质量的影响[J].中国农学通报,2022,38(04):10-15.</w:t>
      </w:r>
    </w:p>
    <w:p w14:paraId="2370369F">
      <w:pPr>
        <w:spacing w:line="360" w:lineRule="auto"/>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t>[5]向成轶,杨妍,张磊,等.外源赤霉素与多效唑对不同光周期敏感型马铃薯生长及StGAox基因表达的影响分析[J/OL].西南农业学报,1-18[2025-07-28].</w:t>
      </w:r>
    </w:p>
    <w:p w14:paraId="3142C9DB">
      <w:pPr>
        <w:spacing w:line="360" w:lineRule="auto"/>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t>[6]王发勇,袁清华,廖宜树,等.栽培措施对烤烟生育进程的影响研究进展[J].中国烟草科学,2016,37(02):89-94.</w:t>
      </w:r>
    </w:p>
    <w:p w14:paraId="46573EB2">
      <w:pPr>
        <w:spacing w:line="360" w:lineRule="auto"/>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t>[7]杨明坤,李建华,刘扣珠,等.豫中上六片烤烟不同采收期对烤后烟叶品质的影响[J].中国农业科技导报,2020,22(12):163-171.</w:t>
      </w:r>
    </w:p>
    <w:p w14:paraId="131A5C8C">
      <w:pPr>
        <w:spacing w:line="360" w:lineRule="auto"/>
        <w:rPr>
          <w:sz w:val="24"/>
          <w:szCs w:val="24"/>
        </w:rPr>
      </w:pPr>
      <w:r>
        <w:rPr>
          <w:rFonts w:hint="eastAsia" w:ascii="宋体" w:hAnsi="宋体" w:eastAsia="宋体" w:cs="宋体"/>
          <w:i w:val="0"/>
          <w:iCs w:val="0"/>
          <w:caps w:val="0"/>
          <w:color w:val="000000" w:themeColor="text1"/>
          <w:spacing w:val="0"/>
          <w:kern w:val="2"/>
          <w:sz w:val="24"/>
          <w:szCs w:val="24"/>
          <w:shd w:val="clear" w:fill="FFFFFF"/>
          <w:lang w:val="en-US" w:eastAsia="zh-CN" w:bidi="ar-SA"/>
          <w14:textFill>
            <w14:solidFill>
              <w14:schemeClr w14:val="tx1"/>
            </w14:solidFill>
          </w14:textFill>
        </w:rPr>
        <w:t>[8]赵松超,田培,刘博远,等.采收成熟度对雪茄烟叶晾制过程酶促棕色化反应及品质的影响[J].中国农业科技导报,2020,22(05):51-59.</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5A04D3"/>
    <w:multiLevelType w:val="singleLevel"/>
    <w:tmpl w:val="A75A04D3"/>
    <w:lvl w:ilvl="0" w:tentative="0">
      <w:start w:val="1"/>
      <w:numFmt w:val="decimal"/>
      <w:suff w:val="nothing"/>
      <w:lvlText w:val="（%1）"/>
      <w:lvlJc w:val="left"/>
    </w:lvl>
  </w:abstractNum>
  <w:abstractNum w:abstractNumId="1">
    <w:nsid w:val="46D8453E"/>
    <w:multiLevelType w:val="multilevel"/>
    <w:tmpl w:val="46D8453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2181C"/>
    <w:rsid w:val="136F4C33"/>
    <w:rsid w:val="1A760377"/>
    <w:rsid w:val="1EBB4EBE"/>
    <w:rsid w:val="2059498F"/>
    <w:rsid w:val="25333A00"/>
    <w:rsid w:val="2CA81AB8"/>
    <w:rsid w:val="3848736B"/>
    <w:rsid w:val="53A5346C"/>
    <w:rsid w:val="6EBE5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5287</Words>
  <Characters>6609</Characters>
  <Lines>0</Lines>
  <Paragraphs>0</Paragraphs>
  <TotalTime>2</TotalTime>
  <ScaleCrop>false</ScaleCrop>
  <LinksUpToDate>false</LinksUpToDate>
  <CharactersWithSpaces>6706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2025-07-28T15:13:00Z</dcterms:created>
  <dc:creator>黑小虎永不言败</dc:creator>
  <cp:lastModifiedBy>杜XL</cp:lastModifiedBy>
  <dcterms:modified xsi:type="dcterms:W3CDTF">2025-07-28T16:17:23Z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eyJoZGlkIjoiMDFmZDFkYzQzYTVmN2ZiY2IzMTE5MTg0NzBjOWU3YzMiLCJ1c2VySWQiOiI0NTc4MzkzNDAifQ==</vt:lpwstr>
  </property>
  <property fmtid="{D5CDD505-2E9C-101B-9397-08002B2CF9AE}" pid="4" name="ICV">
    <vt:lpwstr>57FB37EDE4584C8C8CF32AB6C15A8B53_12</vt:lpwstr>
  </property>
</Properties>
</file>