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937DC0">
      <w:pPr>
        <w:spacing w:line="360" w:lineRule="auto"/>
        <w:contextualSpacing/>
        <w:jc w:val="center"/>
        <w:rPr>
          <w:rFonts w:hint="eastAsia" w:ascii="华文中宋" w:hAnsi="华文中宋" w:eastAsia="华文中宋" w:cs="华文中宋"/>
          <w:color w:val="auto"/>
          <w:sz w:val="44"/>
          <w:szCs w:val="44"/>
        </w:rPr>
      </w:pPr>
      <w:r>
        <w:rPr>
          <w:rFonts w:hint="eastAsia" w:ascii="华文中宋" w:hAnsi="华文中宋" w:eastAsia="华文中宋" w:cs="华文中宋"/>
          <w:color w:val="auto"/>
          <w:sz w:val="44"/>
          <w:szCs w:val="44"/>
        </w:rPr>
        <w:t>宜昌市</w:t>
      </w:r>
      <w:r>
        <w:rPr>
          <w:rFonts w:hint="eastAsia" w:ascii="华文中宋" w:hAnsi="华文中宋" w:eastAsia="华文中宋" w:cs="华文中宋"/>
          <w:color w:val="auto"/>
          <w:sz w:val="44"/>
          <w:szCs w:val="44"/>
          <w:lang w:val="en-US" w:eastAsia="zh-CN"/>
        </w:rPr>
        <w:t>烟草</w:t>
      </w:r>
      <w:r>
        <w:rPr>
          <w:rFonts w:hint="eastAsia" w:ascii="华文中宋" w:hAnsi="华文中宋" w:eastAsia="华文中宋" w:cs="华文中宋"/>
          <w:color w:val="auto"/>
          <w:sz w:val="44"/>
          <w:szCs w:val="44"/>
        </w:rPr>
        <w:t>公司</w:t>
      </w:r>
    </w:p>
    <w:p w14:paraId="26379C39">
      <w:pPr>
        <w:spacing w:line="360" w:lineRule="auto"/>
        <w:contextualSpacing/>
        <w:jc w:val="center"/>
        <w:rPr>
          <w:rFonts w:hint="eastAsia" w:ascii="华文中宋" w:hAnsi="华文中宋" w:eastAsia="华文中宋" w:cs="华文中宋"/>
          <w:color w:val="auto"/>
          <w:sz w:val="44"/>
          <w:szCs w:val="44"/>
        </w:rPr>
      </w:pPr>
      <w:r>
        <w:rPr>
          <w:rFonts w:hint="eastAsia" w:ascii="华文中宋" w:hAnsi="华文中宋" w:eastAsia="华文中宋" w:cs="华文中宋"/>
          <w:color w:val="auto"/>
          <w:sz w:val="44"/>
          <w:szCs w:val="44"/>
        </w:rPr>
        <w:t>零售终端管理系统运维管理办法</w:t>
      </w:r>
    </w:p>
    <w:p w14:paraId="2EA9B54E">
      <w:pPr>
        <w:spacing w:line="360" w:lineRule="auto"/>
        <w:ind w:firstLine="640" w:firstLineChars="200"/>
        <w:contextualSpacing/>
        <w:jc w:val="center"/>
        <w:rPr>
          <w:rFonts w:ascii="仿宋_GB2312" w:hAnsi="宋体" w:eastAsia="仿宋_GB2312"/>
          <w:color w:val="auto"/>
          <w:kern w:val="2"/>
          <w:sz w:val="32"/>
          <w:szCs w:val="30"/>
        </w:rPr>
      </w:pPr>
      <w:r>
        <w:rPr>
          <w:rFonts w:hint="eastAsia" w:ascii="仿宋_GB2312" w:hAnsi="宋体" w:eastAsia="仿宋_GB2312"/>
          <w:color w:val="auto"/>
          <w:kern w:val="2"/>
          <w:sz w:val="32"/>
          <w:szCs w:val="30"/>
        </w:rPr>
        <w:t>（2</w:t>
      </w:r>
      <w:r>
        <w:rPr>
          <w:rFonts w:ascii="仿宋_GB2312" w:hAnsi="宋体" w:eastAsia="仿宋_GB2312"/>
          <w:color w:val="auto"/>
          <w:kern w:val="2"/>
          <w:sz w:val="32"/>
          <w:szCs w:val="30"/>
        </w:rPr>
        <w:t>02</w:t>
      </w:r>
      <w:r>
        <w:rPr>
          <w:rFonts w:hint="eastAsia" w:ascii="仿宋_GB2312" w:hAnsi="宋体" w:eastAsia="仿宋_GB2312"/>
          <w:color w:val="auto"/>
          <w:kern w:val="2"/>
          <w:sz w:val="32"/>
          <w:szCs w:val="30"/>
          <w:lang w:val="en-US" w:eastAsia="zh-CN"/>
        </w:rPr>
        <w:t>4</w:t>
      </w:r>
      <w:r>
        <w:rPr>
          <w:rFonts w:hint="eastAsia" w:ascii="仿宋_GB2312" w:hAnsi="宋体" w:eastAsia="仿宋_GB2312"/>
          <w:color w:val="auto"/>
          <w:kern w:val="2"/>
          <w:sz w:val="32"/>
          <w:szCs w:val="30"/>
        </w:rPr>
        <w:t>年试行版）</w:t>
      </w:r>
    </w:p>
    <w:p w14:paraId="70C0C9EB">
      <w:pPr>
        <w:spacing w:line="360" w:lineRule="auto"/>
        <w:contextualSpacing/>
        <w:jc w:val="center"/>
        <w:rPr>
          <w:rFonts w:ascii="黑体" w:hAnsi="黑体" w:eastAsia="黑体" w:cs="黑体"/>
          <w:color w:val="auto"/>
          <w:kern w:val="2"/>
          <w:sz w:val="32"/>
          <w:szCs w:val="30"/>
        </w:rPr>
      </w:pPr>
      <w:r>
        <w:rPr>
          <w:rFonts w:hint="eastAsia" w:ascii="黑体" w:hAnsi="黑体" w:eastAsia="黑体" w:cs="黑体"/>
          <w:color w:val="auto"/>
          <w:kern w:val="2"/>
          <w:sz w:val="32"/>
          <w:szCs w:val="30"/>
        </w:rPr>
        <w:t>第一章  总则</w:t>
      </w:r>
    </w:p>
    <w:p w14:paraId="600A0CBD">
      <w:pPr>
        <w:spacing w:line="360" w:lineRule="auto"/>
        <w:ind w:firstLine="640" w:firstLineChars="200"/>
        <w:contextualSpacing/>
        <w:rPr>
          <w:rFonts w:ascii="仿宋_GB2312" w:hAnsi="宋体" w:eastAsia="仿宋_GB2312"/>
          <w:color w:val="auto"/>
          <w:kern w:val="2"/>
          <w:sz w:val="32"/>
          <w:szCs w:val="30"/>
        </w:rPr>
      </w:pPr>
      <w:r>
        <w:rPr>
          <w:rFonts w:hint="eastAsia" w:ascii="仿宋_GB2312" w:hAnsi="宋体" w:eastAsia="仿宋_GB2312"/>
          <w:color w:val="auto"/>
          <w:kern w:val="2"/>
          <w:sz w:val="32"/>
          <w:szCs w:val="30"/>
        </w:rPr>
        <w:t xml:space="preserve">第一条  </w:t>
      </w:r>
      <w:r>
        <w:rPr>
          <w:rFonts w:hint="eastAsia" w:eastAsia="仿宋_GB2312" w:asciiTheme="minorHAnsi" w:hAnsiTheme="minorHAnsi"/>
          <w:color w:val="auto"/>
          <w:sz w:val="32"/>
          <w:szCs w:val="32"/>
        </w:rPr>
        <w:t>为促进零售终端管理系统</w:t>
      </w:r>
      <w:r>
        <w:rPr>
          <w:rFonts w:hint="eastAsia" w:eastAsia="仿宋_GB2312" w:asciiTheme="minorHAnsi" w:hAnsiTheme="minorHAnsi"/>
          <w:color w:val="auto"/>
          <w:sz w:val="32"/>
          <w:szCs w:val="32"/>
          <w:lang w:val="en-US" w:eastAsia="zh-CN"/>
        </w:rPr>
        <w:t>运行</w:t>
      </w:r>
      <w:r>
        <w:rPr>
          <w:rFonts w:hint="eastAsia" w:ascii="仿宋_GB2312" w:hAnsi="宋体" w:eastAsia="仿宋_GB2312" w:cs="宋体"/>
          <w:color w:val="auto"/>
          <w:sz w:val="32"/>
          <w:szCs w:val="30"/>
        </w:rPr>
        <w:t>质量提升、功能</w:t>
      </w:r>
      <w:r>
        <w:rPr>
          <w:rFonts w:hint="eastAsia" w:ascii="仿宋_GB2312" w:hAnsi="宋体" w:eastAsia="仿宋_GB2312" w:cs="宋体"/>
          <w:color w:val="000000" w:themeColor="text1"/>
          <w:sz w:val="32"/>
          <w:szCs w:val="30"/>
          <w14:textFill>
            <w14:solidFill>
              <w14:schemeClr w14:val="tx1"/>
            </w14:solidFill>
          </w14:textFill>
        </w:rPr>
        <w:t>发挥，</w:t>
      </w:r>
      <w:r>
        <w:rPr>
          <w:rFonts w:hint="eastAsia" w:ascii="仿宋_GB2312" w:hAnsi="宋体" w:eastAsia="仿宋_GB2312"/>
          <w:color w:val="000000" w:themeColor="text1"/>
          <w:kern w:val="2"/>
          <w:sz w:val="32"/>
          <w:szCs w:val="30"/>
          <w14:textFill>
            <w14:solidFill>
              <w14:schemeClr w14:val="tx1"/>
            </w14:solidFill>
          </w14:textFill>
        </w:rPr>
        <w:t>推动现代终端向全商品扫码、全店铺管理、全方式支付的数字化门店转型，特制订本办法。</w:t>
      </w:r>
    </w:p>
    <w:p w14:paraId="3B791325">
      <w:pPr>
        <w:spacing w:line="360" w:lineRule="auto"/>
        <w:ind w:firstLine="640" w:firstLineChars="200"/>
        <w:contextualSpacing/>
        <w:rPr>
          <w:rFonts w:ascii="仿宋_GB2312" w:hAnsi="宋体" w:eastAsia="仿宋_GB2312"/>
          <w:color w:val="auto"/>
          <w:kern w:val="2"/>
          <w:sz w:val="32"/>
          <w:szCs w:val="30"/>
        </w:rPr>
      </w:pPr>
      <w:r>
        <w:rPr>
          <w:rFonts w:hint="eastAsia" w:ascii="仿宋_GB2312" w:hAnsi="宋体" w:eastAsia="仿宋_GB2312"/>
          <w:color w:val="auto"/>
          <w:kern w:val="2"/>
          <w:sz w:val="32"/>
          <w:szCs w:val="30"/>
        </w:rPr>
        <w:t>第二条  零售终端管理系统是指云POS</w:t>
      </w:r>
      <w:r>
        <w:rPr>
          <w:rFonts w:hint="eastAsia" w:ascii="仿宋_GB2312" w:hAnsi="宋体" w:eastAsia="仿宋_GB2312"/>
          <w:color w:val="auto"/>
          <w:kern w:val="2"/>
          <w:sz w:val="32"/>
          <w:szCs w:val="30"/>
          <w:lang w:val="en-US" w:eastAsia="zh-CN"/>
        </w:rPr>
        <w:t>、知音通、楚韵云等行业内店铺</w:t>
      </w:r>
      <w:r>
        <w:rPr>
          <w:rFonts w:hint="eastAsia" w:ascii="仿宋_GB2312" w:hAnsi="宋体" w:eastAsia="仿宋_GB2312"/>
          <w:color w:val="auto"/>
          <w:kern w:val="2"/>
          <w:sz w:val="32"/>
          <w:szCs w:val="30"/>
        </w:rPr>
        <w:t>管理系统。</w:t>
      </w:r>
    </w:p>
    <w:p w14:paraId="3B878D8C">
      <w:pPr>
        <w:spacing w:line="360" w:lineRule="auto"/>
        <w:ind w:firstLine="640" w:firstLineChars="200"/>
        <w:contextualSpacing/>
        <w:rPr>
          <w:rFonts w:ascii="仿宋_GB2312" w:hAnsi="宋体" w:eastAsia="仿宋_GB2312"/>
          <w:color w:val="auto"/>
          <w:kern w:val="2"/>
          <w:sz w:val="32"/>
          <w:szCs w:val="30"/>
        </w:rPr>
      </w:pPr>
      <w:r>
        <w:rPr>
          <w:rFonts w:hint="eastAsia" w:ascii="仿宋_GB2312" w:hAnsi="宋体" w:eastAsia="仿宋_GB2312"/>
          <w:color w:val="auto"/>
          <w:kern w:val="2"/>
          <w:sz w:val="32"/>
          <w:szCs w:val="30"/>
        </w:rPr>
        <w:t xml:space="preserve">第三条  </w:t>
      </w:r>
      <w:r>
        <w:rPr>
          <w:rFonts w:hint="eastAsia" w:ascii="仿宋_GB2312" w:hAnsi="宋体" w:eastAsia="仿宋_GB2312"/>
          <w:color w:val="auto"/>
          <w:kern w:val="2"/>
          <w:sz w:val="32"/>
          <w:szCs w:val="30"/>
          <w:lang w:val="en-US" w:eastAsia="zh-CN"/>
        </w:rPr>
        <w:t>推广</w:t>
      </w:r>
      <w:r>
        <w:rPr>
          <w:rFonts w:hint="eastAsia" w:ascii="仿宋_GB2312" w:hAnsi="宋体" w:eastAsia="仿宋_GB2312"/>
          <w:color w:val="auto"/>
          <w:kern w:val="2"/>
          <w:sz w:val="32"/>
          <w:szCs w:val="30"/>
        </w:rPr>
        <w:t>零售终端管理系统的基本原则：</w:t>
      </w:r>
    </w:p>
    <w:p w14:paraId="30769213">
      <w:pPr>
        <w:spacing w:line="360" w:lineRule="auto"/>
        <w:ind w:firstLine="640" w:firstLineChars="200"/>
        <w:contextualSpacing/>
        <w:rPr>
          <w:rFonts w:ascii="仿宋_GB2312" w:hAnsi="宋体" w:eastAsia="仿宋_GB2312"/>
          <w:color w:val="auto"/>
          <w:kern w:val="2"/>
          <w:sz w:val="32"/>
          <w:szCs w:val="30"/>
        </w:rPr>
      </w:pPr>
      <w:r>
        <w:rPr>
          <w:rFonts w:hint="eastAsia" w:ascii="仿宋_GB2312" w:hAnsi="宋体" w:eastAsia="仿宋_GB2312"/>
          <w:color w:val="auto"/>
          <w:kern w:val="2"/>
          <w:sz w:val="32"/>
          <w:szCs w:val="30"/>
        </w:rPr>
        <w:t>（一）</w:t>
      </w:r>
      <w:r>
        <w:rPr>
          <w:rFonts w:hint="eastAsia" w:eastAsia="仿宋_GB2312" w:asciiTheme="minorHAnsi" w:hAnsiTheme="minorHAnsi"/>
          <w:color w:val="auto"/>
          <w:kern w:val="2"/>
          <w:sz w:val="32"/>
          <w:szCs w:val="30"/>
        </w:rPr>
        <w:t>客户自愿原则</w:t>
      </w:r>
      <w:r>
        <w:rPr>
          <w:rFonts w:hint="eastAsia" w:ascii="仿宋_GB2312" w:hAnsi="宋体" w:eastAsia="仿宋_GB2312"/>
          <w:color w:val="auto"/>
          <w:kern w:val="2"/>
          <w:sz w:val="32"/>
          <w:szCs w:val="30"/>
        </w:rPr>
        <w:t>。在做好相关政策宣传的前提下，以客户自愿参与为基本准则，</w:t>
      </w:r>
      <w:r>
        <w:rPr>
          <w:rFonts w:hint="eastAsia" w:ascii="仿宋_GB2312" w:hAnsi="宋体" w:eastAsia="仿宋_GB2312"/>
          <w:color w:val="auto"/>
          <w:kern w:val="2"/>
          <w:sz w:val="32"/>
          <w:szCs w:val="30"/>
          <w:lang w:val="en-US" w:eastAsia="zh-CN"/>
        </w:rPr>
        <w:t>推广应用</w:t>
      </w:r>
      <w:r>
        <w:rPr>
          <w:rFonts w:hint="eastAsia" w:ascii="仿宋_GB2312" w:hAnsi="宋体" w:eastAsia="仿宋_GB2312"/>
          <w:color w:val="auto"/>
          <w:kern w:val="2"/>
          <w:sz w:val="32"/>
          <w:szCs w:val="30"/>
        </w:rPr>
        <w:t>零售终端管理系统。</w:t>
      </w:r>
    </w:p>
    <w:p w14:paraId="78668BFD">
      <w:pPr>
        <w:spacing w:line="360" w:lineRule="auto"/>
        <w:ind w:firstLine="640" w:firstLineChars="200"/>
        <w:contextualSpacing/>
        <w:rPr>
          <w:rFonts w:ascii="仿宋_GB2312" w:hAnsi="宋体" w:eastAsia="仿宋_GB2312"/>
          <w:color w:val="auto"/>
          <w:kern w:val="2"/>
          <w:sz w:val="32"/>
          <w:szCs w:val="30"/>
        </w:rPr>
      </w:pPr>
      <w:r>
        <w:rPr>
          <w:rFonts w:hint="eastAsia" w:ascii="仿宋_GB2312" w:hAnsi="宋体" w:eastAsia="仿宋_GB2312"/>
          <w:color w:val="auto"/>
          <w:kern w:val="2"/>
          <w:sz w:val="32"/>
          <w:szCs w:val="30"/>
        </w:rPr>
        <w:t>（二）动态管理原则。建立零售终端管理系统运行质量动态评价机制和基于评价结果的货源投放机制，依据零售终端管理系统推广工作所处的阶段及时调整评价指标，应用评价结果探索差异化</w:t>
      </w:r>
      <w:r>
        <w:rPr>
          <w:rFonts w:hint="eastAsia" w:ascii="仿宋_GB2312" w:hAnsi="宋体" w:eastAsia="仿宋_GB2312"/>
          <w:color w:val="auto"/>
          <w:kern w:val="2"/>
          <w:sz w:val="32"/>
          <w:szCs w:val="30"/>
          <w:lang w:val="en-US" w:eastAsia="zh-CN"/>
        </w:rPr>
        <w:t>满足客户</w:t>
      </w:r>
      <w:r>
        <w:rPr>
          <w:rFonts w:hint="eastAsia" w:ascii="仿宋_GB2312" w:hAnsi="宋体" w:eastAsia="仿宋_GB2312"/>
          <w:color w:val="auto"/>
          <w:kern w:val="2"/>
          <w:sz w:val="32"/>
          <w:szCs w:val="30"/>
        </w:rPr>
        <w:t>需求</w:t>
      </w:r>
      <w:r>
        <w:rPr>
          <w:rFonts w:hint="eastAsia" w:ascii="仿宋_GB2312" w:hAnsi="宋体" w:eastAsia="仿宋_GB2312"/>
          <w:color w:val="auto"/>
          <w:kern w:val="2"/>
          <w:sz w:val="32"/>
          <w:szCs w:val="30"/>
          <w:lang w:val="en-US" w:eastAsia="zh-CN"/>
        </w:rPr>
        <w:t>的</w:t>
      </w:r>
      <w:r>
        <w:rPr>
          <w:rFonts w:hint="eastAsia" w:ascii="仿宋_GB2312" w:hAnsi="宋体" w:eastAsia="仿宋_GB2312"/>
          <w:color w:val="auto"/>
          <w:kern w:val="2"/>
          <w:sz w:val="32"/>
          <w:szCs w:val="30"/>
        </w:rPr>
        <w:t>路径。</w:t>
      </w:r>
    </w:p>
    <w:p w14:paraId="6219074A">
      <w:pPr>
        <w:spacing w:line="360" w:lineRule="auto"/>
        <w:ind w:firstLine="640" w:firstLineChars="200"/>
        <w:contextualSpacing/>
        <w:rPr>
          <w:rFonts w:ascii="仿宋_GB2312" w:hAnsi="宋体" w:eastAsia="仿宋_GB2312"/>
          <w:color w:val="auto"/>
          <w:kern w:val="2"/>
          <w:sz w:val="32"/>
          <w:szCs w:val="30"/>
        </w:rPr>
      </w:pPr>
      <w:r>
        <w:rPr>
          <w:rFonts w:hint="eastAsia" w:ascii="仿宋_GB2312" w:hAnsi="宋体" w:eastAsia="仿宋_GB2312"/>
          <w:color w:val="auto"/>
          <w:kern w:val="2"/>
          <w:sz w:val="32"/>
          <w:szCs w:val="30"/>
        </w:rPr>
        <w:t>（三）整体提升原则。通过推广</w:t>
      </w:r>
      <w:r>
        <w:rPr>
          <w:rFonts w:hint="eastAsia" w:ascii="仿宋_GB2312" w:hAnsi="宋体" w:eastAsia="仿宋_GB2312" w:cs="仿宋_GB2312"/>
          <w:color w:val="auto"/>
          <w:kern w:val="2"/>
          <w:sz w:val="32"/>
          <w:szCs w:val="30"/>
          <w:lang w:val="zh-CN"/>
        </w:rPr>
        <w:t>零售终端管理系统，</w:t>
      </w:r>
      <w:r>
        <w:rPr>
          <w:rFonts w:hint="eastAsia" w:ascii="仿宋_GB2312" w:hAnsi="宋体" w:eastAsia="仿宋_GB2312" w:cs="仿宋_GB2312"/>
          <w:color w:val="auto"/>
          <w:kern w:val="2"/>
          <w:sz w:val="32"/>
          <w:szCs w:val="30"/>
          <w:lang w:val="en-US" w:eastAsia="zh-CN"/>
        </w:rPr>
        <w:t>实现</w:t>
      </w:r>
      <w:r>
        <w:rPr>
          <w:rFonts w:hint="eastAsia" w:ascii="仿宋_GB2312" w:hAnsi="宋体" w:eastAsia="仿宋_GB2312"/>
          <w:color w:val="auto"/>
          <w:kern w:val="2"/>
          <w:sz w:val="32"/>
          <w:szCs w:val="30"/>
        </w:rPr>
        <w:t>现代终端向</w:t>
      </w:r>
      <w:r>
        <w:rPr>
          <w:rFonts w:hint="eastAsia" w:ascii="仿宋_GB2312" w:hAnsi="宋体" w:eastAsia="仿宋_GB2312"/>
          <w:color w:val="auto"/>
          <w:kern w:val="2"/>
          <w:sz w:val="32"/>
          <w:szCs w:val="30"/>
          <w:lang w:eastAsia="zh-CN"/>
        </w:rPr>
        <w:t>“</w:t>
      </w:r>
      <w:r>
        <w:rPr>
          <w:rFonts w:hint="eastAsia" w:ascii="仿宋_GB2312" w:hAnsi="宋体" w:eastAsia="仿宋_GB2312"/>
          <w:color w:val="auto"/>
          <w:kern w:val="2"/>
          <w:sz w:val="32"/>
          <w:szCs w:val="30"/>
          <w:lang w:val="en-US" w:eastAsia="zh-CN"/>
        </w:rPr>
        <w:t>三全</w:t>
      </w:r>
      <w:r>
        <w:rPr>
          <w:rFonts w:hint="eastAsia" w:ascii="仿宋_GB2312" w:hAnsi="宋体" w:eastAsia="仿宋_GB2312"/>
          <w:color w:val="auto"/>
          <w:kern w:val="2"/>
          <w:sz w:val="32"/>
          <w:szCs w:val="30"/>
          <w:lang w:eastAsia="zh-CN"/>
        </w:rPr>
        <w:t>”</w:t>
      </w:r>
      <w:r>
        <w:rPr>
          <w:rFonts w:hint="eastAsia" w:ascii="仿宋_GB2312" w:hAnsi="宋体" w:eastAsia="仿宋_GB2312"/>
          <w:color w:val="auto"/>
          <w:kern w:val="2"/>
          <w:sz w:val="32"/>
          <w:szCs w:val="30"/>
        </w:rPr>
        <w:t>数字化门店转型，持续增强客户经营能力和盈利能力，提升客户满意度。</w:t>
      </w:r>
    </w:p>
    <w:p w14:paraId="3C7F952F">
      <w:pPr>
        <w:spacing w:line="360" w:lineRule="auto"/>
        <w:contextualSpacing/>
        <w:jc w:val="center"/>
        <w:rPr>
          <w:rFonts w:ascii="黑体" w:hAnsi="黑体" w:eastAsia="黑体" w:cs="黑体"/>
          <w:color w:val="auto"/>
          <w:kern w:val="2"/>
          <w:sz w:val="32"/>
          <w:szCs w:val="30"/>
        </w:rPr>
      </w:pPr>
      <w:r>
        <w:rPr>
          <w:rFonts w:hint="eastAsia" w:ascii="黑体" w:hAnsi="黑体" w:eastAsia="黑体" w:cs="黑体"/>
          <w:color w:val="auto"/>
          <w:kern w:val="2"/>
          <w:sz w:val="32"/>
          <w:szCs w:val="30"/>
        </w:rPr>
        <w:t>第二章  零售终端管理系统的推广</w:t>
      </w:r>
    </w:p>
    <w:p w14:paraId="43F0AE3D">
      <w:pPr>
        <w:spacing w:line="360" w:lineRule="auto"/>
        <w:ind w:firstLine="640" w:firstLineChars="200"/>
        <w:contextualSpacing/>
        <w:rPr>
          <w:rFonts w:ascii="仿宋_GB2312" w:hAnsi="宋体" w:eastAsia="仿宋_GB2312"/>
          <w:color w:val="auto"/>
          <w:kern w:val="2"/>
          <w:sz w:val="32"/>
          <w:szCs w:val="30"/>
        </w:rPr>
      </w:pPr>
      <w:r>
        <w:rPr>
          <w:rFonts w:hint="eastAsia" w:ascii="仿宋_GB2312" w:hAnsi="宋体" w:eastAsia="仿宋_GB2312"/>
          <w:color w:val="auto"/>
          <w:kern w:val="2"/>
          <w:sz w:val="32"/>
          <w:szCs w:val="30"/>
        </w:rPr>
        <w:t xml:space="preserve">第四条  </w:t>
      </w:r>
      <w:r>
        <w:rPr>
          <w:rFonts w:hint="eastAsia" w:ascii="仿宋_GB2312" w:hAnsi="宋体" w:eastAsia="仿宋_GB2312"/>
          <w:color w:val="auto"/>
          <w:kern w:val="2"/>
          <w:sz w:val="32"/>
          <w:szCs w:val="30"/>
          <w:lang w:val="en-US" w:eastAsia="zh-CN"/>
        </w:rPr>
        <w:t>客户使用</w:t>
      </w:r>
      <w:r>
        <w:rPr>
          <w:rFonts w:hint="eastAsia" w:ascii="仿宋_GB2312" w:hAnsi="宋体" w:eastAsia="仿宋_GB2312"/>
          <w:color w:val="auto"/>
          <w:kern w:val="2"/>
          <w:sz w:val="32"/>
          <w:szCs w:val="30"/>
        </w:rPr>
        <w:t>零售终端管理系统应具备如下条件：</w:t>
      </w:r>
    </w:p>
    <w:p w14:paraId="1E9E2B32">
      <w:pPr>
        <w:spacing w:line="360" w:lineRule="auto"/>
        <w:ind w:firstLine="640" w:firstLineChars="200"/>
        <w:contextualSpacing/>
        <w:rPr>
          <w:rFonts w:ascii="仿宋_GB2312" w:hAnsi="宋体" w:eastAsia="仿宋_GB2312"/>
          <w:color w:val="auto"/>
          <w:kern w:val="2"/>
          <w:sz w:val="32"/>
          <w:szCs w:val="30"/>
        </w:rPr>
      </w:pPr>
      <w:r>
        <w:rPr>
          <w:rFonts w:hint="eastAsia" w:ascii="仿宋_GB2312" w:hAnsi="宋体" w:eastAsia="仿宋_GB2312"/>
          <w:color w:val="auto"/>
          <w:kern w:val="2"/>
          <w:sz w:val="32"/>
          <w:szCs w:val="30"/>
        </w:rPr>
        <w:t>（一）规范条件：近一年来无违规、违约情形。</w:t>
      </w:r>
    </w:p>
    <w:p w14:paraId="74CB9C34">
      <w:pPr>
        <w:spacing w:line="360" w:lineRule="auto"/>
        <w:ind w:firstLine="640" w:firstLineChars="200"/>
        <w:contextualSpacing/>
        <w:rPr>
          <w:rFonts w:ascii="仿宋_GB2312" w:eastAsia="仿宋_GB2312"/>
          <w:color w:val="auto"/>
          <w:sz w:val="32"/>
          <w:szCs w:val="32"/>
        </w:rPr>
      </w:pPr>
      <w:r>
        <w:rPr>
          <w:rFonts w:hint="eastAsia" w:ascii="仿宋_GB2312" w:hAnsi="宋体" w:eastAsia="仿宋_GB2312"/>
          <w:color w:val="auto"/>
          <w:kern w:val="2"/>
          <w:sz w:val="32"/>
          <w:szCs w:val="30"/>
        </w:rPr>
        <w:t>（二）硬件条件：</w:t>
      </w:r>
      <w:r>
        <w:rPr>
          <w:rFonts w:hint="eastAsia" w:ascii="仿宋_GB2312" w:eastAsia="仿宋_GB2312"/>
          <w:color w:val="auto"/>
          <w:sz w:val="32"/>
          <w:szCs w:val="32"/>
        </w:rPr>
        <w:t>店内</w:t>
      </w:r>
      <w:r>
        <w:rPr>
          <w:rFonts w:hint="eastAsia" w:ascii="仿宋_GB2312" w:eastAsia="仿宋_GB2312"/>
          <w:color w:val="auto"/>
          <w:sz w:val="32"/>
          <w:szCs w:val="32"/>
          <w:lang w:val="en-US" w:eastAsia="zh-CN"/>
        </w:rPr>
        <w:t>收银区域</w:t>
      </w:r>
      <w:r>
        <w:rPr>
          <w:rFonts w:hint="eastAsia" w:ascii="仿宋_GB2312" w:eastAsia="仿宋_GB2312"/>
          <w:color w:val="auto"/>
          <w:sz w:val="32"/>
          <w:szCs w:val="32"/>
        </w:rPr>
        <w:t>应具备能够满足正常使用零售终端管理系统的计算机、双屏机、一体机等硬件设备和通信网络，具备安置硬件设备的必要区域。</w:t>
      </w:r>
    </w:p>
    <w:p w14:paraId="6699892F">
      <w:pPr>
        <w:spacing w:line="360" w:lineRule="auto"/>
        <w:ind w:firstLine="640" w:firstLineChars="200"/>
        <w:contextualSpacing/>
        <w:rPr>
          <w:rFonts w:ascii="仿宋_GB2312" w:eastAsia="仿宋_GB2312"/>
          <w:color w:val="auto"/>
          <w:sz w:val="32"/>
          <w:szCs w:val="32"/>
        </w:rPr>
      </w:pPr>
      <w:r>
        <w:rPr>
          <w:rFonts w:hint="eastAsia" w:ascii="仿宋_GB2312" w:eastAsia="仿宋_GB2312"/>
          <w:color w:val="auto"/>
          <w:sz w:val="32"/>
          <w:szCs w:val="32"/>
        </w:rPr>
        <w:t>（三）软件条件：具备基本的计算机系统操作能力，有意愿</w:t>
      </w:r>
      <w:r>
        <w:rPr>
          <w:rFonts w:hint="eastAsia" w:ascii="仿宋_GB2312" w:eastAsia="仿宋_GB2312"/>
          <w:color w:val="auto"/>
          <w:sz w:val="32"/>
          <w:szCs w:val="32"/>
          <w:lang w:val="en-US" w:eastAsia="zh-CN"/>
        </w:rPr>
        <w:t>提升店面形象、改变</w:t>
      </w:r>
      <w:r>
        <w:rPr>
          <w:rFonts w:hint="eastAsia" w:ascii="仿宋_GB2312" w:eastAsia="仿宋_GB2312"/>
          <w:color w:val="auto"/>
          <w:sz w:val="32"/>
          <w:szCs w:val="32"/>
        </w:rPr>
        <w:t>经营</w:t>
      </w:r>
      <w:r>
        <w:rPr>
          <w:rFonts w:hint="eastAsia" w:ascii="仿宋_GB2312" w:eastAsia="仿宋_GB2312"/>
          <w:color w:val="auto"/>
          <w:sz w:val="32"/>
          <w:szCs w:val="32"/>
          <w:lang w:val="en-US" w:eastAsia="zh-CN"/>
        </w:rPr>
        <w:t>模式</w:t>
      </w:r>
      <w:r>
        <w:rPr>
          <w:rFonts w:hint="eastAsia" w:ascii="仿宋_GB2312" w:eastAsia="仿宋_GB2312"/>
          <w:color w:val="auto"/>
          <w:sz w:val="32"/>
          <w:szCs w:val="32"/>
        </w:rPr>
        <w:t>，能坚持做到</w:t>
      </w:r>
      <w:r>
        <w:rPr>
          <w:rFonts w:hint="eastAsia" w:ascii="仿宋_GB2312" w:eastAsia="仿宋_GB2312"/>
          <w:color w:val="auto"/>
          <w:sz w:val="32"/>
          <w:szCs w:val="32"/>
          <w:lang w:val="en-US" w:eastAsia="zh-CN"/>
        </w:rPr>
        <w:t>真扫实扫、账实相符</w:t>
      </w:r>
      <w:r>
        <w:rPr>
          <w:rFonts w:hint="eastAsia" w:ascii="仿宋_GB2312" w:eastAsia="仿宋_GB2312"/>
          <w:color w:val="auto"/>
          <w:sz w:val="32"/>
          <w:szCs w:val="32"/>
        </w:rPr>
        <w:t>。</w:t>
      </w:r>
    </w:p>
    <w:p w14:paraId="4BA6C023">
      <w:pPr>
        <w:spacing w:line="360" w:lineRule="auto"/>
        <w:ind w:firstLine="640" w:firstLineChars="200"/>
        <w:contextualSpacing/>
        <w:rPr>
          <w:rFonts w:ascii="仿宋_GB2312" w:hAnsi="宋体" w:eastAsia="仿宋_GB2312"/>
          <w:color w:val="auto"/>
          <w:kern w:val="2"/>
          <w:sz w:val="32"/>
          <w:szCs w:val="30"/>
        </w:rPr>
      </w:pPr>
      <w:r>
        <w:rPr>
          <w:rFonts w:hint="eastAsia" w:ascii="仿宋_GB2312" w:hAnsi="宋体" w:eastAsia="仿宋_GB2312"/>
          <w:color w:val="auto"/>
          <w:kern w:val="2"/>
          <w:sz w:val="32"/>
          <w:szCs w:val="30"/>
        </w:rPr>
        <w:t>第五条  零售终端管理系统推广流程</w:t>
      </w:r>
    </w:p>
    <w:p w14:paraId="1CAFC50F">
      <w:pPr>
        <w:spacing w:line="360" w:lineRule="auto"/>
        <w:ind w:firstLine="640" w:firstLineChars="200"/>
        <w:contextualSpacing/>
        <w:rPr>
          <w:rFonts w:ascii="仿宋_GB2312" w:hAnsi="宋体" w:eastAsia="仿宋_GB2312"/>
          <w:color w:val="auto"/>
          <w:kern w:val="2"/>
          <w:sz w:val="32"/>
          <w:szCs w:val="30"/>
        </w:rPr>
      </w:pPr>
      <w:r>
        <w:rPr>
          <w:rFonts w:hint="eastAsia" w:ascii="仿宋_GB2312" w:hAnsi="宋体" w:eastAsia="仿宋_GB2312"/>
          <w:color w:val="auto"/>
          <w:kern w:val="2"/>
          <w:sz w:val="32"/>
          <w:szCs w:val="30"/>
        </w:rPr>
        <w:t>（一）推广目标下发。市公司</w:t>
      </w:r>
      <w:r>
        <w:rPr>
          <w:rFonts w:hint="eastAsia" w:ascii="仿宋_GB2312" w:eastAsia="仿宋_GB2312" w:cs="宋体" w:hAnsiTheme="minorHAnsi"/>
          <w:color w:val="auto"/>
          <w:sz w:val="32"/>
          <w:szCs w:val="30"/>
        </w:rPr>
        <w:t>卷烟营销中心</w:t>
      </w:r>
      <w:r>
        <w:rPr>
          <w:rFonts w:hint="eastAsia" w:ascii="仿宋_GB2312" w:hAnsi="宋体" w:eastAsia="仿宋_GB2312"/>
          <w:color w:val="auto"/>
          <w:kern w:val="2"/>
          <w:sz w:val="32"/>
          <w:szCs w:val="30"/>
        </w:rPr>
        <w:t>依据全省现代零售终端建设规划确定、下发目标，县级营销部依据</w:t>
      </w:r>
      <w:r>
        <w:rPr>
          <w:rFonts w:hint="eastAsia" w:ascii="仿宋_GB2312" w:hAnsi="宋体" w:eastAsia="仿宋_GB2312"/>
          <w:color w:val="auto"/>
          <w:kern w:val="2"/>
          <w:sz w:val="32"/>
          <w:szCs w:val="30"/>
          <w:lang w:val="en-US" w:eastAsia="zh-CN"/>
        </w:rPr>
        <w:t>工作</w:t>
      </w:r>
      <w:r>
        <w:rPr>
          <w:rFonts w:hint="eastAsia" w:ascii="仿宋_GB2312" w:hAnsi="宋体" w:eastAsia="仿宋_GB2312"/>
          <w:color w:val="auto"/>
          <w:kern w:val="2"/>
          <w:sz w:val="32"/>
          <w:szCs w:val="30"/>
        </w:rPr>
        <w:t>目标制定推广</w:t>
      </w:r>
      <w:r>
        <w:rPr>
          <w:rFonts w:hint="eastAsia" w:ascii="仿宋_GB2312" w:hAnsi="宋体" w:eastAsia="仿宋_GB2312"/>
          <w:color w:val="auto"/>
          <w:kern w:val="2"/>
          <w:sz w:val="32"/>
          <w:szCs w:val="30"/>
          <w:lang w:val="en-US" w:eastAsia="zh-CN"/>
        </w:rPr>
        <w:t>实施</w:t>
      </w:r>
      <w:r>
        <w:rPr>
          <w:rFonts w:hint="eastAsia" w:ascii="仿宋_GB2312" w:hAnsi="宋体" w:eastAsia="仿宋_GB2312"/>
          <w:color w:val="auto"/>
          <w:kern w:val="2"/>
          <w:sz w:val="32"/>
          <w:szCs w:val="30"/>
        </w:rPr>
        <w:t>计划。</w:t>
      </w:r>
    </w:p>
    <w:p w14:paraId="043249C8">
      <w:pPr>
        <w:spacing w:line="360" w:lineRule="auto"/>
        <w:ind w:firstLine="640" w:firstLineChars="200"/>
        <w:contextualSpacing/>
        <w:rPr>
          <w:rFonts w:ascii="仿宋_GB2312" w:hAnsi="宋体" w:eastAsia="仿宋_GB2312"/>
          <w:color w:val="auto"/>
          <w:kern w:val="2"/>
          <w:sz w:val="32"/>
          <w:szCs w:val="30"/>
        </w:rPr>
      </w:pPr>
      <w:r>
        <w:rPr>
          <w:rFonts w:hint="eastAsia" w:ascii="仿宋_GB2312" w:hAnsi="宋体" w:eastAsia="仿宋_GB2312"/>
          <w:color w:val="auto"/>
          <w:kern w:val="2"/>
          <w:sz w:val="32"/>
          <w:szCs w:val="30"/>
        </w:rPr>
        <w:t>（二）发掘目标客户。客户经理依据筛选条件寻找目标客户，市场经理从经营规范性、条件</w:t>
      </w:r>
      <w:r>
        <w:rPr>
          <w:rFonts w:hint="eastAsia" w:ascii="仿宋_GB2312" w:hAnsi="宋体" w:eastAsia="仿宋_GB2312"/>
          <w:color w:val="auto"/>
          <w:kern w:val="2"/>
          <w:sz w:val="32"/>
          <w:szCs w:val="30"/>
          <w:lang w:val="en-US" w:eastAsia="zh-CN"/>
        </w:rPr>
        <w:t>适宜性、客户配合性</w:t>
      </w:r>
      <w:r>
        <w:rPr>
          <w:rFonts w:hint="eastAsia" w:ascii="仿宋_GB2312" w:hAnsi="宋体" w:eastAsia="仿宋_GB2312"/>
          <w:color w:val="auto"/>
          <w:kern w:val="2"/>
          <w:sz w:val="32"/>
          <w:szCs w:val="30"/>
        </w:rPr>
        <w:t>等方面进行审核把关。</w:t>
      </w:r>
    </w:p>
    <w:p w14:paraId="619AB9EA">
      <w:pPr>
        <w:spacing w:line="360" w:lineRule="auto"/>
        <w:ind w:firstLine="640" w:firstLineChars="200"/>
        <w:contextualSpacing/>
        <w:rPr>
          <w:rFonts w:ascii="仿宋_GB2312" w:hAnsi="宋体" w:eastAsia="仿宋_GB2312"/>
          <w:color w:val="auto"/>
          <w:kern w:val="2"/>
          <w:sz w:val="32"/>
          <w:szCs w:val="30"/>
        </w:rPr>
      </w:pPr>
      <w:r>
        <w:rPr>
          <w:rFonts w:hint="eastAsia" w:ascii="仿宋_GB2312" w:hAnsi="宋体" w:eastAsia="仿宋_GB2312"/>
          <w:color w:val="auto"/>
          <w:kern w:val="2"/>
          <w:sz w:val="32"/>
          <w:szCs w:val="30"/>
        </w:rPr>
        <w:t>（三）系统安装上线。市场部审核通过的客户，上报县级营销部客户服务部在省级营销平台进行上线开通，客户经理上门安装零售终端管理系统软件，现场进行操作培训，协助零售客户开展期初库存盘点。</w:t>
      </w:r>
    </w:p>
    <w:p w14:paraId="208C2A4C">
      <w:pPr>
        <w:spacing w:line="360" w:lineRule="auto"/>
        <w:ind w:firstLine="640" w:firstLineChars="200"/>
        <w:contextualSpacing/>
        <w:rPr>
          <w:rFonts w:ascii="仿宋_GB2312" w:hAnsi="宋体" w:eastAsia="仿宋_GB2312"/>
          <w:color w:val="auto"/>
          <w:kern w:val="2"/>
          <w:sz w:val="32"/>
          <w:szCs w:val="30"/>
        </w:rPr>
      </w:pPr>
      <w:r>
        <w:rPr>
          <w:rFonts w:hint="eastAsia" w:ascii="仿宋_GB2312" w:hAnsi="宋体" w:eastAsia="仿宋_GB2312"/>
          <w:color w:val="auto"/>
          <w:kern w:val="2"/>
          <w:sz w:val="32"/>
          <w:szCs w:val="30"/>
        </w:rPr>
        <w:t>（四）跟踪使用情况。市公司</w:t>
      </w:r>
      <w:r>
        <w:rPr>
          <w:rFonts w:hint="eastAsia" w:ascii="仿宋_GB2312" w:eastAsia="仿宋_GB2312" w:cs="宋体" w:hAnsiTheme="minorHAnsi"/>
          <w:color w:val="auto"/>
          <w:sz w:val="32"/>
          <w:szCs w:val="30"/>
        </w:rPr>
        <w:t>卷烟营销中心</w:t>
      </w:r>
      <w:r>
        <w:rPr>
          <w:rFonts w:hint="eastAsia" w:ascii="仿宋_GB2312" w:hAnsi="宋体" w:eastAsia="仿宋_GB2312"/>
          <w:color w:val="auto"/>
          <w:kern w:val="2"/>
          <w:sz w:val="32"/>
          <w:szCs w:val="30"/>
        </w:rPr>
        <w:t>、县级营销部客户服务部在后台跟踪系统使用情况，发布跟踪评价结果，指导客户经理对运行中出现的异常情况进行处理。</w:t>
      </w:r>
    </w:p>
    <w:p w14:paraId="004D9B2F">
      <w:pPr>
        <w:spacing w:line="360" w:lineRule="auto"/>
        <w:contextualSpacing/>
        <w:jc w:val="center"/>
        <w:rPr>
          <w:rFonts w:ascii="黑体" w:hAnsi="黑体" w:eastAsia="黑体" w:cs="黑体"/>
          <w:color w:val="auto"/>
          <w:kern w:val="2"/>
          <w:sz w:val="32"/>
          <w:szCs w:val="30"/>
        </w:rPr>
      </w:pPr>
      <w:r>
        <w:rPr>
          <w:rFonts w:hint="eastAsia" w:ascii="黑体" w:hAnsi="黑体" w:eastAsia="黑体" w:cs="黑体"/>
          <w:color w:val="auto"/>
          <w:kern w:val="2"/>
          <w:sz w:val="32"/>
          <w:szCs w:val="30"/>
        </w:rPr>
        <w:t>第三章    数据终端运行质量评价</w:t>
      </w:r>
    </w:p>
    <w:p w14:paraId="01817CAD">
      <w:pPr>
        <w:spacing w:line="360" w:lineRule="auto"/>
        <w:ind w:firstLine="640" w:firstLineChars="200"/>
        <w:contextualSpacing/>
        <w:rPr>
          <w:rFonts w:eastAsia="仿宋_GB2312" w:cs="宋体" w:asciiTheme="minorHAnsi" w:hAnsiTheme="minorHAnsi"/>
          <w:color w:val="auto"/>
          <w:sz w:val="32"/>
          <w:szCs w:val="30"/>
        </w:rPr>
      </w:pPr>
      <w:r>
        <w:rPr>
          <w:rFonts w:hint="eastAsia" w:eastAsia="仿宋_GB2312" w:cs="宋体" w:asciiTheme="minorHAnsi" w:hAnsiTheme="minorHAnsi"/>
          <w:color w:val="auto"/>
          <w:sz w:val="32"/>
          <w:szCs w:val="30"/>
        </w:rPr>
        <w:t>第六条   零售终端管理系统运行质量实行周量化评价机制。</w:t>
      </w:r>
    </w:p>
    <w:p w14:paraId="308BEEA4">
      <w:pPr>
        <w:spacing w:line="360" w:lineRule="auto"/>
        <w:ind w:firstLine="640" w:firstLineChars="200"/>
        <w:contextualSpacing/>
        <w:rPr>
          <w:rFonts w:eastAsia="仿宋_GB2312" w:cs="宋体" w:asciiTheme="minorHAnsi" w:hAnsiTheme="minorHAnsi"/>
          <w:color w:val="auto"/>
          <w:sz w:val="32"/>
          <w:szCs w:val="30"/>
        </w:rPr>
      </w:pPr>
      <w:r>
        <w:rPr>
          <w:rFonts w:hint="eastAsia" w:eastAsia="仿宋_GB2312" w:cs="宋体" w:asciiTheme="minorHAnsi" w:hAnsiTheme="minorHAnsi"/>
          <w:color w:val="auto"/>
          <w:sz w:val="32"/>
          <w:szCs w:val="30"/>
        </w:rPr>
        <w:t>第七条   评价指标和评价标准如下：</w:t>
      </w:r>
    </w:p>
    <w:tbl>
      <w:tblPr>
        <w:tblStyle w:val="3"/>
        <w:tblW w:w="5485" w:type="pct"/>
        <w:jc w:val="center"/>
        <w:tblLayout w:type="fixed"/>
        <w:tblCellMar>
          <w:top w:w="0" w:type="dxa"/>
          <w:left w:w="108" w:type="dxa"/>
          <w:bottom w:w="0" w:type="dxa"/>
          <w:right w:w="108" w:type="dxa"/>
        </w:tblCellMar>
      </w:tblPr>
      <w:tblGrid>
        <w:gridCol w:w="617"/>
        <w:gridCol w:w="839"/>
        <w:gridCol w:w="863"/>
        <w:gridCol w:w="2300"/>
        <w:gridCol w:w="2644"/>
        <w:gridCol w:w="2677"/>
      </w:tblGrid>
      <w:tr w14:paraId="295872AA">
        <w:tblPrEx>
          <w:tblCellMar>
            <w:top w:w="0" w:type="dxa"/>
            <w:left w:w="108" w:type="dxa"/>
            <w:bottom w:w="0" w:type="dxa"/>
            <w:right w:w="108" w:type="dxa"/>
          </w:tblCellMar>
        </w:tblPrEx>
        <w:trPr>
          <w:trHeight w:val="511" w:hRule="atLeast"/>
          <w:jc w:val="center"/>
        </w:trPr>
        <w:tc>
          <w:tcPr>
            <w:tcW w:w="310" w:type="pct"/>
            <w:vMerge w:val="restart"/>
            <w:tcBorders>
              <w:top w:val="single" w:color="auto" w:sz="4" w:space="0"/>
              <w:left w:val="single" w:color="auto" w:sz="4" w:space="0"/>
              <w:right w:val="single" w:color="auto" w:sz="4" w:space="0"/>
            </w:tcBorders>
            <w:shd w:val="clear" w:color="000000" w:fill="FFFFFF"/>
            <w:noWrap/>
            <w:vAlign w:val="center"/>
          </w:tcPr>
          <w:p w14:paraId="769C3879">
            <w:pPr>
              <w:adjustRightInd/>
              <w:snapToGrid/>
              <w:spacing w:after="0"/>
              <w:jc w:val="center"/>
              <w:rPr>
                <w:rFonts w:ascii="宋体" w:hAnsi="宋体" w:eastAsia="宋体" w:cs="宋体"/>
                <w:b/>
                <w:bCs/>
                <w:color w:val="auto"/>
              </w:rPr>
            </w:pPr>
            <w:r>
              <w:rPr>
                <w:rFonts w:hint="eastAsia" w:ascii="宋体" w:hAnsi="宋体" w:eastAsia="宋体" w:cs="宋体"/>
                <w:b/>
                <w:bCs/>
                <w:color w:val="auto"/>
              </w:rPr>
              <w:t>序号</w:t>
            </w:r>
          </w:p>
        </w:tc>
        <w:tc>
          <w:tcPr>
            <w:tcW w:w="421" w:type="pct"/>
            <w:vMerge w:val="restart"/>
            <w:tcBorders>
              <w:top w:val="single" w:color="auto" w:sz="4" w:space="0"/>
              <w:left w:val="nil"/>
              <w:right w:val="single" w:color="auto" w:sz="4" w:space="0"/>
            </w:tcBorders>
            <w:shd w:val="clear" w:color="000000" w:fill="FFFFFF"/>
            <w:vAlign w:val="center"/>
          </w:tcPr>
          <w:p w14:paraId="7C2F420C">
            <w:pPr>
              <w:adjustRightInd/>
              <w:snapToGrid/>
              <w:spacing w:after="0"/>
              <w:jc w:val="center"/>
              <w:rPr>
                <w:rFonts w:ascii="宋体" w:hAnsi="宋体" w:eastAsia="宋体" w:cs="宋体"/>
                <w:b/>
                <w:bCs/>
                <w:color w:val="auto"/>
              </w:rPr>
            </w:pPr>
            <w:r>
              <w:rPr>
                <w:rFonts w:hint="eastAsia" w:ascii="宋体" w:hAnsi="宋体" w:eastAsia="宋体" w:cs="宋体"/>
                <w:b/>
                <w:bCs/>
                <w:color w:val="auto"/>
              </w:rPr>
              <w:t>评价</w:t>
            </w:r>
            <w:r>
              <w:rPr>
                <w:rFonts w:hint="eastAsia" w:ascii="宋体" w:hAnsi="宋体" w:eastAsia="宋体" w:cs="宋体"/>
                <w:b/>
                <w:bCs/>
                <w:color w:val="auto"/>
                <w:lang w:val="en-US" w:eastAsia="zh-CN"/>
              </w:rPr>
              <w:t>指标</w:t>
            </w:r>
          </w:p>
        </w:tc>
        <w:tc>
          <w:tcPr>
            <w:tcW w:w="434" w:type="pct"/>
            <w:vMerge w:val="restart"/>
            <w:tcBorders>
              <w:top w:val="single" w:color="auto" w:sz="4" w:space="0"/>
              <w:left w:val="nil"/>
              <w:right w:val="single" w:color="auto" w:sz="4" w:space="0"/>
            </w:tcBorders>
            <w:shd w:val="clear" w:color="000000" w:fill="FFFFFF"/>
            <w:vAlign w:val="center"/>
          </w:tcPr>
          <w:p w14:paraId="28FC4104">
            <w:pPr>
              <w:adjustRightInd/>
              <w:snapToGrid/>
              <w:spacing w:after="0"/>
              <w:jc w:val="center"/>
              <w:rPr>
                <w:rFonts w:ascii="宋体" w:hAnsi="宋体" w:eastAsia="宋体" w:cs="宋体"/>
                <w:b/>
                <w:bCs/>
                <w:color w:val="auto"/>
              </w:rPr>
            </w:pPr>
            <w:r>
              <w:rPr>
                <w:rFonts w:hint="eastAsia" w:ascii="宋体" w:hAnsi="宋体" w:eastAsia="宋体" w:cs="宋体"/>
                <w:b/>
                <w:bCs/>
                <w:color w:val="auto"/>
              </w:rPr>
              <w:t>分值</w:t>
            </w:r>
          </w:p>
        </w:tc>
        <w:tc>
          <w:tcPr>
            <w:tcW w:w="1156" w:type="pct"/>
            <w:vMerge w:val="restart"/>
            <w:tcBorders>
              <w:top w:val="single" w:color="auto" w:sz="4" w:space="0"/>
              <w:left w:val="nil"/>
              <w:right w:val="single" w:color="auto" w:sz="4" w:space="0"/>
            </w:tcBorders>
            <w:shd w:val="clear" w:color="000000" w:fill="FFFFFF"/>
            <w:vAlign w:val="center"/>
          </w:tcPr>
          <w:p w14:paraId="4A6FA07C">
            <w:pPr>
              <w:adjustRightInd/>
              <w:snapToGrid/>
              <w:spacing w:after="0"/>
              <w:jc w:val="center"/>
              <w:rPr>
                <w:rFonts w:ascii="宋体" w:hAnsi="宋体" w:eastAsia="宋体" w:cs="宋体"/>
                <w:b/>
                <w:bCs/>
                <w:color w:val="auto"/>
              </w:rPr>
            </w:pPr>
            <w:r>
              <w:rPr>
                <w:rFonts w:hint="eastAsia" w:ascii="宋体" w:hAnsi="宋体" w:eastAsia="宋体" w:cs="宋体"/>
                <w:b/>
                <w:bCs/>
                <w:color w:val="auto"/>
              </w:rPr>
              <w:t>指标描述</w:t>
            </w:r>
          </w:p>
        </w:tc>
        <w:tc>
          <w:tcPr>
            <w:tcW w:w="2676" w:type="pct"/>
            <w:gridSpan w:val="2"/>
            <w:tcBorders>
              <w:top w:val="single" w:color="auto" w:sz="4" w:space="0"/>
              <w:left w:val="nil"/>
              <w:bottom w:val="single" w:color="auto" w:sz="4" w:space="0"/>
              <w:right w:val="single" w:color="auto" w:sz="4" w:space="0"/>
            </w:tcBorders>
            <w:shd w:val="clear" w:color="000000" w:fill="FFFFFF"/>
            <w:vAlign w:val="center"/>
          </w:tcPr>
          <w:p w14:paraId="61577392">
            <w:pPr>
              <w:adjustRightInd/>
              <w:snapToGrid/>
              <w:spacing w:after="0"/>
              <w:jc w:val="center"/>
              <w:rPr>
                <w:rFonts w:hint="eastAsia" w:ascii="宋体" w:hAnsi="宋体" w:eastAsia="宋体" w:cs="宋体"/>
                <w:b/>
                <w:bCs/>
                <w:color w:val="auto"/>
              </w:rPr>
            </w:pPr>
            <w:r>
              <w:rPr>
                <w:rFonts w:hint="eastAsia" w:ascii="宋体" w:hAnsi="宋体" w:eastAsia="宋体" w:cs="宋体"/>
                <w:b/>
                <w:bCs/>
                <w:color w:val="auto"/>
              </w:rPr>
              <w:t>评价标准</w:t>
            </w:r>
          </w:p>
        </w:tc>
      </w:tr>
      <w:tr w14:paraId="004FF5A1">
        <w:tblPrEx>
          <w:tblCellMar>
            <w:top w:w="0" w:type="dxa"/>
            <w:left w:w="108" w:type="dxa"/>
            <w:bottom w:w="0" w:type="dxa"/>
            <w:right w:w="108" w:type="dxa"/>
          </w:tblCellMar>
        </w:tblPrEx>
        <w:trPr>
          <w:trHeight w:val="484" w:hRule="atLeast"/>
          <w:jc w:val="center"/>
        </w:trPr>
        <w:tc>
          <w:tcPr>
            <w:tcW w:w="310" w:type="pct"/>
            <w:vMerge w:val="continue"/>
            <w:tcBorders>
              <w:left w:val="single" w:color="auto" w:sz="4" w:space="0"/>
              <w:bottom w:val="single" w:color="auto" w:sz="4" w:space="0"/>
              <w:right w:val="single" w:color="auto" w:sz="4" w:space="0"/>
            </w:tcBorders>
            <w:shd w:val="clear" w:color="000000" w:fill="FFFFFF"/>
            <w:noWrap/>
            <w:vAlign w:val="center"/>
          </w:tcPr>
          <w:p w14:paraId="250FCD93">
            <w:pPr>
              <w:adjustRightInd/>
              <w:snapToGrid/>
              <w:spacing w:after="0"/>
              <w:jc w:val="center"/>
              <w:rPr>
                <w:rFonts w:hint="eastAsia" w:ascii="宋体" w:hAnsi="宋体" w:eastAsia="宋体" w:cs="宋体"/>
                <w:b/>
                <w:bCs/>
                <w:color w:val="auto"/>
              </w:rPr>
            </w:pPr>
          </w:p>
        </w:tc>
        <w:tc>
          <w:tcPr>
            <w:tcW w:w="421" w:type="pct"/>
            <w:vMerge w:val="continue"/>
            <w:tcBorders>
              <w:left w:val="nil"/>
              <w:bottom w:val="single" w:color="auto" w:sz="4" w:space="0"/>
              <w:right w:val="single" w:color="auto" w:sz="4" w:space="0"/>
            </w:tcBorders>
            <w:shd w:val="clear" w:color="000000" w:fill="FFFFFF"/>
            <w:vAlign w:val="center"/>
          </w:tcPr>
          <w:p w14:paraId="09710F82">
            <w:pPr>
              <w:adjustRightInd/>
              <w:snapToGrid/>
              <w:spacing w:after="0"/>
              <w:jc w:val="center"/>
              <w:rPr>
                <w:rFonts w:hint="eastAsia" w:ascii="宋体" w:hAnsi="宋体" w:eastAsia="宋体" w:cs="宋体"/>
                <w:b/>
                <w:bCs/>
                <w:color w:val="auto"/>
              </w:rPr>
            </w:pPr>
          </w:p>
        </w:tc>
        <w:tc>
          <w:tcPr>
            <w:tcW w:w="434" w:type="pct"/>
            <w:vMerge w:val="continue"/>
            <w:tcBorders>
              <w:left w:val="nil"/>
              <w:bottom w:val="single" w:color="auto" w:sz="4" w:space="0"/>
              <w:right w:val="single" w:color="auto" w:sz="4" w:space="0"/>
            </w:tcBorders>
            <w:shd w:val="clear" w:color="000000" w:fill="FFFFFF"/>
            <w:vAlign w:val="center"/>
          </w:tcPr>
          <w:p w14:paraId="48E3AA07">
            <w:pPr>
              <w:adjustRightInd/>
              <w:snapToGrid/>
              <w:spacing w:after="0"/>
              <w:jc w:val="center"/>
              <w:rPr>
                <w:rFonts w:hint="eastAsia" w:ascii="宋体" w:hAnsi="宋体" w:eastAsia="宋体" w:cs="宋体"/>
                <w:b/>
                <w:bCs/>
                <w:color w:val="auto"/>
              </w:rPr>
            </w:pPr>
          </w:p>
        </w:tc>
        <w:tc>
          <w:tcPr>
            <w:tcW w:w="1156" w:type="pct"/>
            <w:vMerge w:val="continue"/>
            <w:tcBorders>
              <w:left w:val="nil"/>
              <w:bottom w:val="single" w:color="auto" w:sz="4" w:space="0"/>
              <w:right w:val="single" w:color="auto" w:sz="4" w:space="0"/>
            </w:tcBorders>
            <w:shd w:val="clear" w:color="000000" w:fill="FFFFFF"/>
            <w:vAlign w:val="center"/>
          </w:tcPr>
          <w:p w14:paraId="53A87066">
            <w:pPr>
              <w:adjustRightInd/>
              <w:snapToGrid/>
              <w:spacing w:after="0"/>
              <w:jc w:val="center"/>
              <w:rPr>
                <w:rFonts w:hint="eastAsia" w:ascii="宋体" w:hAnsi="宋体" w:eastAsia="宋体" w:cs="宋体"/>
                <w:b/>
                <w:bCs/>
                <w:color w:val="auto"/>
              </w:rPr>
            </w:pPr>
          </w:p>
        </w:tc>
        <w:tc>
          <w:tcPr>
            <w:tcW w:w="1330" w:type="pct"/>
            <w:tcBorders>
              <w:top w:val="single" w:color="auto" w:sz="4" w:space="0"/>
              <w:left w:val="nil"/>
              <w:bottom w:val="single" w:color="auto" w:sz="4" w:space="0"/>
              <w:right w:val="single" w:color="auto" w:sz="4" w:space="0"/>
            </w:tcBorders>
            <w:shd w:val="clear" w:color="000000" w:fill="FFFFFF"/>
            <w:vAlign w:val="center"/>
          </w:tcPr>
          <w:p w14:paraId="0AD2341B">
            <w:pPr>
              <w:adjustRightInd/>
              <w:snapToGrid/>
              <w:spacing w:after="0"/>
              <w:jc w:val="center"/>
              <w:rPr>
                <w:rFonts w:hint="default" w:ascii="宋体" w:hAnsi="宋体" w:eastAsia="宋体" w:cs="宋体"/>
                <w:b/>
                <w:bCs/>
                <w:color w:val="auto"/>
                <w:lang w:val="en-US" w:eastAsia="zh-CN"/>
              </w:rPr>
            </w:pPr>
            <w:r>
              <w:rPr>
                <w:rFonts w:hint="eastAsia" w:ascii="宋体" w:hAnsi="宋体" w:eastAsia="宋体" w:cs="宋体"/>
                <w:b/>
                <w:bCs/>
                <w:color w:val="auto"/>
                <w:lang w:val="en-US" w:eastAsia="zh-CN"/>
              </w:rPr>
              <w:t>城网</w:t>
            </w:r>
          </w:p>
        </w:tc>
        <w:tc>
          <w:tcPr>
            <w:tcW w:w="1346" w:type="pct"/>
            <w:tcBorders>
              <w:top w:val="single" w:color="auto" w:sz="4" w:space="0"/>
              <w:left w:val="single" w:color="auto" w:sz="4" w:space="0"/>
              <w:bottom w:val="single" w:color="auto" w:sz="4" w:space="0"/>
              <w:right w:val="single" w:color="auto" w:sz="4" w:space="0"/>
            </w:tcBorders>
            <w:shd w:val="clear" w:color="000000" w:fill="FFFFFF"/>
            <w:vAlign w:val="center"/>
          </w:tcPr>
          <w:p w14:paraId="48ABED75">
            <w:pPr>
              <w:adjustRightInd/>
              <w:snapToGrid/>
              <w:spacing w:after="0"/>
              <w:jc w:val="center"/>
              <w:rPr>
                <w:rFonts w:hint="eastAsia" w:ascii="宋体" w:hAnsi="宋体" w:eastAsia="宋体" w:cs="宋体"/>
                <w:b/>
                <w:bCs/>
                <w:color w:val="auto"/>
                <w:lang w:val="en-US" w:eastAsia="zh-CN"/>
              </w:rPr>
            </w:pPr>
            <w:r>
              <w:rPr>
                <w:rFonts w:hint="eastAsia" w:ascii="宋体" w:hAnsi="宋体" w:eastAsia="宋体" w:cs="宋体"/>
                <w:b/>
                <w:bCs/>
                <w:color w:val="auto"/>
                <w:lang w:val="en-US" w:eastAsia="zh-CN"/>
              </w:rPr>
              <w:t>农网</w:t>
            </w:r>
          </w:p>
        </w:tc>
      </w:tr>
      <w:tr w14:paraId="10FDA30F">
        <w:tblPrEx>
          <w:tblCellMar>
            <w:top w:w="0" w:type="dxa"/>
            <w:left w:w="108" w:type="dxa"/>
            <w:bottom w:w="0" w:type="dxa"/>
            <w:right w:w="108" w:type="dxa"/>
          </w:tblCellMar>
        </w:tblPrEx>
        <w:trPr>
          <w:trHeight w:val="1806" w:hRule="atLeast"/>
          <w:jc w:val="center"/>
        </w:trPr>
        <w:tc>
          <w:tcPr>
            <w:tcW w:w="310" w:type="pct"/>
            <w:tcBorders>
              <w:top w:val="nil"/>
              <w:left w:val="single" w:color="auto" w:sz="4" w:space="0"/>
              <w:bottom w:val="single" w:color="auto" w:sz="4" w:space="0"/>
              <w:right w:val="single" w:color="auto" w:sz="4" w:space="0"/>
            </w:tcBorders>
            <w:shd w:val="clear" w:color="000000" w:fill="FFFFFF"/>
            <w:vAlign w:val="center"/>
          </w:tcPr>
          <w:p w14:paraId="19561E77">
            <w:pPr>
              <w:keepNext w:val="0"/>
              <w:keepLines w:val="0"/>
              <w:widowControl/>
              <w:suppressLineNumbers w:val="0"/>
              <w:jc w:val="center"/>
              <w:textAlignment w:val="center"/>
              <w:rPr>
                <w:rFonts w:ascii="宋体" w:hAnsi="宋体" w:eastAsia="宋体" w:cs="宋体"/>
                <w:color w:val="auto"/>
              </w:rPr>
            </w:pPr>
            <w:r>
              <w:rPr>
                <w:rFonts w:hint="eastAsia" w:ascii="宋体" w:hAnsi="宋体" w:eastAsia="宋体" w:cs="宋体"/>
                <w:i w:val="0"/>
                <w:iCs w:val="0"/>
                <w:color w:val="000000"/>
                <w:kern w:val="0"/>
                <w:sz w:val="22"/>
                <w:szCs w:val="22"/>
                <w:u w:val="none"/>
                <w:lang w:val="en-US" w:eastAsia="zh-CN" w:bidi="ar"/>
              </w:rPr>
              <w:t>1</w:t>
            </w:r>
          </w:p>
        </w:tc>
        <w:tc>
          <w:tcPr>
            <w:tcW w:w="421" w:type="pct"/>
            <w:tcBorders>
              <w:top w:val="nil"/>
              <w:left w:val="nil"/>
              <w:bottom w:val="single" w:color="auto" w:sz="4" w:space="0"/>
              <w:right w:val="single" w:color="auto" w:sz="4" w:space="0"/>
            </w:tcBorders>
            <w:shd w:val="clear" w:color="000000" w:fill="FFFFFF"/>
            <w:vAlign w:val="center"/>
          </w:tcPr>
          <w:p w14:paraId="33344B71">
            <w:pPr>
              <w:keepNext w:val="0"/>
              <w:keepLines w:val="0"/>
              <w:widowControl/>
              <w:suppressLineNumbers w:val="0"/>
              <w:jc w:val="center"/>
              <w:textAlignment w:val="center"/>
              <w:rPr>
                <w:rFonts w:ascii="宋体" w:hAnsi="宋体" w:eastAsia="宋体" w:cs="宋体"/>
                <w:color w:val="auto"/>
              </w:rPr>
            </w:pPr>
            <w:r>
              <w:rPr>
                <w:rStyle w:val="6"/>
                <w:lang w:val="en-US" w:eastAsia="zh-CN" w:bidi="ar"/>
              </w:rPr>
              <w:t>日均有效时段</w:t>
            </w:r>
          </w:p>
        </w:tc>
        <w:tc>
          <w:tcPr>
            <w:tcW w:w="434" w:type="pct"/>
            <w:tcBorders>
              <w:top w:val="nil"/>
              <w:left w:val="nil"/>
              <w:bottom w:val="single" w:color="auto" w:sz="4" w:space="0"/>
              <w:right w:val="single" w:color="auto" w:sz="4" w:space="0"/>
            </w:tcBorders>
            <w:shd w:val="clear" w:color="000000" w:fill="FFFFFF"/>
            <w:vAlign w:val="center"/>
          </w:tcPr>
          <w:p w14:paraId="7119B2E2">
            <w:pPr>
              <w:keepNext w:val="0"/>
              <w:keepLines w:val="0"/>
              <w:widowControl/>
              <w:suppressLineNumbers w:val="0"/>
              <w:jc w:val="center"/>
              <w:textAlignment w:val="center"/>
              <w:rPr>
                <w:rFonts w:ascii="宋体" w:hAnsi="宋体" w:eastAsia="宋体" w:cs="宋体"/>
                <w:color w:val="auto"/>
              </w:rPr>
            </w:pPr>
            <w:r>
              <w:rPr>
                <w:rFonts w:hint="eastAsia" w:ascii="宋体" w:hAnsi="宋体" w:eastAsia="宋体" w:cs="宋体"/>
                <w:i w:val="0"/>
                <w:iCs w:val="0"/>
                <w:color w:val="000000"/>
                <w:kern w:val="0"/>
                <w:sz w:val="22"/>
                <w:szCs w:val="22"/>
                <w:u w:val="none"/>
                <w:lang w:val="en-US" w:eastAsia="zh-CN" w:bidi="ar"/>
              </w:rPr>
              <w:t>15</w:t>
            </w:r>
          </w:p>
        </w:tc>
        <w:tc>
          <w:tcPr>
            <w:tcW w:w="1156" w:type="pct"/>
            <w:tcBorders>
              <w:top w:val="nil"/>
              <w:left w:val="nil"/>
              <w:bottom w:val="single" w:color="auto" w:sz="4" w:space="0"/>
              <w:right w:val="single" w:color="auto" w:sz="4" w:space="0"/>
            </w:tcBorders>
            <w:shd w:val="clear" w:color="000000" w:fill="FFFFFF"/>
            <w:vAlign w:val="center"/>
          </w:tcPr>
          <w:p w14:paraId="546CB86A">
            <w:pPr>
              <w:keepNext w:val="0"/>
              <w:keepLines w:val="0"/>
              <w:widowControl/>
              <w:suppressLineNumbers w:val="0"/>
              <w:jc w:val="both"/>
              <w:textAlignment w:val="center"/>
              <w:rPr>
                <w:rFonts w:ascii="宋体" w:hAnsi="宋体" w:eastAsia="宋体" w:cs="宋体"/>
                <w:color w:val="auto"/>
              </w:rPr>
            </w:pPr>
            <w:r>
              <w:rPr>
                <w:rFonts w:hint="eastAsia" w:ascii="宋体" w:hAnsi="宋体" w:eastAsia="宋体" w:cs="宋体"/>
                <w:i w:val="0"/>
                <w:iCs w:val="0"/>
                <w:color w:val="000000"/>
                <w:kern w:val="0"/>
                <w:sz w:val="22"/>
                <w:szCs w:val="22"/>
                <w:u w:val="none"/>
                <w:lang w:val="en-US" w:eastAsia="zh-CN" w:bidi="ar"/>
              </w:rPr>
              <w:t>指一个周期内，每日有扫码记录的时段平均值，用于评价客户每天使用频率</w:t>
            </w:r>
          </w:p>
        </w:tc>
        <w:tc>
          <w:tcPr>
            <w:tcW w:w="1330" w:type="pct"/>
            <w:tcBorders>
              <w:top w:val="nil"/>
              <w:left w:val="nil"/>
              <w:bottom w:val="single" w:color="auto" w:sz="4" w:space="0"/>
              <w:right w:val="single" w:color="auto" w:sz="4" w:space="0"/>
            </w:tcBorders>
            <w:shd w:val="clear" w:color="000000" w:fill="FFFFFF"/>
            <w:vAlign w:val="center"/>
          </w:tcPr>
          <w:p w14:paraId="0548FEFA">
            <w:pPr>
              <w:keepNext w:val="0"/>
              <w:keepLines w:val="0"/>
              <w:widowControl/>
              <w:suppressLineNumbers w:val="0"/>
              <w:jc w:val="both"/>
              <w:textAlignment w:val="center"/>
              <w:rPr>
                <w:rFonts w:ascii="宋体" w:hAnsi="宋体" w:eastAsia="宋体" w:cs="宋体"/>
                <w:color w:val="auto"/>
              </w:rPr>
            </w:pPr>
            <w:r>
              <w:rPr>
                <w:rStyle w:val="6"/>
                <w:lang w:val="en-US" w:eastAsia="zh-CN" w:bidi="ar"/>
              </w:rPr>
              <w:t>日均有效时段小于等于4小时的，得5分；大于4小时的，每增加1个加2分，最多得15分；</w:t>
            </w:r>
            <w:r>
              <w:rPr>
                <w:rStyle w:val="6"/>
                <w:lang w:val="en-US" w:eastAsia="zh-CN" w:bidi="ar"/>
              </w:rPr>
              <w:br w:type="textWrapping"/>
            </w:r>
          </w:p>
        </w:tc>
        <w:tc>
          <w:tcPr>
            <w:tcW w:w="1346" w:type="pct"/>
            <w:tcBorders>
              <w:top w:val="nil"/>
              <w:left w:val="single" w:color="auto" w:sz="4" w:space="0"/>
              <w:bottom w:val="single" w:color="auto" w:sz="4" w:space="0"/>
              <w:right w:val="single" w:color="auto" w:sz="4" w:space="0"/>
            </w:tcBorders>
            <w:shd w:val="clear" w:color="000000" w:fill="FFFFFF"/>
            <w:vAlign w:val="top"/>
          </w:tcPr>
          <w:p w14:paraId="1D8595AF">
            <w:pPr>
              <w:keepNext w:val="0"/>
              <w:keepLines w:val="0"/>
              <w:widowControl/>
              <w:suppressLineNumbers w:val="0"/>
              <w:jc w:val="both"/>
              <w:textAlignment w:val="center"/>
              <w:rPr>
                <w:rStyle w:val="7"/>
                <w:lang w:val="en-US" w:eastAsia="zh-CN" w:bidi="ar"/>
              </w:rPr>
            </w:pPr>
            <w:r>
              <w:rPr>
                <w:rStyle w:val="6"/>
                <w:lang w:val="en-US" w:eastAsia="zh-CN" w:bidi="ar"/>
              </w:rPr>
              <w:t>日均有效时段小于等于3小时的，得6分；大于3小时的，每增加1个加3分，最多得15分；</w:t>
            </w:r>
          </w:p>
        </w:tc>
      </w:tr>
      <w:tr w14:paraId="3D4EBE91">
        <w:tblPrEx>
          <w:tblCellMar>
            <w:top w:w="0" w:type="dxa"/>
            <w:left w:w="108" w:type="dxa"/>
            <w:bottom w:w="0" w:type="dxa"/>
            <w:right w:w="108" w:type="dxa"/>
          </w:tblCellMar>
        </w:tblPrEx>
        <w:trPr>
          <w:trHeight w:val="705" w:hRule="atLeast"/>
          <w:jc w:val="center"/>
        </w:trPr>
        <w:tc>
          <w:tcPr>
            <w:tcW w:w="310" w:type="pct"/>
            <w:tcBorders>
              <w:top w:val="nil"/>
              <w:left w:val="single" w:color="auto" w:sz="4" w:space="0"/>
              <w:bottom w:val="single" w:color="auto" w:sz="4" w:space="0"/>
              <w:right w:val="single" w:color="auto" w:sz="4" w:space="0"/>
            </w:tcBorders>
            <w:shd w:val="clear" w:color="000000" w:fill="FFFFFF"/>
            <w:vAlign w:val="center"/>
          </w:tcPr>
          <w:p w14:paraId="56B5EDD1">
            <w:pPr>
              <w:keepNext w:val="0"/>
              <w:keepLines w:val="0"/>
              <w:widowControl/>
              <w:suppressLineNumbers w:val="0"/>
              <w:jc w:val="center"/>
              <w:textAlignment w:val="center"/>
              <w:rPr>
                <w:rFonts w:ascii="宋体" w:hAnsi="宋体" w:eastAsia="宋体" w:cs="宋体"/>
                <w:color w:val="auto"/>
              </w:rPr>
            </w:pPr>
            <w:r>
              <w:rPr>
                <w:rFonts w:hint="eastAsia" w:ascii="宋体" w:hAnsi="宋体" w:eastAsia="宋体" w:cs="宋体"/>
                <w:i w:val="0"/>
                <w:iCs w:val="0"/>
                <w:color w:val="000000"/>
                <w:kern w:val="0"/>
                <w:sz w:val="22"/>
                <w:szCs w:val="22"/>
                <w:u w:val="none"/>
                <w:lang w:val="en-US" w:eastAsia="zh-CN" w:bidi="ar"/>
              </w:rPr>
              <w:t>2</w:t>
            </w:r>
          </w:p>
        </w:tc>
        <w:tc>
          <w:tcPr>
            <w:tcW w:w="421" w:type="pct"/>
            <w:tcBorders>
              <w:top w:val="nil"/>
              <w:left w:val="nil"/>
              <w:bottom w:val="single" w:color="auto" w:sz="4" w:space="0"/>
              <w:right w:val="single" w:color="auto" w:sz="4" w:space="0"/>
            </w:tcBorders>
            <w:shd w:val="clear" w:color="000000" w:fill="FFFFFF"/>
            <w:vAlign w:val="center"/>
          </w:tcPr>
          <w:p w14:paraId="36F129FC">
            <w:pPr>
              <w:keepNext w:val="0"/>
              <w:keepLines w:val="0"/>
              <w:widowControl/>
              <w:suppressLineNumbers w:val="0"/>
              <w:jc w:val="center"/>
              <w:textAlignment w:val="center"/>
              <w:rPr>
                <w:rFonts w:ascii="宋体" w:hAnsi="宋体" w:eastAsia="宋体" w:cs="宋体"/>
                <w:color w:val="auto"/>
              </w:rPr>
            </w:pPr>
            <w:r>
              <w:rPr>
                <w:rStyle w:val="6"/>
                <w:lang w:val="en-US" w:eastAsia="zh-CN" w:bidi="ar"/>
              </w:rPr>
              <w:t>有效销售天数</w:t>
            </w:r>
          </w:p>
        </w:tc>
        <w:tc>
          <w:tcPr>
            <w:tcW w:w="434" w:type="pct"/>
            <w:tcBorders>
              <w:top w:val="nil"/>
              <w:left w:val="nil"/>
              <w:bottom w:val="single" w:color="auto" w:sz="4" w:space="0"/>
              <w:right w:val="single" w:color="auto" w:sz="4" w:space="0"/>
            </w:tcBorders>
            <w:shd w:val="clear" w:color="000000" w:fill="FFFFFF"/>
            <w:vAlign w:val="center"/>
          </w:tcPr>
          <w:p w14:paraId="137298E9">
            <w:pPr>
              <w:keepNext w:val="0"/>
              <w:keepLines w:val="0"/>
              <w:widowControl/>
              <w:suppressLineNumbers w:val="0"/>
              <w:jc w:val="center"/>
              <w:textAlignment w:val="center"/>
              <w:rPr>
                <w:rFonts w:ascii="宋体" w:hAnsi="宋体" w:eastAsia="宋体" w:cs="宋体"/>
                <w:color w:val="auto"/>
              </w:rPr>
            </w:pPr>
            <w:r>
              <w:rPr>
                <w:rFonts w:hint="eastAsia" w:ascii="宋体" w:hAnsi="宋体" w:eastAsia="宋体" w:cs="宋体"/>
                <w:i w:val="0"/>
                <w:iCs w:val="0"/>
                <w:color w:val="000000"/>
                <w:kern w:val="0"/>
                <w:sz w:val="22"/>
                <w:szCs w:val="22"/>
                <w:u w:val="none"/>
                <w:lang w:val="en-US" w:eastAsia="zh-CN" w:bidi="ar"/>
              </w:rPr>
              <w:t>15</w:t>
            </w:r>
          </w:p>
        </w:tc>
        <w:tc>
          <w:tcPr>
            <w:tcW w:w="1156" w:type="pct"/>
            <w:tcBorders>
              <w:top w:val="nil"/>
              <w:left w:val="nil"/>
              <w:bottom w:val="single" w:color="auto" w:sz="4" w:space="0"/>
              <w:right w:val="single" w:color="auto" w:sz="4" w:space="0"/>
            </w:tcBorders>
            <w:shd w:val="clear" w:color="000000" w:fill="FFFFFF"/>
            <w:vAlign w:val="center"/>
          </w:tcPr>
          <w:p w14:paraId="655DC22F">
            <w:pPr>
              <w:keepNext w:val="0"/>
              <w:keepLines w:val="0"/>
              <w:widowControl/>
              <w:suppressLineNumbers w:val="0"/>
              <w:jc w:val="both"/>
              <w:textAlignment w:val="center"/>
              <w:rPr>
                <w:rFonts w:ascii="宋体" w:hAnsi="宋体" w:eastAsia="宋体" w:cs="宋体"/>
                <w:color w:val="auto"/>
              </w:rPr>
            </w:pPr>
            <w:r>
              <w:rPr>
                <w:rStyle w:val="6"/>
                <w:lang w:val="en-US" w:eastAsia="zh-CN" w:bidi="ar"/>
              </w:rPr>
              <w:t>指一个周期内，有扫码销售记录的天数，用于评价客户是否每天持续扫码</w:t>
            </w:r>
          </w:p>
        </w:tc>
        <w:tc>
          <w:tcPr>
            <w:tcW w:w="1330" w:type="pct"/>
            <w:tcBorders>
              <w:top w:val="nil"/>
              <w:left w:val="nil"/>
              <w:bottom w:val="single" w:color="auto" w:sz="4" w:space="0"/>
              <w:right w:val="single" w:color="auto" w:sz="4" w:space="0"/>
            </w:tcBorders>
            <w:shd w:val="clear" w:color="000000" w:fill="FFFFFF"/>
            <w:vAlign w:val="top"/>
          </w:tcPr>
          <w:p w14:paraId="1556823A">
            <w:pPr>
              <w:keepNext w:val="0"/>
              <w:keepLines w:val="0"/>
              <w:widowControl/>
              <w:suppressLineNumbers w:val="0"/>
              <w:jc w:val="both"/>
              <w:textAlignment w:val="center"/>
              <w:rPr>
                <w:rFonts w:ascii="宋体" w:hAnsi="宋体" w:eastAsia="宋体" w:cs="宋体"/>
                <w:color w:val="auto"/>
              </w:rPr>
            </w:pPr>
            <w:r>
              <w:rPr>
                <w:rStyle w:val="6"/>
                <w:lang w:val="en-US" w:eastAsia="zh-CN" w:bidi="ar"/>
              </w:rPr>
              <w:t>每周有效天数小于等于5天的，得5分，大于5天的，每增加1天加5分，最多得15分；</w:t>
            </w:r>
            <w:r>
              <w:rPr>
                <w:rStyle w:val="6"/>
                <w:lang w:val="en-US" w:eastAsia="zh-CN" w:bidi="ar"/>
              </w:rPr>
              <w:br w:type="textWrapping"/>
            </w:r>
          </w:p>
        </w:tc>
        <w:tc>
          <w:tcPr>
            <w:tcW w:w="1346" w:type="pct"/>
            <w:tcBorders>
              <w:top w:val="nil"/>
              <w:left w:val="single" w:color="auto" w:sz="4" w:space="0"/>
              <w:bottom w:val="single" w:color="auto" w:sz="4" w:space="0"/>
              <w:right w:val="single" w:color="auto" w:sz="4" w:space="0"/>
            </w:tcBorders>
            <w:shd w:val="clear" w:color="000000" w:fill="FFFFFF"/>
            <w:vAlign w:val="top"/>
          </w:tcPr>
          <w:p w14:paraId="3A485C3D">
            <w:pPr>
              <w:keepNext w:val="0"/>
              <w:keepLines w:val="0"/>
              <w:widowControl/>
              <w:suppressLineNumbers w:val="0"/>
              <w:jc w:val="both"/>
              <w:textAlignment w:val="center"/>
              <w:rPr>
                <w:rStyle w:val="7"/>
                <w:lang w:val="en-US" w:eastAsia="zh-CN" w:bidi="ar"/>
              </w:rPr>
            </w:pPr>
            <w:r>
              <w:rPr>
                <w:rStyle w:val="6"/>
                <w:lang w:val="en-US" w:eastAsia="zh-CN" w:bidi="ar"/>
              </w:rPr>
              <w:t>每周有效天数小于等于4天的，得6分，大于4天的，每增加1天加3分，最多得15分；</w:t>
            </w:r>
          </w:p>
        </w:tc>
      </w:tr>
      <w:tr w14:paraId="2549F7F7">
        <w:tblPrEx>
          <w:tblCellMar>
            <w:top w:w="0" w:type="dxa"/>
            <w:left w:w="108" w:type="dxa"/>
            <w:bottom w:w="0" w:type="dxa"/>
            <w:right w:w="108" w:type="dxa"/>
          </w:tblCellMar>
        </w:tblPrEx>
        <w:trPr>
          <w:trHeight w:val="750" w:hRule="atLeast"/>
          <w:jc w:val="center"/>
        </w:trPr>
        <w:tc>
          <w:tcPr>
            <w:tcW w:w="310" w:type="pct"/>
            <w:tcBorders>
              <w:top w:val="nil"/>
              <w:left w:val="single" w:color="auto" w:sz="4" w:space="0"/>
              <w:bottom w:val="single" w:color="auto" w:sz="4" w:space="0"/>
              <w:right w:val="single" w:color="auto" w:sz="4" w:space="0"/>
            </w:tcBorders>
            <w:shd w:val="clear" w:color="000000" w:fill="FFFFFF"/>
            <w:vAlign w:val="center"/>
          </w:tcPr>
          <w:p w14:paraId="43E8D0D6">
            <w:pPr>
              <w:keepNext w:val="0"/>
              <w:keepLines w:val="0"/>
              <w:widowControl/>
              <w:suppressLineNumbers w:val="0"/>
              <w:jc w:val="center"/>
              <w:textAlignment w:val="center"/>
              <w:rPr>
                <w:rFonts w:ascii="宋体" w:hAnsi="宋体" w:eastAsia="宋体" w:cs="宋体"/>
                <w:color w:val="auto"/>
              </w:rPr>
            </w:pPr>
            <w:r>
              <w:rPr>
                <w:rFonts w:hint="eastAsia" w:ascii="宋体" w:hAnsi="宋体" w:eastAsia="宋体" w:cs="宋体"/>
                <w:i w:val="0"/>
                <w:iCs w:val="0"/>
                <w:color w:val="000000"/>
                <w:kern w:val="0"/>
                <w:sz w:val="22"/>
                <w:szCs w:val="22"/>
                <w:u w:val="none"/>
                <w:lang w:val="en-US" w:eastAsia="zh-CN" w:bidi="ar"/>
              </w:rPr>
              <w:t>3</w:t>
            </w:r>
          </w:p>
        </w:tc>
        <w:tc>
          <w:tcPr>
            <w:tcW w:w="421" w:type="pct"/>
            <w:tcBorders>
              <w:top w:val="nil"/>
              <w:left w:val="nil"/>
              <w:bottom w:val="single" w:color="auto" w:sz="4" w:space="0"/>
              <w:right w:val="single" w:color="auto" w:sz="4" w:space="0"/>
            </w:tcBorders>
            <w:shd w:val="clear" w:color="000000" w:fill="FFFFFF"/>
            <w:vAlign w:val="center"/>
          </w:tcPr>
          <w:p w14:paraId="6C8B9C35">
            <w:pPr>
              <w:keepNext w:val="0"/>
              <w:keepLines w:val="0"/>
              <w:widowControl/>
              <w:suppressLineNumbers w:val="0"/>
              <w:jc w:val="center"/>
              <w:textAlignment w:val="center"/>
              <w:rPr>
                <w:rFonts w:ascii="宋体" w:hAnsi="宋体" w:eastAsia="宋体" w:cs="宋体"/>
                <w:color w:val="auto"/>
              </w:rPr>
            </w:pPr>
            <w:r>
              <w:rPr>
                <w:rStyle w:val="6"/>
                <w:lang w:val="en-US" w:eastAsia="zh-CN" w:bidi="ar"/>
              </w:rPr>
              <w:t>日均扫码笔数</w:t>
            </w:r>
          </w:p>
        </w:tc>
        <w:tc>
          <w:tcPr>
            <w:tcW w:w="434" w:type="pct"/>
            <w:tcBorders>
              <w:top w:val="nil"/>
              <w:left w:val="nil"/>
              <w:bottom w:val="single" w:color="auto" w:sz="4" w:space="0"/>
              <w:right w:val="single" w:color="auto" w:sz="4" w:space="0"/>
            </w:tcBorders>
            <w:shd w:val="clear" w:color="000000" w:fill="FFFFFF"/>
            <w:vAlign w:val="center"/>
          </w:tcPr>
          <w:p w14:paraId="52B8B50D">
            <w:pPr>
              <w:keepNext w:val="0"/>
              <w:keepLines w:val="0"/>
              <w:widowControl/>
              <w:suppressLineNumbers w:val="0"/>
              <w:jc w:val="center"/>
              <w:textAlignment w:val="center"/>
              <w:rPr>
                <w:rFonts w:ascii="宋体" w:hAnsi="宋体" w:eastAsia="宋体" w:cs="宋体"/>
                <w:color w:val="auto"/>
              </w:rPr>
            </w:pPr>
            <w:r>
              <w:rPr>
                <w:rFonts w:hint="eastAsia" w:ascii="宋体" w:hAnsi="宋体" w:eastAsia="宋体" w:cs="宋体"/>
                <w:i w:val="0"/>
                <w:iCs w:val="0"/>
                <w:color w:val="000000"/>
                <w:kern w:val="0"/>
                <w:sz w:val="22"/>
                <w:szCs w:val="22"/>
                <w:u w:val="none"/>
                <w:lang w:val="en-US" w:eastAsia="zh-CN" w:bidi="ar"/>
              </w:rPr>
              <w:t>20</w:t>
            </w:r>
          </w:p>
        </w:tc>
        <w:tc>
          <w:tcPr>
            <w:tcW w:w="1156" w:type="pct"/>
            <w:tcBorders>
              <w:top w:val="nil"/>
              <w:left w:val="nil"/>
              <w:bottom w:val="single" w:color="auto" w:sz="4" w:space="0"/>
              <w:right w:val="single" w:color="auto" w:sz="4" w:space="0"/>
            </w:tcBorders>
            <w:shd w:val="clear" w:color="000000" w:fill="FFFFFF"/>
            <w:vAlign w:val="center"/>
          </w:tcPr>
          <w:p w14:paraId="2EA3AB2A">
            <w:pPr>
              <w:keepNext w:val="0"/>
              <w:keepLines w:val="0"/>
              <w:widowControl/>
              <w:suppressLineNumbers w:val="0"/>
              <w:jc w:val="both"/>
              <w:textAlignment w:val="center"/>
              <w:rPr>
                <w:rFonts w:ascii="宋体" w:hAnsi="宋体" w:eastAsia="宋体" w:cs="宋体"/>
                <w:color w:val="auto"/>
              </w:rPr>
            </w:pPr>
            <w:r>
              <w:rPr>
                <w:rStyle w:val="6"/>
                <w:lang w:val="en-US" w:eastAsia="zh-CN" w:bidi="ar"/>
              </w:rPr>
              <w:t>指一个周期内，扫码笔数之和÷有效扫码天数，用于评价客户每天扫码次数</w:t>
            </w:r>
          </w:p>
        </w:tc>
        <w:tc>
          <w:tcPr>
            <w:tcW w:w="1330" w:type="pct"/>
            <w:tcBorders>
              <w:top w:val="nil"/>
              <w:left w:val="nil"/>
              <w:bottom w:val="single" w:color="auto" w:sz="4" w:space="0"/>
              <w:right w:val="single" w:color="auto" w:sz="4" w:space="0"/>
            </w:tcBorders>
            <w:shd w:val="clear" w:color="000000" w:fill="FFFFFF"/>
            <w:vAlign w:val="center"/>
          </w:tcPr>
          <w:p w14:paraId="35E9E5FE">
            <w:pPr>
              <w:keepNext w:val="0"/>
              <w:keepLines w:val="0"/>
              <w:widowControl/>
              <w:suppressLineNumbers w:val="0"/>
              <w:jc w:val="both"/>
              <w:textAlignment w:val="center"/>
              <w:rPr>
                <w:rFonts w:ascii="宋体" w:hAnsi="宋体" w:eastAsia="宋体" w:cs="宋体"/>
                <w:color w:val="auto"/>
              </w:rPr>
            </w:pPr>
            <w:r>
              <w:rPr>
                <w:rStyle w:val="6"/>
                <w:lang w:val="en-US" w:eastAsia="zh-CN" w:bidi="ar"/>
              </w:rPr>
              <w:t>日均全商品扫码小于等于15笔的，得5分；大于15笔的，每增加10笔加5分，最多得20分；</w:t>
            </w:r>
            <w:r>
              <w:rPr>
                <w:rStyle w:val="6"/>
                <w:lang w:val="en-US" w:eastAsia="zh-CN" w:bidi="ar"/>
              </w:rPr>
              <w:br w:type="textWrapping"/>
            </w:r>
          </w:p>
        </w:tc>
        <w:tc>
          <w:tcPr>
            <w:tcW w:w="1346" w:type="pct"/>
            <w:tcBorders>
              <w:top w:val="nil"/>
              <w:left w:val="single" w:color="auto" w:sz="4" w:space="0"/>
              <w:bottom w:val="single" w:color="auto" w:sz="4" w:space="0"/>
              <w:right w:val="single" w:color="auto" w:sz="4" w:space="0"/>
            </w:tcBorders>
            <w:shd w:val="clear" w:color="000000" w:fill="FFFFFF"/>
            <w:vAlign w:val="top"/>
          </w:tcPr>
          <w:p w14:paraId="2B0FC59C">
            <w:pPr>
              <w:keepNext w:val="0"/>
              <w:keepLines w:val="0"/>
              <w:widowControl/>
              <w:suppressLineNumbers w:val="0"/>
              <w:jc w:val="both"/>
              <w:textAlignment w:val="center"/>
              <w:rPr>
                <w:rStyle w:val="7"/>
                <w:lang w:val="en-US" w:eastAsia="zh-CN" w:bidi="ar"/>
              </w:rPr>
            </w:pPr>
            <w:r>
              <w:rPr>
                <w:rStyle w:val="6"/>
                <w:lang w:val="en-US" w:eastAsia="zh-CN" w:bidi="ar"/>
              </w:rPr>
              <w:t>日均全商品扫码小于等于10笔的，得10分；大于10笔的，每增加10笔加5分，最多得20分；</w:t>
            </w:r>
          </w:p>
        </w:tc>
      </w:tr>
      <w:tr w14:paraId="3F1578B5">
        <w:tblPrEx>
          <w:tblCellMar>
            <w:top w:w="0" w:type="dxa"/>
            <w:left w:w="108" w:type="dxa"/>
            <w:bottom w:w="0" w:type="dxa"/>
            <w:right w:w="108" w:type="dxa"/>
          </w:tblCellMar>
        </w:tblPrEx>
        <w:trPr>
          <w:trHeight w:val="1786" w:hRule="atLeast"/>
          <w:jc w:val="center"/>
        </w:trPr>
        <w:tc>
          <w:tcPr>
            <w:tcW w:w="310" w:type="pct"/>
            <w:tcBorders>
              <w:top w:val="nil"/>
              <w:left w:val="single" w:color="auto" w:sz="4" w:space="0"/>
              <w:bottom w:val="single" w:color="auto" w:sz="4" w:space="0"/>
              <w:right w:val="single" w:color="auto" w:sz="4" w:space="0"/>
            </w:tcBorders>
            <w:shd w:val="clear" w:color="000000" w:fill="FFFFFF"/>
            <w:vAlign w:val="center"/>
          </w:tcPr>
          <w:p w14:paraId="4B8D2505">
            <w:pPr>
              <w:keepNext w:val="0"/>
              <w:keepLines w:val="0"/>
              <w:widowControl/>
              <w:suppressLineNumbers w:val="0"/>
              <w:jc w:val="center"/>
              <w:textAlignment w:val="center"/>
              <w:rPr>
                <w:rFonts w:ascii="宋体" w:hAnsi="宋体" w:eastAsia="宋体" w:cs="宋体"/>
                <w:color w:val="auto"/>
              </w:rPr>
            </w:pPr>
            <w:r>
              <w:rPr>
                <w:rFonts w:hint="eastAsia" w:ascii="宋体" w:hAnsi="宋体" w:eastAsia="宋体" w:cs="宋体"/>
                <w:i w:val="0"/>
                <w:iCs w:val="0"/>
                <w:color w:val="000000"/>
                <w:kern w:val="0"/>
                <w:sz w:val="22"/>
                <w:szCs w:val="22"/>
                <w:u w:val="none"/>
                <w:lang w:val="en-US" w:eastAsia="zh-CN" w:bidi="ar"/>
              </w:rPr>
              <w:t>4</w:t>
            </w:r>
          </w:p>
        </w:tc>
        <w:tc>
          <w:tcPr>
            <w:tcW w:w="421" w:type="pct"/>
            <w:tcBorders>
              <w:top w:val="nil"/>
              <w:left w:val="nil"/>
              <w:bottom w:val="single" w:color="auto" w:sz="4" w:space="0"/>
              <w:right w:val="single" w:color="auto" w:sz="4" w:space="0"/>
            </w:tcBorders>
            <w:shd w:val="clear" w:color="000000" w:fill="FFFFFF"/>
            <w:vAlign w:val="center"/>
          </w:tcPr>
          <w:p w14:paraId="2B641443">
            <w:pPr>
              <w:keepNext w:val="0"/>
              <w:keepLines w:val="0"/>
              <w:widowControl/>
              <w:suppressLineNumbers w:val="0"/>
              <w:jc w:val="center"/>
              <w:textAlignment w:val="center"/>
              <w:rPr>
                <w:rFonts w:ascii="宋体" w:hAnsi="宋体" w:eastAsia="宋体" w:cs="宋体"/>
                <w:color w:val="auto"/>
              </w:rPr>
            </w:pPr>
            <w:r>
              <w:rPr>
                <w:rStyle w:val="6"/>
                <w:lang w:val="en-US" w:eastAsia="zh-CN" w:bidi="ar"/>
              </w:rPr>
              <w:t>日均扫码集中度</w:t>
            </w:r>
          </w:p>
        </w:tc>
        <w:tc>
          <w:tcPr>
            <w:tcW w:w="434" w:type="pct"/>
            <w:tcBorders>
              <w:top w:val="nil"/>
              <w:left w:val="nil"/>
              <w:bottom w:val="single" w:color="auto" w:sz="4" w:space="0"/>
              <w:right w:val="single" w:color="auto" w:sz="4" w:space="0"/>
            </w:tcBorders>
            <w:shd w:val="clear" w:color="000000" w:fill="FFFFFF"/>
            <w:vAlign w:val="center"/>
          </w:tcPr>
          <w:p w14:paraId="2321F71E">
            <w:pPr>
              <w:keepNext w:val="0"/>
              <w:keepLines w:val="0"/>
              <w:widowControl/>
              <w:suppressLineNumbers w:val="0"/>
              <w:jc w:val="center"/>
              <w:textAlignment w:val="center"/>
              <w:rPr>
                <w:rFonts w:ascii="宋体" w:hAnsi="宋体" w:eastAsia="宋体" w:cs="宋体"/>
                <w:color w:val="auto"/>
              </w:rPr>
            </w:pPr>
            <w:r>
              <w:rPr>
                <w:rFonts w:hint="eastAsia" w:ascii="宋体" w:hAnsi="宋体" w:eastAsia="宋体" w:cs="宋体"/>
                <w:i w:val="0"/>
                <w:iCs w:val="0"/>
                <w:color w:val="000000"/>
                <w:kern w:val="0"/>
                <w:sz w:val="22"/>
                <w:szCs w:val="22"/>
                <w:u w:val="none"/>
                <w:lang w:val="en-US" w:eastAsia="zh-CN" w:bidi="ar"/>
              </w:rPr>
              <w:t>15</w:t>
            </w:r>
          </w:p>
        </w:tc>
        <w:tc>
          <w:tcPr>
            <w:tcW w:w="1156" w:type="pct"/>
            <w:tcBorders>
              <w:top w:val="nil"/>
              <w:left w:val="nil"/>
              <w:bottom w:val="single" w:color="auto" w:sz="4" w:space="0"/>
              <w:right w:val="single" w:color="auto" w:sz="4" w:space="0"/>
            </w:tcBorders>
            <w:shd w:val="clear" w:color="000000" w:fill="FFFFFF"/>
            <w:vAlign w:val="center"/>
          </w:tcPr>
          <w:p w14:paraId="5AE3EEE5">
            <w:pPr>
              <w:keepNext w:val="0"/>
              <w:keepLines w:val="0"/>
              <w:widowControl/>
              <w:suppressLineNumbers w:val="0"/>
              <w:jc w:val="both"/>
              <w:textAlignment w:val="center"/>
              <w:rPr>
                <w:rFonts w:ascii="宋体" w:hAnsi="宋体" w:eastAsia="宋体" w:cs="宋体"/>
                <w:color w:val="auto"/>
              </w:rPr>
            </w:pPr>
            <w:r>
              <w:rPr>
                <w:rStyle w:val="6"/>
                <w:lang w:val="en-US" w:eastAsia="zh-CN" w:bidi="ar"/>
              </w:rPr>
              <w:t>指一个周期内，单日2个小时内连续扫码笔数占当日总扫码笔数比重的平均值，用于评价客户是否存在集中扫码情况</w:t>
            </w:r>
          </w:p>
        </w:tc>
        <w:tc>
          <w:tcPr>
            <w:tcW w:w="1330" w:type="pct"/>
            <w:tcBorders>
              <w:top w:val="nil"/>
              <w:left w:val="nil"/>
              <w:bottom w:val="single" w:color="auto" w:sz="4" w:space="0"/>
              <w:right w:val="single" w:color="auto" w:sz="4" w:space="0"/>
            </w:tcBorders>
            <w:shd w:val="clear" w:color="000000" w:fill="FFFFFF"/>
            <w:vAlign w:val="top"/>
          </w:tcPr>
          <w:p w14:paraId="737D9A94">
            <w:pPr>
              <w:keepNext w:val="0"/>
              <w:keepLines w:val="0"/>
              <w:widowControl/>
              <w:suppressLineNumbers w:val="0"/>
              <w:jc w:val="both"/>
              <w:textAlignment w:val="center"/>
              <w:rPr>
                <w:rFonts w:ascii="宋体" w:hAnsi="宋体" w:eastAsia="宋体" w:cs="宋体"/>
                <w:color w:val="auto"/>
              </w:rPr>
            </w:pPr>
            <w:r>
              <w:rPr>
                <w:rStyle w:val="6"/>
                <w:lang w:val="en-US" w:eastAsia="zh-CN" w:bidi="ar"/>
              </w:rPr>
              <w:t>大于等于50%的，得5分；小于50%的，每低5个百分点加5分，最多得15分；</w:t>
            </w:r>
            <w:r>
              <w:rPr>
                <w:rStyle w:val="6"/>
                <w:lang w:val="en-US" w:eastAsia="zh-CN" w:bidi="ar"/>
              </w:rPr>
              <w:br w:type="textWrapping"/>
            </w:r>
          </w:p>
        </w:tc>
        <w:tc>
          <w:tcPr>
            <w:tcW w:w="1346" w:type="pct"/>
            <w:tcBorders>
              <w:top w:val="nil"/>
              <w:left w:val="single" w:color="auto" w:sz="4" w:space="0"/>
              <w:bottom w:val="single" w:color="auto" w:sz="4" w:space="0"/>
              <w:right w:val="single" w:color="auto" w:sz="4" w:space="0"/>
            </w:tcBorders>
            <w:shd w:val="clear" w:color="000000" w:fill="FFFFFF"/>
            <w:vAlign w:val="top"/>
          </w:tcPr>
          <w:p w14:paraId="04862095">
            <w:pPr>
              <w:keepNext w:val="0"/>
              <w:keepLines w:val="0"/>
              <w:widowControl/>
              <w:suppressLineNumbers w:val="0"/>
              <w:jc w:val="both"/>
              <w:textAlignment w:val="center"/>
              <w:rPr>
                <w:rStyle w:val="7"/>
                <w:lang w:val="en-US" w:eastAsia="zh-CN" w:bidi="ar"/>
              </w:rPr>
            </w:pPr>
            <w:r>
              <w:rPr>
                <w:rStyle w:val="6"/>
                <w:lang w:val="en-US" w:eastAsia="zh-CN" w:bidi="ar"/>
              </w:rPr>
              <w:t>大于等于60%的，得5分；小于60%的，每低5个百分点加5分，最多得15分；</w:t>
            </w:r>
          </w:p>
        </w:tc>
      </w:tr>
      <w:tr w14:paraId="7FB2E9A4">
        <w:tblPrEx>
          <w:tblCellMar>
            <w:top w:w="0" w:type="dxa"/>
            <w:left w:w="108" w:type="dxa"/>
            <w:bottom w:w="0" w:type="dxa"/>
            <w:right w:w="108" w:type="dxa"/>
          </w:tblCellMar>
        </w:tblPrEx>
        <w:trPr>
          <w:trHeight w:val="1561" w:hRule="atLeast"/>
          <w:jc w:val="center"/>
        </w:trPr>
        <w:tc>
          <w:tcPr>
            <w:tcW w:w="310" w:type="pct"/>
            <w:tcBorders>
              <w:top w:val="nil"/>
              <w:left w:val="single" w:color="auto" w:sz="4" w:space="0"/>
              <w:bottom w:val="single" w:color="auto" w:sz="4" w:space="0"/>
              <w:right w:val="single" w:color="auto" w:sz="4" w:space="0"/>
            </w:tcBorders>
            <w:shd w:val="clear" w:color="000000" w:fill="FFFFFF"/>
            <w:vAlign w:val="center"/>
          </w:tcPr>
          <w:p w14:paraId="75D29857">
            <w:pPr>
              <w:keepNext w:val="0"/>
              <w:keepLines w:val="0"/>
              <w:widowControl/>
              <w:suppressLineNumbers w:val="0"/>
              <w:jc w:val="center"/>
              <w:textAlignment w:val="center"/>
              <w:rPr>
                <w:rFonts w:ascii="宋体" w:hAnsi="宋体" w:eastAsia="宋体" w:cs="宋体"/>
                <w:color w:val="auto"/>
              </w:rPr>
            </w:pPr>
            <w:r>
              <w:rPr>
                <w:rFonts w:hint="eastAsia" w:ascii="宋体" w:hAnsi="宋体" w:eastAsia="宋体" w:cs="宋体"/>
                <w:i w:val="0"/>
                <w:iCs w:val="0"/>
                <w:color w:val="000000"/>
                <w:kern w:val="0"/>
                <w:sz w:val="22"/>
                <w:szCs w:val="22"/>
                <w:u w:val="none"/>
                <w:lang w:val="en-US" w:eastAsia="zh-CN" w:bidi="ar"/>
              </w:rPr>
              <w:t>5</w:t>
            </w:r>
          </w:p>
        </w:tc>
        <w:tc>
          <w:tcPr>
            <w:tcW w:w="421" w:type="pct"/>
            <w:tcBorders>
              <w:top w:val="nil"/>
              <w:left w:val="nil"/>
              <w:bottom w:val="single" w:color="auto" w:sz="4" w:space="0"/>
              <w:right w:val="single" w:color="auto" w:sz="4" w:space="0"/>
            </w:tcBorders>
            <w:shd w:val="clear" w:color="000000" w:fill="FFFFFF"/>
            <w:vAlign w:val="center"/>
          </w:tcPr>
          <w:p w14:paraId="4F03BD42">
            <w:pPr>
              <w:keepNext w:val="0"/>
              <w:keepLines w:val="0"/>
              <w:widowControl/>
              <w:suppressLineNumbers w:val="0"/>
              <w:jc w:val="center"/>
              <w:textAlignment w:val="center"/>
              <w:rPr>
                <w:rFonts w:ascii="宋体" w:hAnsi="宋体" w:eastAsia="宋体" w:cs="宋体"/>
                <w:color w:val="auto"/>
              </w:rPr>
            </w:pPr>
            <w:r>
              <w:rPr>
                <w:rStyle w:val="6"/>
                <w:lang w:val="en-US" w:eastAsia="zh-CN" w:bidi="ar"/>
              </w:rPr>
              <w:t>卷烟负库存品规</w:t>
            </w:r>
          </w:p>
        </w:tc>
        <w:tc>
          <w:tcPr>
            <w:tcW w:w="434" w:type="pct"/>
            <w:tcBorders>
              <w:top w:val="nil"/>
              <w:left w:val="nil"/>
              <w:bottom w:val="single" w:color="auto" w:sz="4" w:space="0"/>
              <w:right w:val="single" w:color="auto" w:sz="4" w:space="0"/>
            </w:tcBorders>
            <w:shd w:val="clear" w:color="000000" w:fill="FFFFFF"/>
            <w:vAlign w:val="center"/>
          </w:tcPr>
          <w:p w14:paraId="1BE492C2">
            <w:pPr>
              <w:keepNext w:val="0"/>
              <w:keepLines w:val="0"/>
              <w:widowControl/>
              <w:suppressLineNumbers w:val="0"/>
              <w:jc w:val="center"/>
              <w:textAlignment w:val="center"/>
              <w:rPr>
                <w:rFonts w:hint="eastAsia" w:ascii="宋体" w:hAnsi="宋体" w:eastAsia="宋体" w:cs="宋体"/>
                <w:color w:val="auto"/>
                <w:lang w:eastAsia="zh-CN"/>
              </w:rPr>
            </w:pPr>
            <w:r>
              <w:rPr>
                <w:rFonts w:hint="eastAsia" w:ascii="宋体" w:hAnsi="宋体" w:eastAsia="宋体" w:cs="宋体"/>
                <w:i w:val="0"/>
                <w:iCs w:val="0"/>
                <w:color w:val="000000"/>
                <w:kern w:val="0"/>
                <w:sz w:val="22"/>
                <w:szCs w:val="22"/>
                <w:u w:val="none"/>
                <w:lang w:val="en-US" w:eastAsia="zh-CN" w:bidi="ar"/>
              </w:rPr>
              <w:t>5</w:t>
            </w:r>
          </w:p>
        </w:tc>
        <w:tc>
          <w:tcPr>
            <w:tcW w:w="1156" w:type="pct"/>
            <w:tcBorders>
              <w:top w:val="nil"/>
              <w:left w:val="nil"/>
              <w:bottom w:val="single" w:color="auto" w:sz="4" w:space="0"/>
              <w:right w:val="single" w:color="auto" w:sz="4" w:space="0"/>
            </w:tcBorders>
            <w:shd w:val="clear" w:color="000000" w:fill="FFFFFF"/>
            <w:vAlign w:val="center"/>
          </w:tcPr>
          <w:p w14:paraId="573CE6C3">
            <w:pPr>
              <w:keepNext w:val="0"/>
              <w:keepLines w:val="0"/>
              <w:widowControl/>
              <w:suppressLineNumbers w:val="0"/>
              <w:jc w:val="both"/>
              <w:textAlignment w:val="center"/>
              <w:rPr>
                <w:rFonts w:ascii="宋体" w:hAnsi="宋体" w:eastAsia="宋体" w:cs="宋体"/>
                <w:color w:val="auto"/>
              </w:rPr>
            </w:pPr>
            <w:r>
              <w:rPr>
                <w:rStyle w:val="6"/>
                <w:lang w:val="en-US" w:eastAsia="zh-CN" w:bidi="ar"/>
              </w:rPr>
              <w:t>指一个周期内，扫码出现负库存的卷烟品规数情况，用于评价客户是否存在期初库存录入不准确情况</w:t>
            </w:r>
          </w:p>
        </w:tc>
        <w:tc>
          <w:tcPr>
            <w:tcW w:w="2676" w:type="pct"/>
            <w:gridSpan w:val="2"/>
            <w:tcBorders>
              <w:top w:val="nil"/>
              <w:left w:val="nil"/>
              <w:bottom w:val="single" w:color="auto" w:sz="4" w:space="0"/>
              <w:right w:val="single" w:color="auto" w:sz="4" w:space="0"/>
            </w:tcBorders>
            <w:shd w:val="clear" w:color="000000" w:fill="FFFFFF"/>
            <w:vAlign w:val="center"/>
          </w:tcPr>
          <w:p w14:paraId="53CF6B7A">
            <w:pPr>
              <w:keepNext w:val="0"/>
              <w:keepLines w:val="0"/>
              <w:widowControl/>
              <w:suppressLineNumbers w:val="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无卷烟负库存品规的得5分；每出现一个负库存扣1分，扣完为止</w:t>
            </w:r>
          </w:p>
        </w:tc>
      </w:tr>
      <w:tr w14:paraId="4AE1664A">
        <w:tblPrEx>
          <w:tblCellMar>
            <w:top w:w="0" w:type="dxa"/>
            <w:left w:w="108" w:type="dxa"/>
            <w:bottom w:w="0" w:type="dxa"/>
            <w:right w:w="108" w:type="dxa"/>
          </w:tblCellMar>
        </w:tblPrEx>
        <w:trPr>
          <w:trHeight w:val="780" w:hRule="atLeast"/>
          <w:jc w:val="center"/>
        </w:trPr>
        <w:tc>
          <w:tcPr>
            <w:tcW w:w="310" w:type="pct"/>
            <w:tcBorders>
              <w:top w:val="nil"/>
              <w:left w:val="single" w:color="auto" w:sz="4" w:space="0"/>
              <w:bottom w:val="single" w:color="auto" w:sz="4" w:space="0"/>
              <w:right w:val="single" w:color="auto" w:sz="4" w:space="0"/>
            </w:tcBorders>
            <w:shd w:val="clear" w:color="000000" w:fill="FFFFFF"/>
            <w:vAlign w:val="center"/>
          </w:tcPr>
          <w:p w14:paraId="78280503">
            <w:pPr>
              <w:keepNext w:val="0"/>
              <w:keepLines w:val="0"/>
              <w:widowControl/>
              <w:suppressLineNumbers w:val="0"/>
              <w:jc w:val="center"/>
              <w:textAlignment w:val="center"/>
              <w:rPr>
                <w:rFonts w:ascii="宋体" w:hAnsi="宋体" w:eastAsia="宋体" w:cs="宋体"/>
                <w:color w:val="auto"/>
              </w:rPr>
            </w:pPr>
            <w:r>
              <w:rPr>
                <w:rFonts w:hint="eastAsia" w:ascii="宋体" w:hAnsi="宋体" w:eastAsia="宋体" w:cs="宋体"/>
                <w:i w:val="0"/>
                <w:iCs w:val="0"/>
                <w:color w:val="000000"/>
                <w:kern w:val="0"/>
                <w:sz w:val="22"/>
                <w:szCs w:val="22"/>
                <w:u w:val="none"/>
                <w:lang w:val="en-US" w:eastAsia="zh-CN" w:bidi="ar"/>
              </w:rPr>
              <w:t>6</w:t>
            </w:r>
          </w:p>
        </w:tc>
        <w:tc>
          <w:tcPr>
            <w:tcW w:w="421" w:type="pct"/>
            <w:tcBorders>
              <w:top w:val="nil"/>
              <w:left w:val="nil"/>
              <w:bottom w:val="single" w:color="auto" w:sz="4" w:space="0"/>
              <w:right w:val="single" w:color="auto" w:sz="4" w:space="0"/>
            </w:tcBorders>
            <w:shd w:val="clear" w:color="auto" w:fill="auto"/>
            <w:vAlign w:val="center"/>
          </w:tcPr>
          <w:p w14:paraId="0FBBEE49">
            <w:pPr>
              <w:keepNext w:val="0"/>
              <w:keepLines w:val="0"/>
              <w:widowControl/>
              <w:suppressLineNumbers w:val="0"/>
              <w:jc w:val="center"/>
              <w:textAlignment w:val="center"/>
              <w:rPr>
                <w:rFonts w:ascii="宋体" w:hAnsi="宋体" w:eastAsia="宋体" w:cs="宋体"/>
                <w:color w:val="auto"/>
              </w:rPr>
            </w:pPr>
            <w:r>
              <w:rPr>
                <w:rStyle w:val="6"/>
                <w:lang w:val="en-US" w:eastAsia="zh-CN" w:bidi="ar"/>
              </w:rPr>
              <w:t>店铺会员有消费记录</w:t>
            </w:r>
          </w:p>
        </w:tc>
        <w:tc>
          <w:tcPr>
            <w:tcW w:w="434" w:type="pct"/>
            <w:tcBorders>
              <w:top w:val="nil"/>
              <w:left w:val="nil"/>
              <w:bottom w:val="single" w:color="auto" w:sz="4" w:space="0"/>
              <w:right w:val="single" w:color="auto" w:sz="4" w:space="0"/>
            </w:tcBorders>
            <w:shd w:val="clear" w:color="auto" w:fill="auto"/>
            <w:vAlign w:val="center"/>
          </w:tcPr>
          <w:p w14:paraId="2E49EA82">
            <w:pPr>
              <w:keepNext w:val="0"/>
              <w:keepLines w:val="0"/>
              <w:widowControl/>
              <w:suppressLineNumbers w:val="0"/>
              <w:jc w:val="center"/>
              <w:textAlignment w:val="center"/>
              <w:rPr>
                <w:rFonts w:ascii="宋体" w:hAnsi="宋体" w:eastAsia="宋体" w:cs="宋体"/>
                <w:color w:val="auto"/>
              </w:rPr>
            </w:pPr>
            <w:r>
              <w:rPr>
                <w:rFonts w:hint="eastAsia" w:ascii="宋体" w:hAnsi="宋体" w:eastAsia="宋体" w:cs="宋体"/>
                <w:i w:val="0"/>
                <w:iCs w:val="0"/>
                <w:color w:val="000000"/>
                <w:kern w:val="0"/>
                <w:sz w:val="22"/>
                <w:szCs w:val="22"/>
                <w:u w:val="none"/>
                <w:lang w:val="en-US" w:eastAsia="zh-CN" w:bidi="ar"/>
              </w:rPr>
              <w:t>10</w:t>
            </w:r>
          </w:p>
        </w:tc>
        <w:tc>
          <w:tcPr>
            <w:tcW w:w="1156" w:type="pct"/>
            <w:tcBorders>
              <w:top w:val="nil"/>
              <w:left w:val="nil"/>
              <w:bottom w:val="single" w:color="auto" w:sz="4" w:space="0"/>
              <w:right w:val="single" w:color="auto" w:sz="4" w:space="0"/>
            </w:tcBorders>
            <w:shd w:val="clear" w:color="auto" w:fill="auto"/>
            <w:vAlign w:val="center"/>
          </w:tcPr>
          <w:p w14:paraId="5BF5ED0E">
            <w:pPr>
              <w:keepNext w:val="0"/>
              <w:keepLines w:val="0"/>
              <w:widowControl/>
              <w:suppressLineNumbers w:val="0"/>
              <w:jc w:val="both"/>
              <w:textAlignment w:val="center"/>
              <w:rPr>
                <w:rFonts w:hint="eastAsia" w:ascii="宋体" w:hAnsi="宋体" w:eastAsia="宋体" w:cs="宋体"/>
                <w:color w:val="auto"/>
                <w:lang w:eastAsia="zh-CN"/>
              </w:rPr>
            </w:pPr>
            <w:r>
              <w:rPr>
                <w:rStyle w:val="6"/>
                <w:lang w:val="en-US" w:eastAsia="zh-CN" w:bidi="ar"/>
              </w:rPr>
              <w:t>指一个周期内，有消费会员且有消费记录的情况</w:t>
            </w:r>
          </w:p>
        </w:tc>
        <w:tc>
          <w:tcPr>
            <w:tcW w:w="2676" w:type="pct"/>
            <w:gridSpan w:val="2"/>
            <w:tcBorders>
              <w:top w:val="nil"/>
              <w:left w:val="nil"/>
              <w:bottom w:val="single" w:color="auto" w:sz="4" w:space="0"/>
              <w:right w:val="single" w:color="auto" w:sz="4" w:space="0"/>
            </w:tcBorders>
            <w:shd w:val="clear" w:color="auto" w:fill="auto"/>
            <w:vAlign w:val="center"/>
          </w:tcPr>
          <w:p w14:paraId="10539BC7">
            <w:pPr>
              <w:keepNext w:val="0"/>
              <w:keepLines w:val="0"/>
              <w:widowControl/>
              <w:suppressLineNumbers w:val="0"/>
              <w:jc w:val="both"/>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无消费记录的，得0分；消费记录小于10的，得4分；每增加10笔加2分，最多得10分</w:t>
            </w:r>
          </w:p>
        </w:tc>
      </w:tr>
      <w:tr w14:paraId="471D305D">
        <w:tblPrEx>
          <w:tblCellMar>
            <w:top w:w="0" w:type="dxa"/>
            <w:left w:w="108" w:type="dxa"/>
            <w:bottom w:w="0" w:type="dxa"/>
            <w:right w:w="108" w:type="dxa"/>
          </w:tblCellMar>
        </w:tblPrEx>
        <w:trPr>
          <w:trHeight w:val="1524" w:hRule="atLeast"/>
          <w:jc w:val="center"/>
        </w:trPr>
        <w:tc>
          <w:tcPr>
            <w:tcW w:w="310" w:type="pct"/>
            <w:tcBorders>
              <w:top w:val="single" w:color="auto" w:sz="4" w:space="0"/>
              <w:left w:val="single" w:color="auto" w:sz="4" w:space="0"/>
              <w:bottom w:val="single" w:color="auto" w:sz="4" w:space="0"/>
              <w:right w:val="single" w:color="auto" w:sz="4" w:space="0"/>
            </w:tcBorders>
            <w:shd w:val="clear" w:color="000000" w:fill="FFFFFF"/>
            <w:vAlign w:val="center"/>
          </w:tcPr>
          <w:p w14:paraId="04E18B41">
            <w:pPr>
              <w:keepNext w:val="0"/>
              <w:keepLines w:val="0"/>
              <w:widowControl/>
              <w:suppressLineNumbers w:val="0"/>
              <w:jc w:val="center"/>
              <w:textAlignment w:val="center"/>
              <w:rPr>
                <w:rFonts w:ascii="宋体" w:hAnsi="宋体" w:eastAsia="宋体" w:cs="宋体"/>
                <w:color w:val="auto"/>
              </w:rPr>
            </w:pPr>
            <w:r>
              <w:rPr>
                <w:rFonts w:hint="eastAsia" w:ascii="宋体" w:hAnsi="宋体" w:eastAsia="宋体" w:cs="宋体"/>
                <w:i w:val="0"/>
                <w:iCs w:val="0"/>
                <w:color w:val="000000"/>
                <w:kern w:val="0"/>
                <w:sz w:val="22"/>
                <w:szCs w:val="22"/>
                <w:u w:val="none"/>
                <w:lang w:val="en-US" w:eastAsia="zh-CN" w:bidi="ar"/>
              </w:rPr>
              <w:t>7</w:t>
            </w:r>
          </w:p>
        </w:tc>
        <w:tc>
          <w:tcPr>
            <w:tcW w:w="421" w:type="pct"/>
            <w:tcBorders>
              <w:top w:val="single" w:color="auto" w:sz="4" w:space="0"/>
              <w:left w:val="single" w:color="auto" w:sz="4" w:space="0"/>
              <w:bottom w:val="single" w:color="auto" w:sz="4" w:space="0"/>
              <w:right w:val="single" w:color="auto" w:sz="4" w:space="0"/>
            </w:tcBorders>
            <w:shd w:val="clear" w:color="auto" w:fill="auto"/>
            <w:vAlign w:val="center"/>
          </w:tcPr>
          <w:p w14:paraId="61760CD1">
            <w:pPr>
              <w:keepNext w:val="0"/>
              <w:keepLines w:val="0"/>
              <w:widowControl/>
              <w:suppressLineNumbers w:val="0"/>
              <w:jc w:val="center"/>
              <w:textAlignment w:val="center"/>
              <w:rPr>
                <w:rFonts w:ascii="宋体" w:hAnsi="宋体" w:eastAsia="宋体" w:cs="宋体"/>
                <w:color w:val="auto"/>
              </w:rPr>
            </w:pPr>
            <w:r>
              <w:rPr>
                <w:rStyle w:val="6"/>
                <w:lang w:val="en-US" w:eastAsia="zh-CN" w:bidi="ar"/>
              </w:rPr>
              <w:t>开通“聚合支付”</w:t>
            </w:r>
          </w:p>
        </w:tc>
        <w:tc>
          <w:tcPr>
            <w:tcW w:w="434" w:type="pct"/>
            <w:tcBorders>
              <w:top w:val="single" w:color="auto" w:sz="4" w:space="0"/>
              <w:left w:val="single" w:color="auto" w:sz="4" w:space="0"/>
              <w:bottom w:val="single" w:color="auto" w:sz="4" w:space="0"/>
              <w:right w:val="single" w:color="auto" w:sz="4" w:space="0"/>
            </w:tcBorders>
            <w:shd w:val="clear" w:color="auto" w:fill="auto"/>
            <w:vAlign w:val="center"/>
          </w:tcPr>
          <w:p w14:paraId="74EF3727">
            <w:pPr>
              <w:keepNext w:val="0"/>
              <w:keepLines w:val="0"/>
              <w:widowControl/>
              <w:suppressLineNumbers w:val="0"/>
              <w:jc w:val="center"/>
              <w:textAlignment w:val="center"/>
              <w:rPr>
                <w:rFonts w:hint="default" w:ascii="宋体" w:hAnsi="宋体" w:eastAsia="宋体" w:cs="宋体"/>
                <w:color w:val="auto"/>
                <w:lang w:val="en-US" w:eastAsia="zh-CN"/>
              </w:rPr>
            </w:pPr>
            <w:r>
              <w:rPr>
                <w:rFonts w:hint="eastAsia" w:ascii="宋体" w:hAnsi="宋体" w:eastAsia="宋体" w:cs="宋体"/>
                <w:i w:val="0"/>
                <w:iCs w:val="0"/>
                <w:color w:val="000000"/>
                <w:kern w:val="0"/>
                <w:sz w:val="22"/>
                <w:szCs w:val="22"/>
                <w:u w:val="none"/>
                <w:lang w:val="en-US" w:eastAsia="zh-CN" w:bidi="ar"/>
              </w:rPr>
              <w:t>20</w:t>
            </w:r>
          </w:p>
        </w:tc>
        <w:tc>
          <w:tcPr>
            <w:tcW w:w="1156" w:type="pct"/>
            <w:tcBorders>
              <w:top w:val="single" w:color="auto" w:sz="4" w:space="0"/>
              <w:left w:val="single" w:color="auto" w:sz="4" w:space="0"/>
              <w:bottom w:val="single" w:color="auto" w:sz="4" w:space="0"/>
              <w:right w:val="single" w:color="auto" w:sz="4" w:space="0"/>
            </w:tcBorders>
            <w:shd w:val="clear" w:color="auto" w:fill="auto"/>
            <w:vAlign w:val="center"/>
          </w:tcPr>
          <w:p w14:paraId="18E73DDD">
            <w:pPr>
              <w:keepNext w:val="0"/>
              <w:keepLines w:val="0"/>
              <w:widowControl/>
              <w:suppressLineNumbers w:val="0"/>
              <w:jc w:val="both"/>
              <w:textAlignment w:val="center"/>
              <w:rPr>
                <w:rFonts w:hint="eastAsia" w:ascii="宋体" w:hAnsi="宋体" w:eastAsia="宋体" w:cs="宋体"/>
                <w:color w:val="auto"/>
                <w:lang w:eastAsia="zh-CN"/>
              </w:rPr>
            </w:pPr>
            <w:r>
              <w:rPr>
                <w:rStyle w:val="6"/>
                <w:lang w:val="en-US" w:eastAsia="zh-CN" w:bidi="ar"/>
              </w:rPr>
              <w:t>指一个周期内，云POS系统是否使用“聚合支付”功能</w:t>
            </w:r>
          </w:p>
        </w:tc>
        <w:tc>
          <w:tcPr>
            <w:tcW w:w="1330" w:type="pct"/>
            <w:tcBorders>
              <w:top w:val="single" w:color="auto" w:sz="4" w:space="0"/>
              <w:left w:val="single" w:color="auto" w:sz="4" w:space="0"/>
              <w:bottom w:val="single" w:color="auto" w:sz="4" w:space="0"/>
              <w:right w:val="single" w:color="auto" w:sz="4" w:space="0"/>
            </w:tcBorders>
            <w:shd w:val="clear" w:color="auto" w:fill="auto"/>
            <w:vAlign w:val="top"/>
          </w:tcPr>
          <w:p w14:paraId="09FDA285">
            <w:pPr>
              <w:keepNext w:val="0"/>
              <w:keepLines w:val="0"/>
              <w:widowControl/>
              <w:suppressLineNumbers w:val="0"/>
              <w:jc w:val="both"/>
              <w:textAlignment w:val="center"/>
              <w:rPr>
                <w:rFonts w:ascii="宋体" w:hAnsi="宋体" w:eastAsia="宋体" w:cs="宋体"/>
                <w:color w:val="auto"/>
              </w:rPr>
            </w:pPr>
            <w:r>
              <w:rPr>
                <w:rStyle w:val="6"/>
                <w:lang w:val="en-US" w:eastAsia="zh-CN" w:bidi="ar"/>
              </w:rPr>
              <w:br w:type="textWrapping"/>
            </w:r>
            <w:r>
              <w:rPr>
                <w:rStyle w:val="6"/>
                <w:lang w:val="en-US" w:eastAsia="zh-CN" w:bidi="ar"/>
              </w:rPr>
              <w:t>开通且交易笔数小于等于20笔的，得4分；每增加10笔加2分，最多得20分；</w:t>
            </w:r>
            <w:r>
              <w:rPr>
                <w:rStyle w:val="6"/>
                <w:lang w:val="en-US" w:eastAsia="zh-CN" w:bidi="ar"/>
              </w:rPr>
              <w:br w:type="textWrapping"/>
            </w:r>
          </w:p>
        </w:tc>
        <w:tc>
          <w:tcPr>
            <w:tcW w:w="1346" w:type="pct"/>
            <w:tcBorders>
              <w:top w:val="single" w:color="auto" w:sz="4" w:space="0"/>
              <w:left w:val="single" w:color="auto" w:sz="4" w:space="0"/>
              <w:bottom w:val="single" w:color="auto" w:sz="4" w:space="0"/>
              <w:right w:val="single" w:color="auto" w:sz="4" w:space="0"/>
            </w:tcBorders>
            <w:shd w:val="clear" w:color="auto" w:fill="auto"/>
            <w:vAlign w:val="center"/>
          </w:tcPr>
          <w:p w14:paraId="61FBA56C">
            <w:pPr>
              <w:keepNext w:val="0"/>
              <w:keepLines w:val="0"/>
              <w:widowControl/>
              <w:suppressLineNumbers w:val="0"/>
              <w:jc w:val="both"/>
              <w:textAlignment w:val="center"/>
              <w:rPr>
                <w:rStyle w:val="6"/>
                <w:lang w:val="en-US" w:eastAsia="zh-CN" w:bidi="ar"/>
              </w:rPr>
            </w:pPr>
            <w:r>
              <w:rPr>
                <w:rStyle w:val="6"/>
                <w:lang w:val="en-US" w:eastAsia="zh-CN" w:bidi="ar"/>
              </w:rPr>
              <w:t>未开通“聚合支付”或开通未使用的，得0分；开通且交易笔数小于等于20笔的，得4分；每增加5笔加2分，最多得20分；</w:t>
            </w:r>
          </w:p>
        </w:tc>
      </w:tr>
    </w:tbl>
    <w:tbl>
      <w:tblPr>
        <w:tblStyle w:val="4"/>
        <w:tblpPr w:leftFromText="180" w:rightFromText="180" w:vertAnchor="text" w:tblpX="10214" w:tblpY="-6267"/>
        <w:tblOverlap w:val="never"/>
        <w:tblW w:w="36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9"/>
      </w:tblGrid>
      <w:tr w14:paraId="00961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 w:hRule="atLeast"/>
        </w:trPr>
        <w:tc>
          <w:tcPr>
            <w:tcW w:w="5000" w:type="pct"/>
          </w:tcPr>
          <w:p w14:paraId="1D982FB6">
            <w:pPr>
              <w:widowControl w:val="0"/>
              <w:spacing w:line="360" w:lineRule="auto"/>
              <w:contextualSpacing/>
              <w:jc w:val="both"/>
              <w:rPr>
                <w:rFonts w:eastAsia="仿宋_GB2312" w:cs="宋体" w:asciiTheme="minorHAnsi" w:hAnsiTheme="minorHAnsi"/>
                <w:color w:val="auto"/>
                <w:sz w:val="32"/>
                <w:szCs w:val="30"/>
                <w:vertAlign w:val="baseline"/>
              </w:rPr>
            </w:pPr>
          </w:p>
        </w:tc>
      </w:tr>
    </w:tbl>
    <w:p w14:paraId="3514DBF7">
      <w:pPr>
        <w:spacing w:line="360" w:lineRule="auto"/>
        <w:contextualSpacing/>
        <w:rPr>
          <w:rFonts w:eastAsia="仿宋_GB2312" w:cs="宋体" w:asciiTheme="minorHAnsi" w:hAnsiTheme="minorHAnsi"/>
          <w:color w:val="auto"/>
          <w:sz w:val="32"/>
          <w:szCs w:val="30"/>
        </w:rPr>
      </w:pPr>
    </w:p>
    <w:p w14:paraId="2351F5F2">
      <w:pPr>
        <w:numPr>
          <w:ilvl w:val="0"/>
          <w:numId w:val="1"/>
        </w:numPr>
        <w:spacing w:line="360" w:lineRule="auto"/>
        <w:ind w:firstLine="640" w:firstLineChars="200"/>
        <w:contextualSpacing/>
        <w:rPr>
          <w:rFonts w:hint="eastAsia" w:eastAsia="仿宋_GB2312" w:cs="宋体" w:asciiTheme="minorHAnsi" w:hAnsiTheme="minorHAnsi"/>
          <w:color w:val="0000FF"/>
          <w:sz w:val="32"/>
          <w:szCs w:val="30"/>
          <w:lang w:val="en-US" w:eastAsia="zh-CN"/>
        </w:rPr>
      </w:pPr>
      <w:r>
        <w:rPr>
          <w:rFonts w:hint="eastAsia" w:eastAsia="仿宋_GB2312" w:cs="宋体" w:asciiTheme="minorHAnsi" w:hAnsiTheme="minorHAnsi"/>
          <w:color w:val="auto"/>
          <w:sz w:val="32"/>
          <w:szCs w:val="30"/>
          <w:lang w:val="en-US" w:eastAsia="zh-CN"/>
        </w:rPr>
        <w:t xml:space="preserve">  将账实相符率作为否决项纳入零售终端管理系统运行质量监测工作。</w:t>
      </w:r>
      <w:r>
        <w:rPr>
          <w:rFonts w:hint="eastAsia" w:eastAsia="仿宋_GB2312" w:cs="宋体" w:asciiTheme="minorHAnsi" w:hAnsiTheme="minorHAnsi"/>
          <w:color w:val="0000FF"/>
          <w:sz w:val="32"/>
          <w:szCs w:val="30"/>
          <w:lang w:val="en-US" w:eastAsia="zh-CN"/>
        </w:rPr>
        <w:t>县级营销部</w:t>
      </w:r>
      <w:bookmarkStart w:id="0" w:name="_GoBack"/>
      <w:bookmarkEnd w:id="0"/>
      <w:r>
        <w:rPr>
          <w:rFonts w:hint="eastAsia" w:eastAsia="仿宋_GB2312" w:cs="宋体" w:asciiTheme="minorHAnsi" w:hAnsiTheme="minorHAnsi"/>
          <w:color w:val="0000FF"/>
          <w:sz w:val="32"/>
          <w:szCs w:val="30"/>
          <w:lang w:val="en-US" w:eastAsia="zh-CN"/>
        </w:rPr>
        <w:t>每月抽查10名客户，每户随机选取三个卷烟品规，其中一个品规条包账实不符的为不合格；加盟终端抽查全商品库存吻合度（卷烟、非烟品规各三个），吻合率低于100%的为不合格。</w:t>
      </w:r>
    </w:p>
    <w:p w14:paraId="4D9E37E4">
      <w:pPr>
        <w:numPr>
          <w:numId w:val="0"/>
        </w:numPr>
        <w:spacing w:line="360" w:lineRule="auto"/>
        <w:ind w:firstLine="640" w:firstLineChars="200"/>
        <w:contextualSpacing/>
        <w:rPr>
          <w:rFonts w:hint="default" w:eastAsia="仿宋_GB2312" w:cs="宋体" w:asciiTheme="minorHAnsi" w:hAnsiTheme="minorHAnsi"/>
          <w:color w:val="auto"/>
          <w:sz w:val="32"/>
          <w:szCs w:val="30"/>
          <w:lang w:val="en-US" w:eastAsia="zh-CN"/>
        </w:rPr>
      </w:pPr>
      <w:r>
        <w:rPr>
          <w:rFonts w:hint="eastAsia" w:eastAsia="仿宋_GB2312" w:cs="宋体" w:asciiTheme="minorHAnsi" w:hAnsiTheme="minorHAnsi"/>
          <w:color w:val="auto"/>
          <w:sz w:val="32"/>
          <w:szCs w:val="30"/>
          <w:lang w:val="en-US" w:eastAsia="zh-CN"/>
        </w:rPr>
        <w:t>县级营销部每月填写《</w:t>
      </w:r>
      <w:r>
        <w:rPr>
          <w:rFonts w:hint="eastAsia" w:eastAsia="仿宋_GB2312" w:cs="宋体" w:asciiTheme="minorHAnsi" w:hAnsiTheme="minorHAnsi"/>
          <w:color w:val="auto"/>
          <w:sz w:val="32"/>
          <w:szCs w:val="30"/>
        </w:rPr>
        <w:t>零售终端管理系统</w:t>
      </w:r>
      <w:r>
        <w:rPr>
          <w:rFonts w:hint="eastAsia" w:eastAsia="仿宋_GB2312" w:cs="宋体" w:asciiTheme="minorHAnsi" w:hAnsiTheme="minorHAnsi"/>
          <w:color w:val="auto"/>
          <w:sz w:val="32"/>
          <w:szCs w:val="30"/>
          <w:lang w:val="en-US" w:eastAsia="zh-CN"/>
        </w:rPr>
        <w:t>月度评价表》（见附件1），加盖营销部公章后将扫描件上传</w:t>
      </w:r>
      <w:r>
        <w:rPr>
          <w:rFonts w:hint="eastAsia" w:ascii="仿宋_GB2312" w:eastAsia="仿宋_GB2312" w:cs="宋体" w:hAnsiTheme="minorHAnsi"/>
          <w:color w:val="auto"/>
          <w:sz w:val="32"/>
          <w:szCs w:val="30"/>
        </w:rPr>
        <w:t>市公司卷烟营销中心</w:t>
      </w:r>
      <w:r>
        <w:rPr>
          <w:rFonts w:hint="eastAsia" w:eastAsia="仿宋_GB2312" w:cs="宋体" w:asciiTheme="minorHAnsi" w:hAnsiTheme="minorHAnsi"/>
          <w:color w:val="auto"/>
          <w:sz w:val="32"/>
          <w:szCs w:val="30"/>
          <w:lang w:val="en-US" w:eastAsia="zh-CN"/>
        </w:rPr>
        <w:t>留存备查。卷烟营销中心每月根据工作安排对全市零售终端管理系统运行质量进行抽查，将抽查结果运用于批零网上配货。</w:t>
      </w:r>
    </w:p>
    <w:p w14:paraId="7B76B990">
      <w:pPr>
        <w:spacing w:line="360" w:lineRule="auto"/>
        <w:ind w:firstLine="640" w:firstLineChars="200"/>
        <w:contextualSpacing/>
        <w:rPr>
          <w:rFonts w:eastAsia="仿宋_GB2312" w:cs="宋体" w:asciiTheme="minorHAnsi" w:hAnsiTheme="minorHAnsi"/>
          <w:color w:val="auto"/>
          <w:sz w:val="32"/>
          <w:szCs w:val="30"/>
        </w:rPr>
      </w:pPr>
      <w:r>
        <w:rPr>
          <w:rFonts w:hint="eastAsia" w:eastAsia="仿宋_GB2312" w:cs="宋体" w:asciiTheme="minorHAnsi" w:hAnsiTheme="minorHAnsi"/>
          <w:color w:val="auto"/>
          <w:sz w:val="32"/>
          <w:szCs w:val="30"/>
          <w:lang w:eastAsia="zh-CN"/>
        </w:rPr>
        <w:t>第九条</w:t>
      </w:r>
      <w:r>
        <w:rPr>
          <w:rFonts w:hint="eastAsia" w:eastAsia="仿宋_GB2312" w:cs="宋体" w:asciiTheme="minorHAnsi" w:hAnsiTheme="minorHAnsi"/>
          <w:color w:val="auto"/>
          <w:sz w:val="32"/>
          <w:szCs w:val="30"/>
        </w:rPr>
        <w:t xml:space="preserve">    市公司</w:t>
      </w:r>
      <w:r>
        <w:rPr>
          <w:rFonts w:hint="eastAsia" w:ascii="仿宋_GB2312" w:eastAsia="仿宋_GB2312" w:cs="宋体" w:hAnsiTheme="minorHAnsi"/>
          <w:color w:val="auto"/>
          <w:sz w:val="32"/>
          <w:szCs w:val="30"/>
        </w:rPr>
        <w:t>卷烟营销中心</w:t>
      </w:r>
      <w:r>
        <w:rPr>
          <w:rFonts w:hint="eastAsia" w:eastAsia="仿宋_GB2312" w:cs="宋体" w:asciiTheme="minorHAnsi" w:hAnsiTheme="minorHAnsi"/>
          <w:color w:val="auto"/>
          <w:sz w:val="32"/>
          <w:szCs w:val="30"/>
        </w:rPr>
        <w:t>每周依据评价指标和评价标准计算</w:t>
      </w:r>
      <w:r>
        <w:rPr>
          <w:rFonts w:hint="eastAsia" w:eastAsia="仿宋_GB2312" w:cs="宋体" w:asciiTheme="minorHAnsi" w:hAnsiTheme="minorHAnsi"/>
          <w:color w:val="auto"/>
          <w:sz w:val="32"/>
          <w:szCs w:val="30"/>
          <w:lang w:val="en-US" w:eastAsia="zh-CN"/>
        </w:rPr>
        <w:t>全市</w:t>
      </w:r>
      <w:r>
        <w:rPr>
          <w:rFonts w:hint="eastAsia" w:eastAsia="仿宋_GB2312" w:cs="宋体" w:asciiTheme="minorHAnsi" w:hAnsiTheme="minorHAnsi"/>
          <w:color w:val="auto"/>
          <w:sz w:val="32"/>
          <w:szCs w:val="30"/>
        </w:rPr>
        <w:t>零售终端管理系统评分结果，并在工作专栏发布。</w:t>
      </w:r>
    </w:p>
    <w:p w14:paraId="14BED7EC">
      <w:pPr>
        <w:spacing w:line="360" w:lineRule="auto"/>
        <w:contextualSpacing/>
        <w:jc w:val="center"/>
        <w:rPr>
          <w:rFonts w:ascii="黑体" w:hAnsi="黑体" w:eastAsia="黑体" w:cs="黑体"/>
          <w:color w:val="auto"/>
          <w:kern w:val="2"/>
          <w:sz w:val="32"/>
          <w:szCs w:val="30"/>
        </w:rPr>
      </w:pPr>
      <w:r>
        <w:rPr>
          <w:rFonts w:hint="eastAsia" w:ascii="黑体" w:hAnsi="黑体" w:eastAsia="黑体" w:cs="黑体"/>
          <w:color w:val="auto"/>
          <w:kern w:val="2"/>
          <w:sz w:val="32"/>
          <w:szCs w:val="30"/>
        </w:rPr>
        <w:t>第四章    评分结果应用</w:t>
      </w:r>
    </w:p>
    <w:p w14:paraId="0B20957F">
      <w:pPr>
        <w:spacing w:line="360" w:lineRule="auto"/>
        <w:ind w:firstLine="640" w:firstLineChars="200"/>
        <w:contextualSpacing/>
        <w:rPr>
          <w:rFonts w:hint="eastAsia" w:ascii="仿宋_GB2312" w:eastAsia="仿宋_GB2312" w:cs="宋体" w:hAnsiTheme="minorHAnsi"/>
          <w:color w:val="auto"/>
          <w:sz w:val="32"/>
          <w:szCs w:val="30"/>
          <w:lang w:val="en-US" w:eastAsia="zh-CN"/>
        </w:rPr>
      </w:pPr>
      <w:r>
        <w:rPr>
          <w:rFonts w:hint="eastAsia" w:eastAsia="仿宋_GB2312" w:cs="宋体" w:asciiTheme="minorHAnsi" w:hAnsiTheme="minorHAnsi"/>
          <w:color w:val="auto"/>
          <w:sz w:val="32"/>
          <w:szCs w:val="30"/>
        </w:rPr>
        <w:t>第</w:t>
      </w:r>
      <w:r>
        <w:rPr>
          <w:rFonts w:hint="eastAsia" w:eastAsia="仿宋_GB2312" w:cs="宋体" w:asciiTheme="minorHAnsi" w:hAnsiTheme="minorHAnsi"/>
          <w:color w:val="auto"/>
          <w:sz w:val="32"/>
          <w:szCs w:val="30"/>
          <w:lang w:eastAsia="zh-CN"/>
        </w:rPr>
        <w:t>十</w:t>
      </w:r>
      <w:r>
        <w:rPr>
          <w:rFonts w:hint="eastAsia" w:eastAsia="仿宋_GB2312" w:cs="宋体" w:asciiTheme="minorHAnsi" w:hAnsiTheme="minorHAnsi"/>
          <w:color w:val="auto"/>
          <w:sz w:val="32"/>
          <w:szCs w:val="30"/>
        </w:rPr>
        <w:t>条    评分结果应用按月实施，月均评分</w:t>
      </w:r>
      <w:r>
        <w:rPr>
          <w:rFonts w:hint="eastAsia" w:ascii="仿宋_GB2312" w:eastAsia="仿宋_GB2312" w:cs="宋体" w:hAnsiTheme="minorHAnsi"/>
          <w:color w:val="auto"/>
          <w:sz w:val="32"/>
          <w:szCs w:val="30"/>
          <w:lang w:val="en-US" w:eastAsia="zh-CN"/>
        </w:rPr>
        <w:t>85分及以上的为优秀，</w:t>
      </w:r>
      <w:r>
        <w:rPr>
          <w:rFonts w:hint="eastAsia" w:ascii="仿宋_GB2312" w:eastAsia="仿宋_GB2312" w:cs="宋体" w:hAnsiTheme="minorHAnsi"/>
          <w:color w:val="auto"/>
          <w:sz w:val="32"/>
          <w:szCs w:val="30"/>
        </w:rPr>
        <w:t>当月</w:t>
      </w:r>
      <w:r>
        <w:rPr>
          <w:rFonts w:hint="eastAsia" w:ascii="仿宋_GB2312" w:eastAsia="仿宋_GB2312" w:cs="宋体" w:hAnsiTheme="minorHAnsi"/>
          <w:color w:val="auto"/>
          <w:sz w:val="32"/>
          <w:szCs w:val="30"/>
          <w:lang w:eastAsia="zh-CN"/>
        </w:rPr>
        <w:t>优秀</w:t>
      </w:r>
      <w:r>
        <w:rPr>
          <w:rFonts w:hint="eastAsia" w:ascii="仿宋_GB2312" w:eastAsia="仿宋_GB2312" w:cs="宋体" w:hAnsiTheme="minorHAnsi"/>
          <w:color w:val="auto"/>
          <w:sz w:val="32"/>
          <w:szCs w:val="30"/>
        </w:rPr>
        <w:t>客户可按流程申报批零网上配货</w:t>
      </w:r>
      <w:r>
        <w:rPr>
          <w:rFonts w:hint="eastAsia" w:ascii="仿宋_GB2312" w:eastAsia="仿宋_GB2312" w:cs="宋体" w:hAnsiTheme="minorHAnsi"/>
          <w:color w:val="auto"/>
          <w:sz w:val="32"/>
          <w:szCs w:val="30"/>
          <w:lang w:eastAsia="zh-CN"/>
        </w:rPr>
        <w:t>。</w:t>
      </w:r>
    </w:p>
    <w:p w14:paraId="657E6BD1">
      <w:pPr>
        <w:spacing w:line="360" w:lineRule="auto"/>
        <w:ind w:firstLine="640" w:firstLineChars="200"/>
        <w:contextualSpacing/>
        <w:rPr>
          <w:rFonts w:ascii="仿宋_GB2312" w:eastAsia="仿宋_GB2312" w:cs="宋体" w:hAnsiTheme="minorHAnsi"/>
          <w:color w:val="auto"/>
          <w:sz w:val="32"/>
          <w:szCs w:val="30"/>
        </w:rPr>
      </w:pPr>
      <w:r>
        <w:rPr>
          <w:rFonts w:hint="eastAsia" w:ascii="仿宋_GB2312" w:eastAsia="仿宋_GB2312" w:cs="宋体" w:hAnsiTheme="minorHAnsi"/>
          <w:color w:val="auto"/>
          <w:sz w:val="32"/>
          <w:szCs w:val="30"/>
          <w:lang w:val="en-US" w:eastAsia="zh-CN"/>
        </w:rPr>
        <w:t>第十一条  以年度为单位，每月评价结果均</w:t>
      </w:r>
      <w:r>
        <w:rPr>
          <w:rFonts w:hint="eastAsia" w:ascii="仿宋_GB2312" w:eastAsia="仿宋_GB2312" w:cs="宋体" w:hAnsiTheme="minorHAnsi"/>
          <w:color w:val="auto"/>
          <w:sz w:val="32"/>
          <w:szCs w:val="30"/>
          <w:lang w:eastAsia="zh-CN"/>
        </w:rPr>
        <w:t>为</w:t>
      </w:r>
      <w:r>
        <w:rPr>
          <w:rFonts w:hint="eastAsia" w:ascii="仿宋_GB2312" w:eastAsia="仿宋_GB2312" w:cs="宋体" w:hAnsiTheme="minorHAnsi"/>
          <w:color w:val="auto"/>
          <w:sz w:val="32"/>
          <w:szCs w:val="30"/>
          <w:lang w:val="en-US" w:eastAsia="zh-CN"/>
        </w:rPr>
        <w:t>优秀</w:t>
      </w:r>
      <w:r>
        <w:rPr>
          <w:rFonts w:hint="eastAsia" w:ascii="仿宋_GB2312" w:eastAsia="仿宋_GB2312" w:cs="宋体" w:hAnsiTheme="minorHAnsi"/>
          <w:color w:val="auto"/>
          <w:sz w:val="32"/>
          <w:szCs w:val="30"/>
        </w:rPr>
        <w:t>的</w:t>
      </w:r>
      <w:r>
        <w:rPr>
          <w:rFonts w:hint="eastAsia" w:ascii="仿宋_GB2312" w:eastAsia="仿宋_GB2312" w:cs="宋体" w:hAnsiTheme="minorHAnsi"/>
          <w:color w:val="auto"/>
          <w:sz w:val="32"/>
          <w:szCs w:val="30"/>
          <w:lang w:val="en-US" w:eastAsia="zh-CN"/>
        </w:rPr>
        <w:t>客户</w:t>
      </w:r>
      <w:r>
        <w:rPr>
          <w:rFonts w:hint="eastAsia" w:ascii="仿宋_GB2312" w:eastAsia="仿宋_GB2312" w:cs="宋体" w:hAnsiTheme="minorHAnsi"/>
          <w:color w:val="auto"/>
          <w:sz w:val="32"/>
          <w:szCs w:val="30"/>
        </w:rPr>
        <w:t>，可享受店铺硬件提升优先权，包括改造门头店招、更换烟柜、配发推烟器等。</w:t>
      </w:r>
    </w:p>
    <w:p w14:paraId="709500F9">
      <w:pPr>
        <w:spacing w:line="360" w:lineRule="auto"/>
        <w:ind w:firstLine="640" w:firstLineChars="200"/>
        <w:contextualSpacing/>
        <w:rPr>
          <w:rFonts w:ascii="仿宋_GB2312" w:eastAsia="仿宋_GB2312" w:cs="宋体" w:hAnsiTheme="minorHAnsi"/>
          <w:color w:val="auto"/>
          <w:sz w:val="32"/>
          <w:szCs w:val="30"/>
        </w:rPr>
      </w:pPr>
      <w:r>
        <w:rPr>
          <w:rFonts w:hint="eastAsia" w:ascii="仿宋_GB2312" w:eastAsia="仿宋_GB2312" w:cs="宋体" w:hAnsiTheme="minorHAnsi"/>
          <w:color w:val="auto"/>
          <w:sz w:val="32"/>
          <w:szCs w:val="30"/>
        </w:rPr>
        <w:t>第十</w:t>
      </w:r>
      <w:r>
        <w:rPr>
          <w:rFonts w:hint="eastAsia" w:ascii="仿宋_GB2312" w:eastAsia="仿宋_GB2312" w:cs="宋体" w:hAnsiTheme="minorHAnsi"/>
          <w:color w:val="auto"/>
          <w:sz w:val="32"/>
          <w:szCs w:val="30"/>
          <w:lang w:eastAsia="zh-CN"/>
        </w:rPr>
        <w:t>二</w:t>
      </w:r>
      <w:r>
        <w:rPr>
          <w:rFonts w:hint="eastAsia" w:ascii="仿宋_GB2312" w:eastAsia="仿宋_GB2312" w:cs="宋体" w:hAnsiTheme="minorHAnsi"/>
          <w:color w:val="auto"/>
          <w:sz w:val="32"/>
          <w:szCs w:val="30"/>
        </w:rPr>
        <w:t xml:space="preserve">条  </w:t>
      </w:r>
      <w:r>
        <w:rPr>
          <w:rFonts w:hint="eastAsia" w:ascii="仿宋_GB2312" w:eastAsia="仿宋_GB2312" w:cs="宋体" w:hAnsiTheme="minorHAnsi"/>
          <w:color w:val="auto"/>
          <w:sz w:val="32"/>
          <w:szCs w:val="30"/>
          <w:lang w:val="en-US" w:eastAsia="zh-CN"/>
        </w:rPr>
        <w:t>批零网配</w:t>
      </w:r>
      <w:r>
        <w:rPr>
          <w:rFonts w:hint="eastAsia" w:ascii="仿宋_GB2312" w:eastAsia="仿宋_GB2312" w:cs="宋体" w:hAnsiTheme="minorHAnsi"/>
          <w:color w:val="auto"/>
          <w:sz w:val="32"/>
          <w:szCs w:val="30"/>
        </w:rPr>
        <w:t>申报流程：</w:t>
      </w:r>
    </w:p>
    <w:p w14:paraId="2061072E">
      <w:pPr>
        <w:spacing w:line="360" w:lineRule="auto"/>
        <w:ind w:firstLine="640" w:firstLineChars="200"/>
        <w:contextualSpacing/>
        <w:rPr>
          <w:rFonts w:ascii="仿宋_GB2312" w:hAnsi="仿宋_GB2312" w:eastAsia="仿宋_GB2312" w:cs="仿宋_GB2312"/>
          <w:color w:val="auto"/>
          <w:sz w:val="32"/>
          <w:szCs w:val="30"/>
        </w:rPr>
      </w:pPr>
      <w:r>
        <w:rPr>
          <w:rFonts w:hint="eastAsia" w:ascii="仿宋_GB2312" w:eastAsia="仿宋_GB2312" w:cs="宋体" w:hAnsiTheme="minorHAnsi"/>
          <w:color w:val="auto"/>
          <w:sz w:val="32"/>
          <w:szCs w:val="30"/>
        </w:rPr>
        <w:t>（一）市公司卷烟营销中心每周统一测算</w:t>
      </w:r>
      <w:r>
        <w:rPr>
          <w:rFonts w:hint="eastAsia" w:ascii="仿宋_GB2312" w:hAnsi="仿宋_GB2312" w:eastAsia="仿宋_GB2312" w:cs="仿宋_GB2312"/>
          <w:color w:val="auto"/>
          <w:sz w:val="32"/>
          <w:szCs w:val="30"/>
        </w:rPr>
        <w:t>并下发上一周零售终端管理系统评价指标得分情况，县级营销部对评分进行</w:t>
      </w:r>
      <w:r>
        <w:rPr>
          <w:rFonts w:hint="eastAsia" w:ascii="仿宋_GB2312" w:hAnsi="仿宋_GB2312" w:eastAsia="仿宋_GB2312" w:cs="仿宋_GB2312"/>
          <w:color w:val="auto"/>
          <w:sz w:val="32"/>
          <w:szCs w:val="30"/>
          <w:lang w:val="en-US" w:eastAsia="zh-CN"/>
        </w:rPr>
        <w:t>核对</w:t>
      </w:r>
      <w:r>
        <w:rPr>
          <w:rFonts w:hint="eastAsia" w:ascii="仿宋_GB2312" w:hAnsi="仿宋_GB2312" w:eastAsia="仿宋_GB2312" w:cs="仿宋_GB2312"/>
          <w:color w:val="auto"/>
          <w:sz w:val="32"/>
          <w:szCs w:val="30"/>
        </w:rPr>
        <w:t>，有异议的</w:t>
      </w:r>
      <w:r>
        <w:rPr>
          <w:rFonts w:hint="eastAsia" w:ascii="仿宋_GB2312" w:hAnsi="仿宋_GB2312" w:eastAsia="仿宋_GB2312" w:cs="仿宋_GB2312"/>
          <w:color w:val="auto"/>
          <w:sz w:val="32"/>
          <w:szCs w:val="30"/>
          <w:lang w:val="en-US" w:eastAsia="zh-CN"/>
        </w:rPr>
        <w:t>于当周</w:t>
      </w:r>
      <w:r>
        <w:rPr>
          <w:rFonts w:hint="eastAsia" w:ascii="仿宋_GB2312" w:hAnsi="仿宋_GB2312" w:eastAsia="仿宋_GB2312" w:cs="仿宋_GB2312"/>
          <w:color w:val="auto"/>
          <w:sz w:val="32"/>
          <w:szCs w:val="30"/>
        </w:rPr>
        <w:t>周五前向卷烟营销中心反馈。</w:t>
      </w:r>
    </w:p>
    <w:p w14:paraId="4CA357B7">
      <w:pPr>
        <w:numPr>
          <w:ilvl w:val="0"/>
          <w:numId w:val="2"/>
        </w:numPr>
        <w:spacing w:line="360" w:lineRule="auto"/>
        <w:ind w:firstLine="640" w:firstLineChars="200"/>
        <w:contextualSpacing/>
        <w:rPr>
          <w:rFonts w:ascii="仿宋_GB2312" w:eastAsia="仿宋_GB2312" w:cs="宋体" w:hAnsiTheme="minorHAnsi"/>
          <w:color w:val="auto"/>
          <w:sz w:val="32"/>
          <w:szCs w:val="30"/>
        </w:rPr>
      </w:pPr>
      <w:r>
        <w:rPr>
          <w:rFonts w:hint="eastAsia" w:ascii="仿宋_GB2312" w:eastAsia="仿宋_GB2312" w:cs="宋体" w:hAnsiTheme="minorHAnsi"/>
          <w:color w:val="auto"/>
          <w:sz w:val="32"/>
          <w:szCs w:val="30"/>
        </w:rPr>
        <w:t>市公司卷烟营销中心</w:t>
      </w:r>
      <w:r>
        <w:rPr>
          <w:rFonts w:hint="eastAsia" w:ascii="仿宋_GB2312" w:eastAsia="仿宋_GB2312" w:cs="宋体" w:hAnsiTheme="minorHAnsi"/>
          <w:color w:val="auto"/>
          <w:sz w:val="32"/>
          <w:szCs w:val="30"/>
          <w:lang w:val="en-US" w:eastAsia="zh-CN"/>
        </w:rPr>
        <w:t>于</w:t>
      </w:r>
      <w:r>
        <w:rPr>
          <w:rFonts w:hint="eastAsia" w:ascii="仿宋_GB2312" w:eastAsia="仿宋_GB2312" w:cs="宋体" w:hAnsiTheme="minorHAnsi"/>
          <w:color w:val="auto"/>
          <w:sz w:val="32"/>
          <w:szCs w:val="30"/>
        </w:rPr>
        <w:t>每月第一周</w:t>
      </w:r>
      <w:r>
        <w:rPr>
          <w:rFonts w:hint="eastAsia" w:ascii="仿宋_GB2312" w:eastAsia="仿宋_GB2312" w:cs="宋体" w:hAnsiTheme="minorHAnsi"/>
          <w:color w:val="auto"/>
          <w:sz w:val="32"/>
          <w:szCs w:val="30"/>
          <w:lang w:val="en-US" w:eastAsia="zh-CN"/>
        </w:rPr>
        <w:t>下发</w:t>
      </w:r>
      <w:r>
        <w:rPr>
          <w:rFonts w:hint="eastAsia" w:ascii="仿宋_GB2312" w:eastAsia="仿宋_GB2312" w:cs="宋体" w:hAnsiTheme="minorHAnsi"/>
          <w:color w:val="auto"/>
          <w:sz w:val="32"/>
          <w:szCs w:val="30"/>
        </w:rPr>
        <w:t>上月</w:t>
      </w:r>
      <w:r>
        <w:rPr>
          <w:rFonts w:hint="eastAsia" w:eastAsia="仿宋_GB2312" w:cs="宋体" w:asciiTheme="minorHAnsi" w:hAnsiTheme="minorHAnsi"/>
          <w:color w:val="auto"/>
          <w:sz w:val="32"/>
          <w:szCs w:val="30"/>
          <w:lang w:val="en-US" w:eastAsia="zh-CN"/>
        </w:rPr>
        <w:t>周</w:t>
      </w:r>
      <w:r>
        <w:rPr>
          <w:rFonts w:hint="eastAsia" w:eastAsia="仿宋_GB2312" w:cs="宋体" w:asciiTheme="minorHAnsi" w:hAnsiTheme="minorHAnsi"/>
          <w:color w:val="auto"/>
          <w:sz w:val="32"/>
          <w:szCs w:val="30"/>
        </w:rPr>
        <w:t>均评分达</w:t>
      </w:r>
      <w:r>
        <w:rPr>
          <w:rFonts w:hint="eastAsia" w:ascii="仿宋_GB2312" w:eastAsia="仿宋_GB2312" w:cs="宋体" w:hAnsiTheme="minorHAnsi"/>
          <w:color w:val="auto"/>
          <w:sz w:val="32"/>
          <w:szCs w:val="30"/>
        </w:rPr>
        <w:t>到85分及以上客户名单，</w:t>
      </w:r>
      <w:r>
        <w:rPr>
          <w:rFonts w:hint="eastAsia" w:ascii="仿宋_GB2312" w:hAnsi="仿宋_GB2312" w:eastAsia="仿宋_GB2312" w:cs="仿宋_GB2312"/>
          <w:color w:val="auto"/>
          <w:sz w:val="32"/>
          <w:szCs w:val="30"/>
        </w:rPr>
        <w:t>县级营销部</w:t>
      </w:r>
      <w:r>
        <w:rPr>
          <w:rFonts w:hint="eastAsia" w:ascii="仿宋_GB2312" w:hAnsi="仿宋_GB2312" w:eastAsia="仿宋_GB2312" w:cs="仿宋_GB2312"/>
          <w:color w:val="auto"/>
          <w:sz w:val="32"/>
          <w:szCs w:val="30"/>
          <w:lang w:val="en-US" w:eastAsia="zh-CN"/>
        </w:rPr>
        <w:t>在排查停业、注销、违法违规等情况后，向市公司卷烟营销中心反馈排查结果，</w:t>
      </w:r>
      <w:r>
        <w:rPr>
          <w:rFonts w:hint="eastAsia" w:ascii="仿宋_GB2312" w:eastAsia="仿宋_GB2312" w:cs="宋体" w:hAnsiTheme="minorHAnsi"/>
          <w:color w:val="auto"/>
          <w:sz w:val="32"/>
          <w:szCs w:val="30"/>
        </w:rPr>
        <w:t>卷烟营销中心</w:t>
      </w:r>
      <w:r>
        <w:rPr>
          <w:rFonts w:hint="eastAsia" w:ascii="仿宋_GB2312" w:eastAsia="仿宋_GB2312" w:cs="宋体" w:hAnsiTheme="minorHAnsi"/>
          <w:color w:val="auto"/>
          <w:sz w:val="32"/>
          <w:szCs w:val="30"/>
          <w:lang w:val="en-US" w:eastAsia="zh-CN"/>
        </w:rPr>
        <w:t>结合各营销部排查结果和市县两级月度</w:t>
      </w:r>
      <w:r>
        <w:rPr>
          <w:rFonts w:hint="eastAsia" w:eastAsia="仿宋_GB2312" w:cs="宋体" w:asciiTheme="minorHAnsi" w:hAnsiTheme="minorHAnsi"/>
          <w:color w:val="auto"/>
          <w:sz w:val="32"/>
          <w:szCs w:val="30"/>
          <w:lang w:val="en-US" w:eastAsia="zh-CN"/>
        </w:rPr>
        <w:t>零售终端管理系统运行质量评价结果拟定网配客户名单，并</w:t>
      </w:r>
      <w:r>
        <w:rPr>
          <w:rFonts w:hint="eastAsia" w:ascii="仿宋_GB2312" w:hAnsi="仿宋_GB2312" w:eastAsia="仿宋_GB2312" w:cs="仿宋_GB2312"/>
          <w:color w:val="auto"/>
          <w:sz w:val="32"/>
          <w:szCs w:val="30"/>
        </w:rPr>
        <w:t>在政务公开网中进行公示，公示期三天。</w:t>
      </w:r>
    </w:p>
    <w:p w14:paraId="16C78D6F">
      <w:pPr>
        <w:numPr>
          <w:ilvl w:val="0"/>
          <w:numId w:val="2"/>
        </w:numPr>
        <w:spacing w:line="360" w:lineRule="auto"/>
        <w:ind w:firstLine="640" w:firstLineChars="200"/>
        <w:contextualSpacing/>
        <w:rPr>
          <w:rFonts w:ascii="仿宋_GB2312" w:eastAsia="仿宋_GB2312" w:cs="宋体" w:hAnsiTheme="minorHAnsi"/>
          <w:color w:val="auto"/>
          <w:sz w:val="32"/>
          <w:szCs w:val="30"/>
        </w:rPr>
      </w:pPr>
      <w:r>
        <w:rPr>
          <w:rFonts w:hint="eastAsia" w:ascii="仿宋_GB2312" w:hAnsi="仿宋_GB2312" w:eastAsia="仿宋_GB2312" w:cs="仿宋_GB2312"/>
          <w:color w:val="auto"/>
          <w:sz w:val="32"/>
          <w:szCs w:val="32"/>
        </w:rPr>
        <w:t>公示期内收到异议的，</w:t>
      </w:r>
      <w:r>
        <w:rPr>
          <w:rFonts w:hint="eastAsia" w:ascii="仿宋_GB2312" w:eastAsia="仿宋_GB2312" w:cs="宋体" w:hAnsiTheme="minorHAnsi"/>
          <w:color w:val="auto"/>
          <w:sz w:val="32"/>
          <w:szCs w:val="30"/>
        </w:rPr>
        <w:t>市公司卷烟营销中心</w:t>
      </w:r>
      <w:r>
        <w:rPr>
          <w:rFonts w:hint="eastAsia" w:ascii="仿宋_GB2312" w:hAnsi="仿宋_GB2312" w:eastAsia="仿宋_GB2312" w:cs="仿宋_GB2312"/>
          <w:color w:val="auto"/>
          <w:sz w:val="32"/>
          <w:szCs w:val="32"/>
        </w:rPr>
        <w:t>应重新审核，并向提出异议人员反馈重审结果；公示结束后县级营销部</w:t>
      </w:r>
      <w:r>
        <w:rPr>
          <w:rFonts w:hint="eastAsia" w:ascii="仿宋_GB2312" w:hAnsi="仿宋_GB2312" w:eastAsia="仿宋_GB2312" w:cs="仿宋_GB2312"/>
          <w:color w:val="auto"/>
          <w:sz w:val="32"/>
          <w:szCs w:val="30"/>
        </w:rPr>
        <w:t>填写《网上配货审批表》</w:t>
      </w:r>
      <w:r>
        <w:rPr>
          <w:rFonts w:hint="eastAsia" w:ascii="仿宋_GB2312" w:hAnsi="仿宋_GB2312" w:eastAsia="仿宋_GB2312" w:cs="仿宋_GB2312"/>
          <w:color w:val="auto"/>
          <w:sz w:val="32"/>
          <w:szCs w:val="30"/>
          <w:lang w:eastAsia="zh-CN"/>
        </w:rPr>
        <w:t>（</w:t>
      </w:r>
      <w:r>
        <w:rPr>
          <w:rFonts w:hint="eastAsia" w:ascii="仿宋_GB2312" w:hAnsi="仿宋_GB2312" w:eastAsia="仿宋_GB2312" w:cs="仿宋_GB2312"/>
          <w:color w:val="auto"/>
          <w:sz w:val="32"/>
          <w:szCs w:val="30"/>
          <w:lang w:val="en-US" w:eastAsia="zh-CN"/>
        </w:rPr>
        <w:t>见附件2</w:t>
      </w:r>
      <w:r>
        <w:rPr>
          <w:rFonts w:hint="eastAsia" w:ascii="仿宋_GB2312" w:hAnsi="仿宋_GB2312" w:eastAsia="仿宋_GB2312" w:cs="仿宋_GB2312"/>
          <w:color w:val="auto"/>
          <w:sz w:val="32"/>
          <w:szCs w:val="30"/>
          <w:lang w:eastAsia="zh-CN"/>
        </w:rPr>
        <w:t>）</w:t>
      </w:r>
      <w:r>
        <w:rPr>
          <w:rFonts w:hint="eastAsia" w:ascii="仿宋_GB2312" w:hAnsi="仿宋_GB2312" w:eastAsia="仿宋_GB2312" w:cs="仿宋_GB2312"/>
          <w:color w:val="auto"/>
          <w:sz w:val="32"/>
          <w:szCs w:val="30"/>
        </w:rPr>
        <w:t>留存备查</w:t>
      </w:r>
      <w:r>
        <w:rPr>
          <w:rFonts w:hint="eastAsia" w:ascii="仿宋_GB2312" w:hAnsi="仿宋_GB2312" w:eastAsia="仿宋_GB2312" w:cs="仿宋_GB2312"/>
          <w:color w:val="auto"/>
          <w:sz w:val="32"/>
          <w:szCs w:val="30"/>
          <w:lang w:eastAsia="zh-CN"/>
        </w:rPr>
        <w:t>，</w:t>
      </w:r>
      <w:r>
        <w:rPr>
          <w:rFonts w:hint="eastAsia" w:ascii="仿宋_GB2312" w:hAnsi="仿宋_GB2312" w:eastAsia="仿宋_GB2312" w:cs="仿宋_GB2312"/>
          <w:color w:val="auto"/>
          <w:sz w:val="32"/>
          <w:szCs w:val="30"/>
          <w:lang w:val="en-US" w:eastAsia="zh-CN"/>
        </w:rPr>
        <w:t>并及时将扫描件上报</w:t>
      </w:r>
      <w:r>
        <w:rPr>
          <w:rFonts w:hint="eastAsia" w:ascii="仿宋_GB2312" w:eastAsia="仿宋_GB2312" w:cs="宋体" w:hAnsiTheme="minorHAnsi"/>
          <w:color w:val="auto"/>
          <w:sz w:val="32"/>
          <w:szCs w:val="30"/>
        </w:rPr>
        <w:t>市公司卷烟</w:t>
      </w:r>
      <w:r>
        <w:rPr>
          <w:rFonts w:hint="eastAsia" w:ascii="仿宋_GB2312" w:hAnsi="仿宋_GB2312" w:eastAsia="仿宋_GB2312" w:cs="仿宋_GB2312"/>
          <w:color w:val="auto"/>
          <w:sz w:val="32"/>
          <w:szCs w:val="30"/>
          <w:lang w:val="en-US" w:eastAsia="zh-CN"/>
        </w:rPr>
        <w:t>营销中心</w:t>
      </w:r>
      <w:r>
        <w:rPr>
          <w:rFonts w:hint="eastAsia" w:ascii="仿宋_GB2312" w:hAnsi="仿宋_GB2312" w:eastAsia="仿宋_GB2312" w:cs="仿宋_GB2312"/>
          <w:color w:val="auto"/>
          <w:sz w:val="32"/>
          <w:szCs w:val="30"/>
        </w:rPr>
        <w:t>。</w:t>
      </w:r>
    </w:p>
    <w:p w14:paraId="765163C7">
      <w:pPr>
        <w:numPr>
          <w:ilvl w:val="0"/>
          <w:numId w:val="2"/>
        </w:numPr>
        <w:spacing w:line="360" w:lineRule="auto"/>
        <w:ind w:firstLine="640" w:firstLineChars="200"/>
        <w:contextualSpacing/>
        <w:rPr>
          <w:rFonts w:hint="eastAsia" w:ascii="仿宋_GB2312" w:eastAsia="仿宋_GB2312" w:cs="宋体" w:hAnsiTheme="minorHAnsi"/>
          <w:color w:val="auto"/>
          <w:sz w:val="32"/>
          <w:szCs w:val="30"/>
        </w:rPr>
      </w:pPr>
      <w:r>
        <w:rPr>
          <w:rFonts w:hint="eastAsia" w:ascii="仿宋_GB2312" w:eastAsia="仿宋_GB2312" w:cs="宋体" w:hAnsiTheme="minorHAnsi"/>
          <w:color w:val="auto"/>
          <w:sz w:val="32"/>
          <w:szCs w:val="30"/>
        </w:rPr>
        <w:t>市公司卷烟营销中心每月第一周周五前根据公示结果进行批零网上配货客户维护，该批客户从本月第二周至下月第一周内享受网上配货资格。</w:t>
      </w:r>
    </w:p>
    <w:p w14:paraId="51F88A88">
      <w:pPr>
        <w:numPr>
          <w:ilvl w:val="0"/>
          <w:numId w:val="3"/>
        </w:numPr>
        <w:spacing w:line="360" w:lineRule="auto"/>
        <w:ind w:firstLine="640" w:firstLineChars="200"/>
        <w:contextualSpacing/>
        <w:rPr>
          <w:rFonts w:hint="eastAsia" w:ascii="仿宋_GB2312" w:eastAsia="仿宋_GB2312" w:cs="宋体" w:hAnsiTheme="minorHAnsi"/>
          <w:color w:val="auto"/>
          <w:sz w:val="32"/>
          <w:szCs w:val="30"/>
        </w:rPr>
      </w:pPr>
      <w:r>
        <w:rPr>
          <w:rFonts w:hint="eastAsia" w:ascii="仿宋_GB2312" w:eastAsia="仿宋_GB2312" w:cs="宋体" w:hAnsiTheme="minorHAnsi"/>
          <w:color w:val="auto"/>
          <w:sz w:val="32"/>
          <w:szCs w:val="30"/>
        </w:rPr>
        <w:t xml:space="preserve"> 批零网上配货实行动态调整，月均评分低于85分</w:t>
      </w:r>
      <w:r>
        <w:rPr>
          <w:rFonts w:hint="eastAsia" w:ascii="仿宋_GB2312" w:eastAsia="仿宋_GB2312" w:cs="宋体" w:hAnsiTheme="minorHAnsi"/>
          <w:color w:val="auto"/>
          <w:sz w:val="32"/>
          <w:szCs w:val="30"/>
          <w:lang w:eastAsia="zh-CN"/>
        </w:rPr>
        <w:t>的</w:t>
      </w:r>
      <w:r>
        <w:rPr>
          <w:rFonts w:hint="eastAsia" w:ascii="仿宋_GB2312" w:eastAsia="仿宋_GB2312" w:cs="宋体" w:hAnsiTheme="minorHAnsi"/>
          <w:color w:val="auto"/>
          <w:sz w:val="32"/>
          <w:szCs w:val="30"/>
        </w:rPr>
        <w:t>，</w:t>
      </w:r>
      <w:r>
        <w:rPr>
          <w:rFonts w:hint="eastAsia" w:ascii="仿宋_GB2312" w:eastAsia="仿宋_GB2312" w:cs="宋体" w:hAnsiTheme="minorHAnsi"/>
          <w:color w:val="auto"/>
          <w:sz w:val="32"/>
          <w:szCs w:val="30"/>
          <w:lang w:val="en-US" w:eastAsia="zh-CN"/>
        </w:rPr>
        <w:t>市县两级</w:t>
      </w:r>
      <w:r>
        <w:rPr>
          <w:rFonts w:hint="eastAsia" w:eastAsia="仿宋_GB2312" w:cs="宋体" w:asciiTheme="minorHAnsi" w:hAnsiTheme="minorHAnsi"/>
          <w:color w:val="auto"/>
          <w:sz w:val="32"/>
          <w:szCs w:val="30"/>
          <w:lang w:val="en-US" w:eastAsia="zh-CN"/>
        </w:rPr>
        <w:t>月度评价抽查不合格的，取消下月批零网配资格，</w:t>
      </w:r>
      <w:r>
        <w:rPr>
          <w:rFonts w:hint="eastAsia" w:ascii="仿宋_GB2312" w:eastAsia="仿宋_GB2312" w:cs="宋体" w:hAnsiTheme="minorHAnsi"/>
          <w:color w:val="auto"/>
          <w:sz w:val="32"/>
          <w:szCs w:val="30"/>
        </w:rPr>
        <w:t>待符合</w:t>
      </w:r>
      <w:r>
        <w:rPr>
          <w:rFonts w:hint="eastAsia" w:ascii="仿宋_GB2312" w:eastAsia="仿宋_GB2312" w:cs="宋体" w:hAnsiTheme="minorHAnsi"/>
          <w:color w:val="auto"/>
          <w:sz w:val="32"/>
          <w:szCs w:val="30"/>
          <w:lang w:val="en-US" w:eastAsia="zh-CN"/>
        </w:rPr>
        <w:t>条件</w:t>
      </w:r>
      <w:r>
        <w:rPr>
          <w:rFonts w:hint="eastAsia" w:ascii="仿宋_GB2312" w:eastAsia="仿宋_GB2312" w:cs="宋体" w:hAnsiTheme="minorHAnsi"/>
          <w:color w:val="auto"/>
          <w:sz w:val="32"/>
          <w:szCs w:val="30"/>
        </w:rPr>
        <w:t>后</w:t>
      </w:r>
      <w:r>
        <w:rPr>
          <w:rFonts w:hint="eastAsia" w:ascii="仿宋_GB2312" w:eastAsia="仿宋_GB2312" w:cs="宋体" w:hAnsiTheme="minorHAnsi"/>
          <w:color w:val="auto"/>
          <w:sz w:val="32"/>
          <w:szCs w:val="30"/>
          <w:lang w:val="en-US" w:eastAsia="zh-CN"/>
        </w:rPr>
        <w:t>按照本办法</w:t>
      </w:r>
      <w:r>
        <w:rPr>
          <w:rFonts w:hint="eastAsia" w:ascii="仿宋_GB2312" w:eastAsia="仿宋_GB2312" w:cs="宋体" w:hAnsiTheme="minorHAnsi"/>
          <w:color w:val="auto"/>
          <w:sz w:val="32"/>
          <w:szCs w:val="30"/>
        </w:rPr>
        <w:t>第十条</w:t>
      </w:r>
      <w:r>
        <w:rPr>
          <w:rFonts w:hint="eastAsia" w:ascii="仿宋_GB2312" w:eastAsia="仿宋_GB2312" w:cs="宋体" w:hAnsiTheme="minorHAnsi"/>
          <w:color w:val="auto"/>
          <w:sz w:val="32"/>
          <w:szCs w:val="30"/>
          <w:lang w:val="en-US" w:eastAsia="zh-CN"/>
        </w:rPr>
        <w:t>所规定的</w:t>
      </w:r>
      <w:r>
        <w:rPr>
          <w:rFonts w:hint="eastAsia" w:ascii="仿宋_GB2312" w:eastAsia="仿宋_GB2312" w:cs="宋体" w:hAnsiTheme="minorHAnsi"/>
          <w:color w:val="auto"/>
          <w:sz w:val="32"/>
          <w:szCs w:val="30"/>
        </w:rPr>
        <w:t>流程进行申报、审批。</w:t>
      </w:r>
    </w:p>
    <w:p w14:paraId="0F84C6BF">
      <w:pPr>
        <w:spacing w:line="360" w:lineRule="auto"/>
        <w:ind w:firstLine="640" w:firstLineChars="200"/>
        <w:contextualSpacing/>
        <w:rPr>
          <w:rFonts w:ascii="仿宋_GB2312" w:eastAsia="仿宋_GB2312" w:cs="宋体" w:hAnsiTheme="minorHAnsi"/>
          <w:color w:val="auto"/>
          <w:sz w:val="32"/>
          <w:szCs w:val="30"/>
        </w:rPr>
      </w:pPr>
      <w:r>
        <w:rPr>
          <w:rFonts w:hint="eastAsia" w:ascii="仿宋_GB2312" w:eastAsia="仿宋_GB2312" w:cs="宋体" w:hAnsiTheme="minorHAnsi"/>
          <w:color w:val="auto"/>
          <w:sz w:val="32"/>
          <w:szCs w:val="30"/>
        </w:rPr>
        <w:t>第十</w:t>
      </w:r>
      <w:r>
        <w:rPr>
          <w:rFonts w:hint="eastAsia" w:ascii="仿宋_GB2312" w:eastAsia="仿宋_GB2312" w:cs="宋体" w:hAnsiTheme="minorHAnsi"/>
          <w:color w:val="auto"/>
          <w:sz w:val="32"/>
          <w:szCs w:val="30"/>
          <w:lang w:eastAsia="zh-CN"/>
        </w:rPr>
        <w:t>四</w:t>
      </w:r>
      <w:r>
        <w:rPr>
          <w:rFonts w:hint="eastAsia" w:ascii="仿宋_GB2312" w:eastAsia="仿宋_GB2312" w:cs="宋体" w:hAnsiTheme="minorHAnsi"/>
          <w:color w:val="auto"/>
          <w:sz w:val="32"/>
          <w:szCs w:val="30"/>
        </w:rPr>
        <w:t>条  市公司卷烟营销中心对批零网上配货客户</w:t>
      </w:r>
      <w:r>
        <w:rPr>
          <w:rFonts w:hint="eastAsia" w:ascii="仿宋_GB2312" w:eastAsia="仿宋_GB2312" w:cs="宋体" w:hAnsiTheme="minorHAnsi"/>
          <w:color w:val="auto"/>
          <w:sz w:val="32"/>
          <w:szCs w:val="30"/>
          <w:lang w:val="en-US" w:eastAsia="zh-CN"/>
        </w:rPr>
        <w:t>应用</w:t>
      </w:r>
      <w:r>
        <w:rPr>
          <w:rFonts w:hint="eastAsia" w:ascii="仿宋_GB2312" w:eastAsia="仿宋_GB2312" w:cs="宋体" w:hAnsiTheme="minorHAnsi"/>
          <w:color w:val="auto"/>
          <w:sz w:val="32"/>
          <w:szCs w:val="30"/>
        </w:rPr>
        <w:t>倍数货源投放方式，</w:t>
      </w:r>
      <w:r>
        <w:rPr>
          <w:rFonts w:hint="eastAsia" w:ascii="仿宋_GB2312" w:eastAsia="仿宋_GB2312" w:cs="宋体" w:hAnsiTheme="minorHAnsi"/>
          <w:color w:val="auto"/>
          <w:sz w:val="32"/>
          <w:szCs w:val="30"/>
          <w:lang w:eastAsia="zh-CN"/>
        </w:rPr>
        <w:t>部分品规</w:t>
      </w:r>
      <w:r>
        <w:rPr>
          <w:rFonts w:hint="eastAsia" w:ascii="仿宋_GB2312" w:eastAsia="仿宋_GB2312" w:cs="宋体" w:hAnsiTheme="minorHAnsi"/>
          <w:color w:val="auto"/>
          <w:sz w:val="32"/>
          <w:szCs w:val="30"/>
          <w:lang w:val="en-US" w:eastAsia="zh-CN"/>
        </w:rPr>
        <w:t>投放数量为同档位其他客户的</w:t>
      </w:r>
      <w:r>
        <w:rPr>
          <w:rFonts w:hint="eastAsia" w:ascii="仿宋_GB2312" w:eastAsia="仿宋_GB2312" w:cs="宋体" w:hAnsiTheme="minorHAnsi"/>
          <w:color w:val="auto"/>
          <w:sz w:val="32"/>
          <w:szCs w:val="30"/>
        </w:rPr>
        <w:t>1.</w:t>
      </w:r>
      <w:r>
        <w:rPr>
          <w:rFonts w:ascii="仿宋_GB2312" w:eastAsia="仿宋_GB2312" w:cs="宋体" w:hAnsiTheme="minorHAnsi"/>
          <w:color w:val="auto"/>
          <w:sz w:val="32"/>
          <w:szCs w:val="30"/>
        </w:rPr>
        <w:t>5</w:t>
      </w:r>
      <w:r>
        <w:rPr>
          <w:rFonts w:hint="eastAsia" w:ascii="仿宋_GB2312" w:eastAsia="仿宋_GB2312" w:cs="宋体" w:hAnsiTheme="minorHAnsi"/>
          <w:color w:val="auto"/>
          <w:sz w:val="32"/>
          <w:szCs w:val="30"/>
        </w:rPr>
        <w:t>倍，</w:t>
      </w:r>
      <w:r>
        <w:rPr>
          <w:rFonts w:hint="eastAsia" w:ascii="仿宋_GB2312" w:eastAsia="仿宋_GB2312" w:cs="宋体" w:hAnsiTheme="minorHAnsi"/>
          <w:color w:val="auto"/>
          <w:sz w:val="32"/>
          <w:szCs w:val="30"/>
          <w:lang w:eastAsia="zh-CN"/>
        </w:rPr>
        <w:t>具体</w:t>
      </w:r>
      <w:r>
        <w:rPr>
          <w:rFonts w:hint="eastAsia" w:ascii="仿宋_GB2312" w:eastAsia="仿宋_GB2312" w:cs="宋体" w:hAnsiTheme="minorHAnsi"/>
          <w:color w:val="auto"/>
          <w:sz w:val="32"/>
          <w:szCs w:val="30"/>
        </w:rPr>
        <w:t>品种</w:t>
      </w:r>
      <w:r>
        <w:rPr>
          <w:rFonts w:hint="eastAsia" w:ascii="仿宋_GB2312" w:eastAsia="仿宋_GB2312" w:cs="宋体" w:hAnsiTheme="minorHAnsi"/>
          <w:color w:val="auto"/>
          <w:sz w:val="32"/>
          <w:szCs w:val="30"/>
          <w:lang w:eastAsia="zh-CN"/>
        </w:rPr>
        <w:t>根据采购部货源情况确定</w:t>
      </w:r>
      <w:r>
        <w:rPr>
          <w:rFonts w:hint="eastAsia" w:ascii="仿宋_GB2312" w:eastAsia="仿宋_GB2312" w:cs="宋体" w:hAnsiTheme="minorHAnsi"/>
          <w:color w:val="auto"/>
          <w:sz w:val="32"/>
          <w:szCs w:val="30"/>
        </w:rPr>
        <w:t>。</w:t>
      </w:r>
    </w:p>
    <w:p w14:paraId="52FD8AAF">
      <w:pPr>
        <w:spacing w:line="360" w:lineRule="auto"/>
        <w:contextualSpacing/>
        <w:jc w:val="center"/>
        <w:rPr>
          <w:rFonts w:ascii="黑体" w:hAnsi="黑体" w:eastAsia="黑体" w:cs="黑体"/>
          <w:color w:val="auto"/>
          <w:kern w:val="2"/>
          <w:sz w:val="32"/>
          <w:szCs w:val="30"/>
        </w:rPr>
      </w:pPr>
      <w:r>
        <w:rPr>
          <w:rFonts w:hint="eastAsia" w:ascii="黑体" w:hAnsi="黑体" w:eastAsia="黑体" w:cs="黑体"/>
          <w:color w:val="auto"/>
          <w:kern w:val="2"/>
          <w:sz w:val="32"/>
          <w:szCs w:val="30"/>
        </w:rPr>
        <w:t>第五章    其他事项</w:t>
      </w:r>
    </w:p>
    <w:p w14:paraId="33CEE0A0">
      <w:pPr>
        <w:spacing w:line="360" w:lineRule="auto"/>
        <w:ind w:firstLine="640" w:firstLineChars="200"/>
        <w:contextualSpacing/>
        <w:rPr>
          <w:rFonts w:ascii="仿宋_GB2312" w:eastAsia="仿宋_GB2312" w:cs="宋体" w:hAnsiTheme="minorHAnsi"/>
          <w:color w:val="auto"/>
          <w:sz w:val="32"/>
          <w:szCs w:val="30"/>
        </w:rPr>
      </w:pPr>
      <w:r>
        <w:rPr>
          <w:rFonts w:hint="eastAsia" w:ascii="仿宋_GB2312" w:eastAsia="仿宋_GB2312" w:cs="宋体" w:hAnsiTheme="minorHAnsi"/>
          <w:color w:val="auto"/>
          <w:sz w:val="32"/>
          <w:szCs w:val="30"/>
        </w:rPr>
        <w:t>第十</w:t>
      </w:r>
      <w:r>
        <w:rPr>
          <w:rFonts w:hint="eastAsia" w:ascii="仿宋_GB2312" w:eastAsia="仿宋_GB2312" w:cs="宋体" w:hAnsiTheme="minorHAnsi"/>
          <w:color w:val="auto"/>
          <w:sz w:val="32"/>
          <w:szCs w:val="30"/>
          <w:lang w:eastAsia="zh-CN"/>
        </w:rPr>
        <w:t>五</w:t>
      </w:r>
      <w:r>
        <w:rPr>
          <w:rFonts w:hint="eastAsia" w:ascii="仿宋_GB2312" w:eastAsia="仿宋_GB2312" w:cs="宋体" w:hAnsiTheme="minorHAnsi"/>
          <w:color w:val="auto"/>
          <w:sz w:val="32"/>
          <w:szCs w:val="30"/>
        </w:rPr>
        <w:t>条  本办法自发布之日起施行，</w:t>
      </w:r>
      <w:r>
        <w:rPr>
          <w:rFonts w:hint="eastAsia" w:ascii="仿宋_GB2312" w:eastAsia="仿宋_GB2312" w:cs="宋体" w:hAnsiTheme="minorHAnsi"/>
          <w:color w:val="auto"/>
          <w:sz w:val="32"/>
          <w:szCs w:val="30"/>
          <w:lang w:val="en-US" w:eastAsia="zh-CN"/>
        </w:rPr>
        <w:t>如有其他</w:t>
      </w:r>
      <w:r>
        <w:rPr>
          <w:rFonts w:hint="eastAsia" w:ascii="仿宋_GB2312" w:eastAsia="仿宋_GB2312" w:cs="宋体" w:hAnsiTheme="minorHAnsi"/>
          <w:color w:val="auto"/>
          <w:sz w:val="32"/>
          <w:szCs w:val="30"/>
        </w:rPr>
        <w:t>文件</w:t>
      </w:r>
      <w:r>
        <w:rPr>
          <w:rFonts w:hint="eastAsia" w:ascii="仿宋_GB2312" w:eastAsia="仿宋_GB2312" w:cs="宋体" w:hAnsiTheme="minorHAnsi"/>
          <w:color w:val="auto"/>
          <w:sz w:val="32"/>
          <w:szCs w:val="30"/>
          <w:lang w:eastAsia="zh-CN"/>
        </w:rPr>
        <w:t>、</w:t>
      </w:r>
      <w:r>
        <w:rPr>
          <w:rFonts w:hint="eastAsia" w:ascii="仿宋_GB2312" w:eastAsia="仿宋_GB2312" w:cs="宋体" w:hAnsiTheme="minorHAnsi"/>
          <w:color w:val="auto"/>
          <w:sz w:val="32"/>
          <w:szCs w:val="30"/>
        </w:rPr>
        <w:t>规定与本办法不一致的，以本办法为准。</w:t>
      </w:r>
    </w:p>
    <w:p w14:paraId="3D3C7F1D">
      <w:pPr>
        <w:spacing w:line="360" w:lineRule="auto"/>
        <w:ind w:firstLine="640" w:firstLineChars="200"/>
        <w:contextualSpacing/>
        <w:rPr>
          <w:rFonts w:ascii="仿宋_GB2312" w:eastAsia="仿宋_GB2312" w:cs="宋体" w:hAnsiTheme="minorHAnsi"/>
          <w:color w:val="auto"/>
          <w:sz w:val="32"/>
          <w:szCs w:val="30"/>
        </w:rPr>
      </w:pPr>
      <w:r>
        <w:rPr>
          <w:rFonts w:hint="eastAsia" w:ascii="仿宋_GB2312" w:eastAsia="仿宋_GB2312" w:cs="宋体" w:hAnsiTheme="minorHAnsi"/>
          <w:color w:val="auto"/>
          <w:sz w:val="32"/>
          <w:szCs w:val="30"/>
        </w:rPr>
        <w:t>第十</w:t>
      </w:r>
      <w:r>
        <w:rPr>
          <w:rFonts w:hint="eastAsia" w:ascii="仿宋_GB2312" w:eastAsia="仿宋_GB2312" w:cs="宋体" w:hAnsiTheme="minorHAnsi"/>
          <w:color w:val="auto"/>
          <w:sz w:val="32"/>
          <w:szCs w:val="30"/>
          <w:lang w:eastAsia="zh-CN"/>
        </w:rPr>
        <w:t>六</w:t>
      </w:r>
      <w:r>
        <w:rPr>
          <w:rFonts w:hint="eastAsia" w:ascii="仿宋_GB2312" w:eastAsia="仿宋_GB2312" w:cs="宋体" w:hAnsiTheme="minorHAnsi"/>
          <w:color w:val="auto"/>
          <w:sz w:val="32"/>
          <w:szCs w:val="30"/>
        </w:rPr>
        <w:t>条  本办法由市公司卷烟营销中心负责解释。</w:t>
      </w:r>
    </w:p>
    <w:p w14:paraId="018A4E76">
      <w:pPr>
        <w:spacing w:line="360" w:lineRule="auto"/>
        <w:ind w:firstLine="640" w:firstLineChars="200"/>
        <w:contextualSpacing/>
        <w:rPr>
          <w:rFonts w:ascii="仿宋_GB2312" w:eastAsia="仿宋_GB2312" w:cs="宋体" w:hAnsiTheme="minorHAnsi"/>
          <w:color w:val="auto"/>
          <w:sz w:val="32"/>
          <w:szCs w:val="30"/>
        </w:rPr>
      </w:pPr>
    </w:p>
    <w:p w14:paraId="21E58A05">
      <w:pPr>
        <w:spacing w:line="360" w:lineRule="auto"/>
        <w:ind w:firstLine="640" w:firstLineChars="200"/>
        <w:contextualSpacing/>
        <w:rPr>
          <w:rFonts w:ascii="仿宋_GB2312" w:eastAsia="仿宋_GB2312" w:cs="宋体" w:hAnsiTheme="minorHAnsi"/>
          <w:color w:val="auto"/>
          <w:sz w:val="32"/>
          <w:szCs w:val="30"/>
        </w:rPr>
      </w:pPr>
    </w:p>
    <w:p w14:paraId="3D727721">
      <w:pPr>
        <w:spacing w:line="360" w:lineRule="auto"/>
        <w:ind w:firstLine="640" w:firstLineChars="200"/>
        <w:contextualSpacing/>
        <w:rPr>
          <w:rFonts w:hint="default" w:ascii="仿宋_GB2312" w:eastAsia="仿宋_GB2312" w:cs="宋体" w:hAnsiTheme="minorHAnsi"/>
          <w:color w:val="auto"/>
          <w:sz w:val="32"/>
          <w:szCs w:val="30"/>
          <w:lang w:val="en-US" w:eastAsia="zh-CN"/>
        </w:rPr>
      </w:pPr>
      <w:r>
        <w:rPr>
          <w:rFonts w:hint="eastAsia" w:ascii="仿宋_GB2312" w:eastAsia="仿宋_GB2312" w:cs="宋体" w:hAnsiTheme="minorHAnsi"/>
          <w:color w:val="auto"/>
          <w:sz w:val="32"/>
          <w:szCs w:val="30"/>
        </w:rPr>
        <w:t xml:space="preserve">                          202</w:t>
      </w:r>
      <w:r>
        <w:rPr>
          <w:rFonts w:hint="eastAsia" w:ascii="仿宋_GB2312" w:eastAsia="仿宋_GB2312" w:cs="宋体" w:hAnsiTheme="minorHAnsi"/>
          <w:color w:val="auto"/>
          <w:sz w:val="32"/>
          <w:szCs w:val="30"/>
          <w:lang w:val="en-US" w:eastAsia="zh-CN"/>
        </w:rPr>
        <w:t>4</w:t>
      </w:r>
      <w:r>
        <w:rPr>
          <w:rFonts w:hint="eastAsia" w:ascii="仿宋_GB2312" w:eastAsia="仿宋_GB2312" w:cs="宋体" w:hAnsiTheme="minorHAnsi"/>
          <w:color w:val="auto"/>
          <w:sz w:val="32"/>
          <w:szCs w:val="30"/>
        </w:rPr>
        <w:t>年</w:t>
      </w:r>
      <w:r>
        <w:rPr>
          <w:rFonts w:hint="eastAsia" w:ascii="仿宋_GB2312" w:eastAsia="仿宋_GB2312" w:cs="宋体" w:hAnsiTheme="minorHAnsi"/>
          <w:color w:val="auto"/>
          <w:sz w:val="32"/>
          <w:szCs w:val="30"/>
          <w:lang w:val="en-US" w:eastAsia="zh-CN"/>
        </w:rPr>
        <w:t>1</w:t>
      </w:r>
      <w:r>
        <w:rPr>
          <w:rFonts w:hint="eastAsia" w:ascii="仿宋_GB2312" w:eastAsia="仿宋_GB2312" w:cs="宋体" w:hAnsiTheme="minorHAnsi"/>
          <w:color w:val="auto"/>
          <w:sz w:val="32"/>
          <w:szCs w:val="30"/>
        </w:rPr>
        <w:t>月</w:t>
      </w:r>
      <w:r>
        <w:rPr>
          <w:rFonts w:hint="eastAsia" w:ascii="仿宋_GB2312" w:eastAsia="仿宋_GB2312" w:cs="宋体" w:hAnsiTheme="minorHAnsi"/>
          <w:color w:val="auto"/>
          <w:sz w:val="32"/>
          <w:szCs w:val="30"/>
          <w:lang w:val="en-US" w:eastAsia="zh-CN"/>
        </w:rPr>
        <w:t>9</w:t>
      </w:r>
      <w:r>
        <w:rPr>
          <w:rFonts w:hint="eastAsia" w:ascii="仿宋_GB2312" w:eastAsia="仿宋_GB2312" w:cs="宋体" w:hAnsiTheme="minorHAnsi"/>
          <w:color w:val="auto"/>
          <w:sz w:val="32"/>
          <w:szCs w:val="30"/>
        </w:rPr>
        <w:t>日</w:t>
      </w:r>
    </w:p>
    <w:sectPr>
      <w:footerReference r:id="rId4" w:type="default"/>
      <w:pgSz w:w="11906" w:h="16838"/>
      <w:pgMar w:top="2098" w:right="1474" w:bottom="1984" w:left="1587"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80F3C52" w:usb2="00000016" w:usb3="00000000" w:csb0="0004001F" w:csb1="00000000"/>
  </w:font>
  <w:font w:name="华文中宋">
    <w:panose1 w:val="02010600040101010101"/>
    <w:charset w:val="86"/>
    <w:family w:val="auto"/>
    <w:pitch w:val="default"/>
    <w:sig w:usb0="00000287" w:usb1="080F0000" w:usb2="00000000" w:usb3="00000000" w:csb0="0004009F" w:csb1="DFD70000"/>
  </w:font>
  <w:font w:name="仿宋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6364232"/>
    </w:sdtPr>
    <w:sdtContent>
      <w:p w14:paraId="1AB4490A">
        <w:pPr>
          <w:pStyle w:val="2"/>
          <w:jc w:val="center"/>
        </w:pPr>
        <w:r>
          <w:fldChar w:fldCharType="begin"/>
        </w:r>
        <w:r>
          <w:instrText xml:space="preserve"> PAGE   \* MERGEFORMAT </w:instrText>
        </w:r>
        <w:r>
          <w:fldChar w:fldCharType="separate"/>
        </w:r>
        <w:r>
          <w:rPr>
            <w:lang w:val="zh-CN"/>
          </w:rPr>
          <w:t>3</w:t>
        </w:r>
        <w:r>
          <w:rPr>
            <w:lang w:val="zh-CN"/>
          </w:rPr>
          <w:fldChar w:fldCharType="end"/>
        </w:r>
      </w:p>
    </w:sdtContent>
  </w:sdt>
  <w:p w14:paraId="49162B65">
    <w:pPr>
      <w:pStyle w:val="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D427E8"/>
    <w:multiLevelType w:val="singleLevel"/>
    <w:tmpl w:val="A6D427E8"/>
    <w:lvl w:ilvl="0" w:tentative="0">
      <w:start w:val="8"/>
      <w:numFmt w:val="chineseCounting"/>
      <w:suff w:val="space"/>
      <w:lvlText w:val="第%1条"/>
      <w:lvlJc w:val="left"/>
      <w:rPr>
        <w:rFonts w:hint="eastAsia"/>
      </w:rPr>
    </w:lvl>
  </w:abstractNum>
  <w:abstractNum w:abstractNumId="1">
    <w:nsid w:val="7910F72F"/>
    <w:multiLevelType w:val="singleLevel"/>
    <w:tmpl w:val="7910F72F"/>
    <w:lvl w:ilvl="0" w:tentative="0">
      <w:start w:val="2"/>
      <w:numFmt w:val="chineseCounting"/>
      <w:suff w:val="nothing"/>
      <w:lvlText w:val="（%1）"/>
      <w:lvlJc w:val="left"/>
      <w:rPr>
        <w:rFonts w:hint="eastAsia"/>
      </w:rPr>
    </w:lvl>
  </w:abstractNum>
  <w:abstractNum w:abstractNumId="2">
    <w:nsid w:val="7F0CEDC4"/>
    <w:multiLevelType w:val="singleLevel"/>
    <w:tmpl w:val="7F0CEDC4"/>
    <w:lvl w:ilvl="0" w:tentative="0">
      <w:start w:val="13"/>
      <w:numFmt w:val="chineseCounting"/>
      <w:suff w:val="space"/>
      <w:lvlText w:val="第%1条"/>
      <w:lvlJc w:val="left"/>
      <w:rPr>
        <w:rFonts w:hint="eastAsia"/>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E4YmViNjg3NTNkODVhMjI4MmRmOWI0YThlZDdhMzQifQ=="/>
    <w:docVar w:name="KSO_WPS_MARK_KEY" w:val="0d6be63d-7511-4030-b085-ab801d7d9075"/>
  </w:docVars>
  <w:rsids>
    <w:rsidRoot w:val="00000000"/>
    <w:rsid w:val="042E6207"/>
    <w:rsid w:val="053111C8"/>
    <w:rsid w:val="09CA7E31"/>
    <w:rsid w:val="0A0F5BAA"/>
    <w:rsid w:val="0A2559FD"/>
    <w:rsid w:val="0A997FA2"/>
    <w:rsid w:val="0B5331D2"/>
    <w:rsid w:val="0ECB20BE"/>
    <w:rsid w:val="0F4C5F6E"/>
    <w:rsid w:val="0FF25894"/>
    <w:rsid w:val="16E8757C"/>
    <w:rsid w:val="1C6356F8"/>
    <w:rsid w:val="1CB77429"/>
    <w:rsid w:val="21243D5D"/>
    <w:rsid w:val="21684D77"/>
    <w:rsid w:val="26737527"/>
    <w:rsid w:val="287969F0"/>
    <w:rsid w:val="2CCB2770"/>
    <w:rsid w:val="3170341A"/>
    <w:rsid w:val="31B914E1"/>
    <w:rsid w:val="32135D96"/>
    <w:rsid w:val="34EF4990"/>
    <w:rsid w:val="35E237C0"/>
    <w:rsid w:val="362514E5"/>
    <w:rsid w:val="373A29CC"/>
    <w:rsid w:val="37E947B2"/>
    <w:rsid w:val="380B4369"/>
    <w:rsid w:val="389308E0"/>
    <w:rsid w:val="389C77EA"/>
    <w:rsid w:val="3E102D87"/>
    <w:rsid w:val="3E4C2BB0"/>
    <w:rsid w:val="3F4A7E6C"/>
    <w:rsid w:val="40364EB6"/>
    <w:rsid w:val="41FE5EDC"/>
    <w:rsid w:val="423D1B28"/>
    <w:rsid w:val="42E65C49"/>
    <w:rsid w:val="43CD6976"/>
    <w:rsid w:val="442C432A"/>
    <w:rsid w:val="465810C1"/>
    <w:rsid w:val="46DE008C"/>
    <w:rsid w:val="4AF93D40"/>
    <w:rsid w:val="4D9828FA"/>
    <w:rsid w:val="4EC357AB"/>
    <w:rsid w:val="4EEB331A"/>
    <w:rsid w:val="4F0B69B3"/>
    <w:rsid w:val="50E00C97"/>
    <w:rsid w:val="51B05A3F"/>
    <w:rsid w:val="52BE22AC"/>
    <w:rsid w:val="586B131E"/>
    <w:rsid w:val="59C02DAD"/>
    <w:rsid w:val="5D413F6E"/>
    <w:rsid w:val="5DBC271A"/>
    <w:rsid w:val="5FFD1EE8"/>
    <w:rsid w:val="60487659"/>
    <w:rsid w:val="62227388"/>
    <w:rsid w:val="64764029"/>
    <w:rsid w:val="665D4880"/>
    <w:rsid w:val="67343FD3"/>
    <w:rsid w:val="67816F37"/>
    <w:rsid w:val="67935E87"/>
    <w:rsid w:val="67EB4657"/>
    <w:rsid w:val="68B56D0B"/>
    <w:rsid w:val="6C1D3C1E"/>
    <w:rsid w:val="6C445F94"/>
    <w:rsid w:val="6CA560D6"/>
    <w:rsid w:val="6D755A91"/>
    <w:rsid w:val="6D8A178F"/>
    <w:rsid w:val="6E135BD2"/>
    <w:rsid w:val="72C33AA1"/>
    <w:rsid w:val="75330306"/>
    <w:rsid w:val="75614B09"/>
    <w:rsid w:val="75940C9A"/>
    <w:rsid w:val="77C67389"/>
    <w:rsid w:val="797D43BF"/>
    <w:rsid w:val="79CD2C51"/>
    <w:rsid w:val="7B060D01"/>
    <w:rsid w:val="7BCF7EB2"/>
    <w:rsid w:val="7BED26CC"/>
    <w:rsid w:val="7F1408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after="200"/>
    </w:pPr>
    <w:rPr>
      <w:rFonts w:ascii="Tahoma" w:hAnsi="Tahoma" w:eastAsia="微软雅黑" w:cstheme="minorBidi"/>
      <w:sz w:val="22"/>
      <w:szCs w:val="22"/>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footer"/>
    <w:basedOn w:val="1"/>
    <w:unhideWhenUsed/>
    <w:qFormat/>
    <w:uiPriority w:val="99"/>
    <w:pPr>
      <w:tabs>
        <w:tab w:val="center" w:pos="4153"/>
        <w:tab w:val="right" w:pos="8306"/>
      </w:tabs>
    </w:pPr>
    <w:rPr>
      <w:sz w:val="18"/>
      <w:szCs w:val="18"/>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
    <w:name w:val="font01"/>
    <w:basedOn w:val="5"/>
    <w:qFormat/>
    <w:uiPriority w:val="0"/>
    <w:rPr>
      <w:rFonts w:hint="eastAsia" w:ascii="宋体" w:hAnsi="宋体" w:eastAsia="宋体" w:cs="宋体"/>
      <w:color w:val="000000"/>
      <w:sz w:val="22"/>
      <w:szCs w:val="22"/>
      <w:u w:val="none"/>
    </w:rPr>
  </w:style>
  <w:style w:type="character" w:customStyle="1" w:styleId="7">
    <w:name w:val="font11"/>
    <w:basedOn w:val="5"/>
    <w:qFormat/>
    <w:uiPriority w:val="0"/>
    <w:rPr>
      <w:rFonts w:hint="eastAsia" w:ascii="宋体" w:hAnsi="宋体" w:eastAsia="宋体" w:cs="宋体"/>
      <w:b/>
      <w:bCs/>
      <w:color w:val="000000"/>
      <w:sz w:val="22"/>
      <w:szCs w:val="22"/>
      <w:u w: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2673</Words>
  <Characters>2729</Characters>
  <Lines>0</Lines>
  <Paragraphs>0</Paragraphs>
  <TotalTime>13</TotalTime>
  <ScaleCrop>false</ScaleCrop>
  <LinksUpToDate>false</LinksUpToDate>
  <CharactersWithSpaces>2812</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2024-01-09T02:47:00Z</dcterms:created>
  <dc:creator>Administrator</dc:creator>
  <cp:lastModifiedBy>Rabbit</cp:lastModifiedBy>
  <dcterms:modified xsi:type="dcterms:W3CDTF">2025-04-01T03:51:42Z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12187804C35F4EB3B975DB34F64CFF02_12</vt:lpwstr>
  </property>
  <property fmtid="{D5CDD505-2E9C-101B-9397-08002B2CF9AE}" pid="4" name="KSOTemplateDocerSaveRecord">
    <vt:lpwstr>eyJoZGlkIjoiMzAzZTFhOWIzYzlmOGM1MGJjNGY3MjRlYjc4NDI3OTkiLCJ1c2VySWQiOiIyNzc0OTM5NjQifQ==</vt:lpwstr>
  </property>
</Properties>
</file>