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DC9C8" w14:textId="5A7BB36D" w:rsidR="006E5B51" w:rsidRDefault="006E5B51" w:rsidP="006E5B51">
      <w:pPr>
        <w:ind w:firstLine="560"/>
        <w:rPr>
          <w:rFonts w:ascii="Times New Roman" w:hAnsi="Times New Roman"/>
          <w:sz w:val="28"/>
        </w:rPr>
      </w:pPr>
      <w:r>
        <w:rPr>
          <w:rFonts w:ascii="Times New Roman" w:hAnsi="Times New Roman"/>
          <w:sz w:val="28"/>
        </w:rPr>
        <w:t>针对烟草零售终端扫码数据丰富但缺乏前瞻性预测预警能力的问题，提出基于</w:t>
      </w:r>
      <w:r>
        <w:rPr>
          <w:rFonts w:ascii="Times New Roman" w:hAnsi="Times New Roman"/>
          <w:sz w:val="28"/>
        </w:rPr>
        <w:t>LightGBM</w:t>
      </w:r>
      <w:r>
        <w:rPr>
          <w:rFonts w:ascii="Times New Roman" w:hAnsi="Times New Roman"/>
          <w:sz w:val="28"/>
        </w:rPr>
        <w:t>的时序预测框架，预测未来终端运行指标并量化零售终端运行风险，实现提前预警。以兴山县</w:t>
      </w:r>
      <w:r>
        <w:rPr>
          <w:rFonts w:ascii="Times New Roman" w:hAnsi="Times New Roman"/>
          <w:sz w:val="28"/>
        </w:rPr>
        <w:t>133</w:t>
      </w:r>
      <w:r>
        <w:rPr>
          <w:rFonts w:ascii="Times New Roman" w:hAnsi="Times New Roman"/>
          <w:sz w:val="28"/>
        </w:rPr>
        <w:t>家零售终端扫码数据为样本，将运维办法</w:t>
      </w:r>
      <w:r>
        <w:rPr>
          <w:rFonts w:ascii="Times New Roman" w:hAnsi="Times New Roman"/>
          <w:sz w:val="28"/>
        </w:rPr>
        <w:t>7</w:t>
      </w:r>
      <w:r>
        <w:rPr>
          <w:rFonts w:ascii="Times New Roman" w:hAnsi="Times New Roman"/>
          <w:sz w:val="28"/>
        </w:rPr>
        <w:t>项指标映射为</w:t>
      </w:r>
      <w:r>
        <w:rPr>
          <w:rFonts w:ascii="Times New Roman" w:hAnsi="Times New Roman"/>
          <w:sz w:val="28"/>
        </w:rPr>
        <w:t>14</w:t>
      </w:r>
      <w:r>
        <w:rPr>
          <w:rFonts w:ascii="Times New Roman" w:hAnsi="Times New Roman"/>
          <w:sz w:val="28"/>
        </w:rPr>
        <w:t>个预测目标，分别按</w:t>
      </w:r>
      <w:r>
        <w:rPr>
          <w:rFonts w:ascii="Times New Roman" w:hAnsi="Times New Roman"/>
          <w:sz w:val="28"/>
        </w:rPr>
        <w:t>3</w:t>
      </w:r>
      <w:r>
        <w:rPr>
          <w:rFonts w:ascii="Times New Roman" w:hAnsi="Times New Roman"/>
          <w:sz w:val="28"/>
        </w:rPr>
        <w:t>、</w:t>
      </w:r>
      <w:r>
        <w:rPr>
          <w:rFonts w:ascii="Times New Roman" w:hAnsi="Times New Roman"/>
          <w:sz w:val="28"/>
        </w:rPr>
        <w:t>5</w:t>
      </w:r>
      <w:r>
        <w:rPr>
          <w:rFonts w:ascii="Times New Roman" w:hAnsi="Times New Roman"/>
          <w:sz w:val="28"/>
        </w:rPr>
        <w:t>、</w:t>
      </w:r>
      <w:r>
        <w:rPr>
          <w:rFonts w:ascii="Times New Roman" w:hAnsi="Times New Roman"/>
          <w:sz w:val="28"/>
        </w:rPr>
        <w:t>7</w:t>
      </w:r>
      <w:r>
        <w:rPr>
          <w:rFonts w:ascii="Times New Roman" w:hAnsi="Times New Roman"/>
          <w:sz w:val="28"/>
        </w:rPr>
        <w:t>、</w:t>
      </w:r>
      <w:r>
        <w:rPr>
          <w:rFonts w:ascii="Times New Roman" w:hAnsi="Times New Roman"/>
          <w:sz w:val="28"/>
        </w:rPr>
        <w:t>15</w:t>
      </w:r>
      <w:r>
        <w:rPr>
          <w:rFonts w:ascii="Times New Roman" w:hAnsi="Times New Roman"/>
          <w:sz w:val="28"/>
        </w:rPr>
        <w:t>和</w:t>
      </w:r>
      <w:r>
        <w:rPr>
          <w:rFonts w:ascii="Times New Roman" w:hAnsi="Times New Roman"/>
          <w:sz w:val="28"/>
        </w:rPr>
        <w:t>30</w:t>
      </w:r>
      <w:r>
        <w:rPr>
          <w:rFonts w:ascii="Times New Roman" w:hAnsi="Times New Roman"/>
          <w:sz w:val="28"/>
        </w:rPr>
        <w:t>天五种时间窗口进行预测，以各窗口的上期和同期数据为特征训练模型，以</w:t>
      </w:r>
      <w:r>
        <w:rPr>
          <w:rFonts w:ascii="Times New Roman" w:hAnsi="Times New Roman"/>
          <w:sz w:val="28"/>
        </w:rPr>
        <w:t>LightGBM</w:t>
      </w:r>
      <w:r>
        <w:rPr>
          <w:rFonts w:ascii="Times New Roman" w:hAnsi="Times New Roman"/>
          <w:sz w:val="28"/>
        </w:rPr>
        <w:t>为主模型，对比随机森林、线性回归和简单基线四种模型。</w:t>
      </w:r>
      <w:r>
        <w:rPr>
          <w:rFonts w:ascii="Times New Roman" w:hAnsi="Times New Roman"/>
          <w:sz w:val="28"/>
        </w:rPr>
        <w:t>LightGBM</w:t>
      </w:r>
      <w:r>
        <w:rPr>
          <w:rFonts w:ascii="Times New Roman" w:hAnsi="Times New Roman"/>
          <w:sz w:val="28"/>
        </w:rPr>
        <w:t>在所有指标上均表现最优</w:t>
      </w:r>
      <w:r w:rsidR="00A95B0F">
        <w:rPr>
          <w:rFonts w:ascii="Times New Roman" w:hAnsi="Times New Roman" w:hint="eastAsia"/>
          <w:sz w:val="28"/>
        </w:rPr>
        <w:t>。</w:t>
      </w:r>
      <w:r>
        <w:rPr>
          <w:rFonts w:ascii="Times New Roman" w:hAnsi="Times New Roman"/>
          <w:sz w:val="28"/>
        </w:rPr>
        <w:t>构建</w:t>
      </w:r>
      <w:r>
        <w:rPr>
          <w:rFonts w:ascii="Times New Roman" w:hAnsi="Times New Roman"/>
          <w:sz w:val="28"/>
        </w:rPr>
        <w:t>0</w:t>
      </w:r>
      <w:r>
        <w:rPr>
          <w:rFonts w:ascii="Times New Roman" w:hAnsi="Times New Roman"/>
          <w:sz w:val="28"/>
        </w:rPr>
        <w:t>至</w:t>
      </w:r>
      <w:r>
        <w:rPr>
          <w:rFonts w:ascii="Times New Roman" w:hAnsi="Times New Roman"/>
          <w:sz w:val="28"/>
        </w:rPr>
        <w:t>100</w:t>
      </w:r>
      <w:r>
        <w:rPr>
          <w:rFonts w:ascii="Times New Roman" w:hAnsi="Times New Roman"/>
          <w:sz w:val="28"/>
        </w:rPr>
        <w:t>分零售终端运行风险评分四级预警机制，可预警终端经营下滑、扫码异常、支付萎缩等风险。本研究为烟草零售终端的运行监测、客户经理重点走访排序和客服部货源投放调整提供了数据驱动的决策支持。</w:t>
      </w:r>
    </w:p>
    <w:p w14:paraId="01DAA1BA" w14:textId="77777777" w:rsidR="00A13CA4" w:rsidRDefault="00A13CA4" w:rsidP="006E5B51">
      <w:pPr>
        <w:ind w:firstLine="560"/>
        <w:rPr>
          <w:rFonts w:ascii="Times New Roman" w:hAnsi="Times New Roman"/>
          <w:sz w:val="28"/>
        </w:rPr>
      </w:pPr>
    </w:p>
    <w:p w14:paraId="7C8ABDDD" w14:textId="77777777" w:rsidR="00A13CA4" w:rsidRDefault="00A13CA4" w:rsidP="006E5B51">
      <w:pPr>
        <w:ind w:firstLine="560"/>
        <w:rPr>
          <w:rFonts w:ascii="Times New Roman" w:hAnsi="Times New Roman"/>
          <w:sz w:val="28"/>
        </w:rPr>
      </w:pPr>
    </w:p>
    <w:p w14:paraId="55BE41FF" w14:textId="0343F89F" w:rsidR="00A13CA4" w:rsidRDefault="00A13CA4" w:rsidP="00A13CA4">
      <w:pPr>
        <w:ind w:firstLine="560"/>
      </w:pPr>
      <w:r>
        <w:rPr>
          <w:rFonts w:ascii="Times New Roman" w:hAnsi="Times New Roman"/>
          <w:sz w:val="28"/>
        </w:rPr>
        <w:t>针对烟草零售终端扫码数据丰富但缺乏前瞻性预测预警能力的问题，提出基于</w:t>
      </w:r>
      <w:r>
        <w:rPr>
          <w:rFonts w:ascii="Times New Roman" w:hAnsi="Times New Roman"/>
          <w:sz w:val="28"/>
        </w:rPr>
        <w:t>LightGBM</w:t>
      </w:r>
      <w:r>
        <w:rPr>
          <w:rFonts w:ascii="Times New Roman" w:hAnsi="Times New Roman"/>
          <w:sz w:val="28"/>
        </w:rPr>
        <w:t>的时序预测框架，预测未来终端运行指标并量化零售终端运行风险，实现提前预警。以兴山县</w:t>
      </w:r>
      <w:r>
        <w:rPr>
          <w:rFonts w:ascii="Times New Roman" w:hAnsi="Times New Roman"/>
          <w:sz w:val="28"/>
        </w:rPr>
        <w:t>133</w:t>
      </w:r>
      <w:r>
        <w:rPr>
          <w:rFonts w:ascii="Times New Roman" w:hAnsi="Times New Roman"/>
          <w:sz w:val="28"/>
        </w:rPr>
        <w:t>家零售终端扫码数据为样本，将运维办法</w:t>
      </w:r>
      <w:r>
        <w:rPr>
          <w:rFonts w:ascii="Times New Roman" w:hAnsi="Times New Roman"/>
          <w:sz w:val="28"/>
        </w:rPr>
        <w:t>7</w:t>
      </w:r>
      <w:r>
        <w:rPr>
          <w:rFonts w:ascii="Times New Roman" w:hAnsi="Times New Roman"/>
          <w:sz w:val="28"/>
        </w:rPr>
        <w:t>项指标映射为</w:t>
      </w:r>
      <w:r>
        <w:rPr>
          <w:rFonts w:ascii="Times New Roman" w:hAnsi="Times New Roman"/>
          <w:sz w:val="28"/>
        </w:rPr>
        <w:t>14</w:t>
      </w:r>
      <w:r>
        <w:rPr>
          <w:rFonts w:ascii="Times New Roman" w:hAnsi="Times New Roman"/>
          <w:sz w:val="28"/>
        </w:rPr>
        <w:t>个预测目标，分别按</w:t>
      </w:r>
      <w:r>
        <w:rPr>
          <w:rFonts w:ascii="Times New Roman" w:hAnsi="Times New Roman"/>
          <w:sz w:val="28"/>
        </w:rPr>
        <w:t>3</w:t>
      </w:r>
      <w:r>
        <w:rPr>
          <w:rFonts w:ascii="Times New Roman" w:hAnsi="Times New Roman"/>
          <w:sz w:val="28"/>
        </w:rPr>
        <w:t>、</w:t>
      </w:r>
      <w:r>
        <w:rPr>
          <w:rFonts w:ascii="Times New Roman" w:hAnsi="Times New Roman"/>
          <w:sz w:val="28"/>
        </w:rPr>
        <w:t>5</w:t>
      </w:r>
      <w:r>
        <w:rPr>
          <w:rFonts w:ascii="Times New Roman" w:hAnsi="Times New Roman"/>
          <w:sz w:val="28"/>
        </w:rPr>
        <w:t>、</w:t>
      </w:r>
      <w:r>
        <w:rPr>
          <w:rFonts w:ascii="Times New Roman" w:hAnsi="Times New Roman"/>
          <w:sz w:val="28"/>
        </w:rPr>
        <w:t>7</w:t>
      </w:r>
      <w:r>
        <w:rPr>
          <w:rFonts w:ascii="Times New Roman" w:hAnsi="Times New Roman"/>
          <w:sz w:val="28"/>
        </w:rPr>
        <w:t>、</w:t>
      </w:r>
      <w:r>
        <w:rPr>
          <w:rFonts w:ascii="Times New Roman" w:hAnsi="Times New Roman"/>
          <w:sz w:val="28"/>
        </w:rPr>
        <w:t>15</w:t>
      </w:r>
      <w:r>
        <w:rPr>
          <w:rFonts w:ascii="Times New Roman" w:hAnsi="Times New Roman"/>
          <w:sz w:val="28"/>
        </w:rPr>
        <w:t>和</w:t>
      </w:r>
      <w:r>
        <w:rPr>
          <w:rFonts w:ascii="Times New Roman" w:hAnsi="Times New Roman"/>
          <w:sz w:val="28"/>
        </w:rPr>
        <w:t>30</w:t>
      </w:r>
      <w:r>
        <w:rPr>
          <w:rFonts w:ascii="Times New Roman" w:hAnsi="Times New Roman"/>
          <w:sz w:val="28"/>
        </w:rPr>
        <w:t>天五种时间窗口进行预测，以各窗口的上期和同期数据为特征训练模型，以</w:t>
      </w:r>
      <w:r>
        <w:rPr>
          <w:rFonts w:ascii="Times New Roman" w:hAnsi="Times New Roman"/>
          <w:sz w:val="28"/>
        </w:rPr>
        <w:t>LightGBM</w:t>
      </w:r>
      <w:r>
        <w:rPr>
          <w:rFonts w:ascii="Times New Roman" w:hAnsi="Times New Roman"/>
          <w:sz w:val="28"/>
        </w:rPr>
        <w:t>为主模型，对比随机森林、线性回归和简单基线四种模型。</w:t>
      </w:r>
      <w:r>
        <w:rPr>
          <w:rFonts w:ascii="Times New Roman" w:hAnsi="Times New Roman"/>
          <w:sz w:val="28"/>
        </w:rPr>
        <w:t>LightGBM</w:t>
      </w:r>
      <w:r>
        <w:rPr>
          <w:rFonts w:ascii="Times New Roman" w:hAnsi="Times New Roman"/>
          <w:sz w:val="28"/>
        </w:rPr>
        <w:t>在所有指标上均表现最优，整体决定系数</w:t>
      </w:r>
      <w:r>
        <w:rPr>
          <w:rFonts w:ascii="Times New Roman" w:hAnsi="Times New Roman"/>
          <w:sz w:val="28"/>
        </w:rPr>
        <w:t>R²=0.933</w:t>
      </w:r>
      <w:r>
        <w:rPr>
          <w:rFonts w:ascii="Times New Roman" w:hAnsi="Times New Roman"/>
          <w:sz w:val="28"/>
        </w:rPr>
        <w:t>，其中日均扫码笔数</w:t>
      </w:r>
      <w:r>
        <w:rPr>
          <w:rFonts w:ascii="Times New Roman" w:hAnsi="Times New Roman"/>
          <w:sz w:val="28"/>
        </w:rPr>
        <w:t>R²=0.951</w:t>
      </w:r>
      <w:r>
        <w:rPr>
          <w:rFonts w:ascii="Times New Roman" w:hAnsi="Times New Roman"/>
          <w:sz w:val="28"/>
        </w:rPr>
        <w:t>、在线支付笔数</w:t>
      </w:r>
      <w:r>
        <w:rPr>
          <w:rFonts w:ascii="Times New Roman" w:hAnsi="Times New Roman"/>
          <w:sz w:val="28"/>
        </w:rPr>
        <w:t>R²=0.934</w:t>
      </w:r>
      <w:r>
        <w:rPr>
          <w:rFonts w:ascii="Times New Roman" w:hAnsi="Times New Roman"/>
          <w:sz w:val="28"/>
        </w:rPr>
        <w:t>；精确率</w:t>
      </w:r>
      <w:r>
        <w:rPr>
          <w:rFonts w:ascii="Times New Roman" w:hAnsi="Times New Roman"/>
          <w:sz w:val="28"/>
        </w:rPr>
        <w:t>-</w:t>
      </w:r>
      <w:r>
        <w:rPr>
          <w:rFonts w:ascii="Times New Roman" w:hAnsi="Times New Roman"/>
          <w:sz w:val="28"/>
        </w:rPr>
        <w:t>召回率曲线下面积（</w:t>
      </w:r>
      <w:r>
        <w:rPr>
          <w:rFonts w:ascii="Times New Roman" w:hAnsi="Times New Roman"/>
          <w:sz w:val="28"/>
        </w:rPr>
        <w:t>PR-AUC</w:t>
      </w:r>
      <w:r>
        <w:rPr>
          <w:rFonts w:ascii="Times New Roman" w:hAnsi="Times New Roman"/>
          <w:sz w:val="28"/>
        </w:rPr>
        <w:t>）达</w:t>
      </w:r>
      <w:r>
        <w:rPr>
          <w:rFonts w:ascii="Times New Roman" w:hAnsi="Times New Roman"/>
          <w:sz w:val="28"/>
        </w:rPr>
        <w:t>0.8030</w:t>
      </w:r>
      <w:r>
        <w:rPr>
          <w:rFonts w:ascii="Times New Roman" w:hAnsi="Times New Roman"/>
          <w:sz w:val="28"/>
        </w:rPr>
        <w:t>，</w:t>
      </w:r>
      <w:r>
        <w:rPr>
          <w:rFonts w:ascii="Times New Roman" w:hAnsi="Times New Roman"/>
          <w:sz w:val="28"/>
        </w:rPr>
        <w:t>ROC</w:t>
      </w:r>
      <w:r>
        <w:rPr>
          <w:rFonts w:ascii="Times New Roman" w:hAnsi="Times New Roman"/>
          <w:sz w:val="28"/>
        </w:rPr>
        <w:t>曲</w:t>
      </w:r>
      <w:r>
        <w:rPr>
          <w:rFonts w:ascii="Times New Roman" w:hAnsi="Times New Roman"/>
          <w:sz w:val="28"/>
        </w:rPr>
        <w:lastRenderedPageBreak/>
        <w:t>线下面积（</w:t>
      </w:r>
      <w:r>
        <w:rPr>
          <w:rFonts w:ascii="Times New Roman" w:hAnsi="Times New Roman"/>
          <w:sz w:val="28"/>
        </w:rPr>
        <w:t>ROC-AUC</w:t>
      </w:r>
      <w:r>
        <w:rPr>
          <w:rFonts w:ascii="Times New Roman" w:hAnsi="Times New Roman"/>
          <w:sz w:val="28"/>
        </w:rPr>
        <w:t>）达</w:t>
      </w:r>
      <w:r>
        <w:rPr>
          <w:rFonts w:ascii="Times New Roman" w:hAnsi="Times New Roman"/>
          <w:sz w:val="28"/>
        </w:rPr>
        <w:t>0.7853</w:t>
      </w:r>
      <w:r>
        <w:rPr>
          <w:rFonts w:ascii="Times New Roman" w:hAnsi="Times New Roman"/>
          <w:sz w:val="28"/>
        </w:rPr>
        <w:t>。构建</w:t>
      </w:r>
      <w:r>
        <w:rPr>
          <w:rFonts w:ascii="Times New Roman" w:hAnsi="Times New Roman"/>
          <w:sz w:val="28"/>
        </w:rPr>
        <w:t>0</w:t>
      </w:r>
      <w:r>
        <w:rPr>
          <w:rFonts w:ascii="Times New Roman" w:hAnsi="Times New Roman"/>
          <w:sz w:val="28"/>
        </w:rPr>
        <w:t>至</w:t>
      </w:r>
      <w:r>
        <w:rPr>
          <w:rFonts w:ascii="Times New Roman" w:hAnsi="Times New Roman"/>
          <w:sz w:val="28"/>
        </w:rPr>
        <w:t>100</w:t>
      </w:r>
      <w:r>
        <w:rPr>
          <w:rFonts w:ascii="Times New Roman" w:hAnsi="Times New Roman"/>
          <w:sz w:val="28"/>
        </w:rPr>
        <w:t>分零售终端运行风险评分四级预警机制，可预警终端经营下滑、扫码异常、账实不符等风险，为烟草零售终端的运行监测、客户经理重点走访排序和客服部货源投放调整提供了数据驱动的决策支持。</w:t>
      </w:r>
    </w:p>
    <w:p w14:paraId="0DB78D8E" w14:textId="77777777" w:rsidR="00A13CA4" w:rsidRPr="00A13CA4" w:rsidRDefault="00A13CA4" w:rsidP="006E5B51">
      <w:pPr>
        <w:ind w:firstLine="560"/>
        <w:rPr>
          <w:rFonts w:hint="eastAsia"/>
        </w:rPr>
      </w:pPr>
    </w:p>
    <w:p w14:paraId="766B09E8" w14:textId="77777777" w:rsidR="008A5A14" w:rsidRPr="006E5B51" w:rsidRDefault="008A5A14">
      <w:pPr>
        <w:rPr>
          <w:rFonts w:hint="eastAsia"/>
        </w:rPr>
      </w:pPr>
    </w:p>
    <w:sectPr w:rsidR="008A5A14" w:rsidRPr="006E5B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B9CEF" w14:textId="77777777" w:rsidR="00E3513A" w:rsidRDefault="00E3513A" w:rsidP="006E5B51">
      <w:pPr>
        <w:rPr>
          <w:rFonts w:hint="eastAsia"/>
        </w:rPr>
      </w:pPr>
      <w:r>
        <w:separator/>
      </w:r>
    </w:p>
  </w:endnote>
  <w:endnote w:type="continuationSeparator" w:id="0">
    <w:p w14:paraId="6648C695" w14:textId="77777777" w:rsidR="00E3513A" w:rsidRDefault="00E3513A" w:rsidP="006E5B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3CCCF" w14:textId="77777777" w:rsidR="00E3513A" w:rsidRDefault="00E3513A" w:rsidP="006E5B51">
      <w:pPr>
        <w:rPr>
          <w:rFonts w:hint="eastAsia"/>
        </w:rPr>
      </w:pPr>
      <w:r>
        <w:separator/>
      </w:r>
    </w:p>
  </w:footnote>
  <w:footnote w:type="continuationSeparator" w:id="0">
    <w:p w14:paraId="10DF39D7" w14:textId="77777777" w:rsidR="00E3513A" w:rsidRDefault="00E3513A" w:rsidP="006E5B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6BC"/>
    <w:rsid w:val="00235C44"/>
    <w:rsid w:val="002D33EE"/>
    <w:rsid w:val="004E225B"/>
    <w:rsid w:val="00556DAC"/>
    <w:rsid w:val="006746BC"/>
    <w:rsid w:val="006748B7"/>
    <w:rsid w:val="006E5B51"/>
    <w:rsid w:val="008A5A14"/>
    <w:rsid w:val="00945DA1"/>
    <w:rsid w:val="00A13CA4"/>
    <w:rsid w:val="00A95B0F"/>
    <w:rsid w:val="00B808A5"/>
    <w:rsid w:val="00E35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9E8696"/>
  <w15:chartTrackingRefBased/>
  <w15:docId w15:val="{95457B4E-55F1-4B60-808D-1E0BF2117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46B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46B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46B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46B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6746BC"/>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6746BC"/>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6746B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746B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746B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46B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46B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46B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46BC"/>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6746BC"/>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6746BC"/>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6746BC"/>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746BC"/>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746BC"/>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746B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46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46B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46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46BC"/>
    <w:pPr>
      <w:spacing w:before="160" w:after="160"/>
      <w:jc w:val="center"/>
    </w:pPr>
    <w:rPr>
      <w:i/>
      <w:iCs/>
      <w:color w:val="404040" w:themeColor="text1" w:themeTint="BF"/>
    </w:rPr>
  </w:style>
  <w:style w:type="character" w:customStyle="1" w:styleId="a8">
    <w:name w:val="引用 字符"/>
    <w:basedOn w:val="a0"/>
    <w:link w:val="a7"/>
    <w:uiPriority w:val="29"/>
    <w:rsid w:val="006746BC"/>
    <w:rPr>
      <w:i/>
      <w:iCs/>
      <w:color w:val="404040" w:themeColor="text1" w:themeTint="BF"/>
    </w:rPr>
  </w:style>
  <w:style w:type="paragraph" w:styleId="a9">
    <w:name w:val="List Paragraph"/>
    <w:basedOn w:val="a"/>
    <w:uiPriority w:val="34"/>
    <w:qFormat/>
    <w:rsid w:val="006746BC"/>
    <w:pPr>
      <w:ind w:left="720"/>
      <w:contextualSpacing/>
    </w:pPr>
  </w:style>
  <w:style w:type="character" w:styleId="aa">
    <w:name w:val="Intense Emphasis"/>
    <w:basedOn w:val="a0"/>
    <w:uiPriority w:val="21"/>
    <w:qFormat/>
    <w:rsid w:val="006746BC"/>
    <w:rPr>
      <w:i/>
      <w:iCs/>
      <w:color w:val="0F4761" w:themeColor="accent1" w:themeShade="BF"/>
    </w:rPr>
  </w:style>
  <w:style w:type="paragraph" w:styleId="ab">
    <w:name w:val="Intense Quote"/>
    <w:basedOn w:val="a"/>
    <w:next w:val="a"/>
    <w:link w:val="ac"/>
    <w:uiPriority w:val="30"/>
    <w:qFormat/>
    <w:rsid w:val="00674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46BC"/>
    <w:rPr>
      <w:i/>
      <w:iCs/>
      <w:color w:val="0F4761" w:themeColor="accent1" w:themeShade="BF"/>
    </w:rPr>
  </w:style>
  <w:style w:type="character" w:styleId="ad">
    <w:name w:val="Intense Reference"/>
    <w:basedOn w:val="a0"/>
    <w:uiPriority w:val="32"/>
    <w:qFormat/>
    <w:rsid w:val="006746BC"/>
    <w:rPr>
      <w:b/>
      <w:bCs/>
      <w:smallCaps/>
      <w:color w:val="0F4761" w:themeColor="accent1" w:themeShade="BF"/>
      <w:spacing w:val="5"/>
    </w:rPr>
  </w:style>
  <w:style w:type="paragraph" w:styleId="ae">
    <w:name w:val="header"/>
    <w:basedOn w:val="a"/>
    <w:link w:val="af"/>
    <w:uiPriority w:val="99"/>
    <w:unhideWhenUsed/>
    <w:rsid w:val="006E5B51"/>
    <w:pPr>
      <w:tabs>
        <w:tab w:val="center" w:pos="4153"/>
        <w:tab w:val="right" w:pos="8306"/>
      </w:tabs>
      <w:snapToGrid w:val="0"/>
      <w:jc w:val="center"/>
    </w:pPr>
    <w:rPr>
      <w:sz w:val="18"/>
      <w:szCs w:val="18"/>
    </w:rPr>
  </w:style>
  <w:style w:type="character" w:customStyle="1" w:styleId="af">
    <w:name w:val="页眉 字符"/>
    <w:basedOn w:val="a0"/>
    <w:link w:val="ae"/>
    <w:uiPriority w:val="99"/>
    <w:rsid w:val="006E5B51"/>
    <w:rPr>
      <w:sz w:val="18"/>
      <w:szCs w:val="18"/>
    </w:rPr>
  </w:style>
  <w:style w:type="paragraph" w:styleId="af0">
    <w:name w:val="footer"/>
    <w:basedOn w:val="a"/>
    <w:link w:val="af1"/>
    <w:uiPriority w:val="99"/>
    <w:unhideWhenUsed/>
    <w:rsid w:val="006E5B51"/>
    <w:pPr>
      <w:tabs>
        <w:tab w:val="center" w:pos="4153"/>
        <w:tab w:val="right" w:pos="8306"/>
      </w:tabs>
      <w:snapToGrid w:val="0"/>
      <w:jc w:val="left"/>
    </w:pPr>
    <w:rPr>
      <w:sz w:val="18"/>
      <w:szCs w:val="18"/>
    </w:rPr>
  </w:style>
  <w:style w:type="character" w:customStyle="1" w:styleId="af1">
    <w:name w:val="页脚 字符"/>
    <w:basedOn w:val="a0"/>
    <w:link w:val="af0"/>
    <w:uiPriority w:val="99"/>
    <w:rsid w:val="006E5B5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338</Words>
  <Characters>399</Characters>
  <Application>Microsoft Office Word</Application>
  <DocSecurity>0</DocSecurity>
  <Lines>23</Lines>
  <Paragraphs>23</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皮 竽 皮</dc:creator>
  <cp:keywords/>
  <dc:description/>
  <cp:lastModifiedBy>皮 竽 皮</cp:lastModifiedBy>
  <cp:revision>3</cp:revision>
  <dcterms:created xsi:type="dcterms:W3CDTF">2026-06-10T08:31:00Z</dcterms:created>
  <dcterms:modified xsi:type="dcterms:W3CDTF">2026-06-10T10:43:00Z</dcterms:modified>
</cp:coreProperties>
</file>