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jc w:val="center"/>
      </w:pPr>
      <w:r>
        <w:rPr>
          <w:rFonts w:eastAsia="黑体"/>
          <w:rFonts w:ascii="Times New Roman" w:hAnsi="Times New Roman"/>
          <w:b/>
          <w:sz w:val="36"/>
        </w:rPr>
        <w:t>基于LightGBM的零售终端时序预测与预警研究</w:t>
      </w:r>
    </w:p>
    <w:p>
      <w:pPr>
        <w:spacing w:line="360" w:lineRule="auto" w:before="0" w:after="0"/>
        <w:jc w:val="center"/>
      </w:pPr>
      <w:r>
        <w:rPr>
          <w:rFonts w:eastAsia="仿宋"/>
          <w:rFonts w:ascii="Times New Roman" w:hAnsi="Times New Roman"/>
          <w:b w:val="0"/>
          <w:sz w:val="28"/>
        </w:rPr>
        <w:t>余文杰</w:t>
      </w:r>
    </w:p>
    <w:p>
      <w:pPr>
        <w:spacing w:line="360" w:lineRule="auto" w:before="0" w:after="0"/>
        <w:jc w:val="center"/>
      </w:pPr>
      <w:r>
        <w:rPr>
          <w:rFonts w:eastAsia="宋体"/>
          <w:rFonts w:ascii="Times New Roman" w:hAnsi="Times New Roman"/>
          <w:b w:val="0"/>
          <w:sz w:val="24"/>
        </w:rPr>
        <w:t>湖北省烟草公司兴山县烟草专卖局（营销部），湖北宜昌 443000</w:t>
      </w:r>
    </w:p>
    <w:p>
      <w:pPr>
        <w:spacing w:line="360" w:lineRule="auto"/>
        <w:ind w:firstLine="560"/>
      </w:pPr>
      <w:r>
        <w:rPr>
          <w:rFonts w:eastAsia="宋体"/>
          <w:rFonts w:ascii="Times New Roman" w:hAnsi="Times New Roman"/>
          <w:b/>
          <w:sz w:val="28"/>
        </w:rPr>
        <w:t>摘要：</w:t>
      </w:r>
      <w:r>
        <w:rPr>
          <w:rFonts w:eastAsia="宋体"/>
          <w:rFonts w:ascii="Times New Roman" w:hAnsi="Times New Roman"/>
          <w:b w:val="0"/>
          <w:sz w:val="28"/>
        </w:rPr>
        <w:t>【背景和目的】针对烟草零售终端扫码数据丰富但缺乏前瞻性预测预警能力的问题，提出基于梯度提升决策树的时序预测框架，预测未来终端运行指标并量化零售终端运行风险，实现提前预警。【方法】以兴山县133家零售终端扫码数据为样本，将运维办法7项指标映射为14个预测目标，分别按3、5、7、15和30天五种时间窗口进行预测，以各窗口的上期和同期数据为特征训练模型，以梯度提升决策树为主模型，对比随机森林、线性回归和简单基线四种模型。【结果】（1）梯度提升决策树在所有指标上均表现最优，整体决定系数达0.933。（2）精确率-召回率曲线下面积达0.8030，受试者工作特征曲线下面积达0.7853，分类判别能力较强。（3）构建0至100分零售终端运行风险评分四级预警机制，可预警终端经营下滑、扫码异常、支付萎缩等风险。【结论】本研究为烟草零售终端的运行监测、客户经理重点走访排序和客服部货源投放调整提供了数据驱动的决策支持。</w:t>
      </w:r>
    </w:p>
    <w:p>
      <w:pPr>
        <w:spacing w:line="360" w:lineRule="auto"/>
      </w:pPr>
      <w:r>
        <w:rPr>
          <w:rFonts w:eastAsia="宋体"/>
          <w:rFonts w:ascii="Times New Roman" w:hAnsi="Times New Roman"/>
          <w:b/>
          <w:sz w:val="28"/>
        </w:rPr>
        <w:t>关键词：</w:t>
      </w:r>
      <w:r>
        <w:rPr>
          <w:rFonts w:eastAsia="宋体"/>
          <w:rFonts w:ascii="Times New Roman" w:hAnsi="Times New Roman"/>
          <w:b w:val="0"/>
          <w:sz w:val="28"/>
        </w:rPr>
        <w:t>LightGBM；随机森林；零售终端；时序预测；运行风险预警</w:t>
      </w:r>
    </w:p>
    <w:p>
      <w:pPr>
        <w:spacing w:line="360" w:lineRule="auto" w:before="0" w:after="120"/>
      </w:pPr>
      <w:r>
        <w:rPr>
          <w:rFonts w:eastAsia="黑体"/>
          <w:rFonts w:ascii="Times New Roman" w:hAnsi="Times New Roman"/>
          <w:b/>
          <w:sz w:val="28"/>
        </w:rPr>
        <w:t>0引言</w:t>
      </w:r>
    </w:p>
    <w:p>
      <w:pPr>
        <w:spacing w:line="360" w:lineRule="auto" w:before="0" w:after="0"/>
        <w:ind w:firstLine="560"/>
      </w:pPr>
      <w:r>
        <w:rPr>
          <w:rFonts w:eastAsia="宋体"/>
          <w:rFonts w:ascii="Times New Roman" w:hAnsi="Times New Roman"/>
          <w:b w:val="0"/>
          <w:sz w:val="28"/>
        </w:rPr>
        <w:t>湖北烟草"知音通"零售终端管理系统推广以来，兴山县零售终端积累了扫码记录、在线时长和聚合支付等多维度运行数据，为市场研判提供了数据基础[1]。现行运维管理办法建立了覆盖7项指标的周评价机制，满分100分，具体见表1。然而该机制基于已发生数据事后计算得分，无法回答下个周期指标如何变化、哪些终端存在潜在运行风险等问题。客户经理需走访较多终端，但缺乏量化排序依据，难以制定重点走访计划；客服部和营销中心同样缺乏前瞻性数据支撑，难以提前规划货源投放和排查策略。</w:t>
      </w:r>
    </w:p>
    <w:p>
      <w:pPr>
        <w:spacing w:line="360" w:lineRule="auto" w:before="0" w:after="40"/>
        <w:jc w:val="center"/>
      </w:pPr>
      <w:r>
        <w:rPr>
          <w:rFonts w:eastAsia="宋体"/>
          <w:rFonts w:ascii="Times New Roman" w:hAnsi="Times New Roman"/>
          <w:b w:val="0"/>
          <w:sz w:val="21"/>
        </w:rPr>
        <w:t>表1  运维管理办法7项考核指标</w:t>
      </w:r>
    </w:p>
    <w:tbl>
      <w:tblPr>
        <w:tblW w:type="auto" w:w="0"/>
        <w:jc w:val="center"/>
        <w:tblLook w:firstColumn="1" w:firstRow="1" w:lastColumn="0" w:lastRow="0" w:noHBand="0" w:noVBand="1" w:val="04A0"/>
        <w:tblBorders>
          <w:top w:val="single" w:sz="12" w:space="0" w:color="000000"/>
          <w:bottom w:val="single" w:sz="12" w:space="0" w:color="000000"/>
        </w:tblBorders>
      </w:tblPr>
      <w:tblGrid>
        <w:gridCol w:w="2161"/>
        <w:gridCol w:w="2161"/>
        <w:gridCol w:w="2161"/>
        <w:gridCol w:w="2161"/>
      </w:tblGrid>
      <w:tr>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21"/>
              </w:rPr>
              <w:t>指标编号</w:t>
            </w:r>
          </w:p>
        </w:tc>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21"/>
              </w:rPr>
              <w:t>指标名称</w:t>
            </w:r>
          </w:p>
        </w:tc>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21"/>
              </w:rPr>
              <w:t>分值</w:t>
            </w:r>
          </w:p>
        </w:tc>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21"/>
              </w:rPr>
              <w:t>说明</w:t>
            </w:r>
          </w:p>
        </w:tc>
      </w:tr>
      <w:tr>
        <w:tc>
          <w:tcPr>
            <w:tcW w:type="dxa" w:w="2161"/>
            <w:tcBorders/>
          </w:tcPr>
          <w:p>
            <w:pPr>
              <w:spacing w:before="20" w:after="20" w:line="288" w:lineRule="auto"/>
              <w:jc w:val="center"/>
            </w:pPr>
            <w:r/>
            <w:r>
              <w:rPr>
                <w:rFonts w:eastAsia="宋体"/>
                <w:rFonts w:ascii="Times New Roman" w:hAnsi="Times New Roman"/>
                <w:b w:val="0"/>
                <w:sz w:val="21"/>
              </w:rPr>
              <w:t>指标1</w:t>
            </w:r>
          </w:p>
        </w:tc>
        <w:tc>
          <w:tcPr>
            <w:tcW w:type="dxa" w:w="2161"/>
            <w:tcBorders/>
          </w:tcPr>
          <w:p>
            <w:pPr>
              <w:spacing w:before="20" w:after="20" w:line="288" w:lineRule="auto"/>
              <w:jc w:val="center"/>
            </w:pPr>
            <w:r/>
            <w:r>
              <w:rPr>
                <w:rFonts w:eastAsia="宋体"/>
                <w:rFonts w:ascii="Times New Roman" w:hAnsi="Times New Roman"/>
                <w:b w:val="0"/>
                <w:sz w:val="21"/>
              </w:rPr>
              <w:t>日均有效时段</w:t>
            </w:r>
          </w:p>
        </w:tc>
        <w:tc>
          <w:tcPr>
            <w:tcW w:type="dxa" w:w="2161"/>
            <w:tcBorders/>
          </w:tcPr>
          <w:p>
            <w:pPr>
              <w:spacing w:before="20" w:after="20" w:line="288" w:lineRule="auto"/>
              <w:jc w:val="center"/>
            </w:pPr>
            <w:r/>
            <w:r>
              <w:rPr>
                <w:rFonts w:eastAsia="宋体"/>
                <w:rFonts w:ascii="Times New Roman" w:hAnsi="Times New Roman"/>
                <w:b w:val="0"/>
                <w:sz w:val="21"/>
              </w:rPr>
              <w:t>15</w:t>
            </w:r>
          </w:p>
        </w:tc>
        <w:tc>
          <w:tcPr>
            <w:tcW w:type="dxa" w:w="2161"/>
            <w:tcBorders/>
          </w:tcPr>
          <w:p>
            <w:pPr>
              <w:spacing w:before="20" w:after="20" w:line="288" w:lineRule="auto"/>
              <w:jc w:val="center"/>
            </w:pPr>
            <w:r/>
            <w:r>
              <w:rPr>
                <w:rFonts w:eastAsia="宋体"/>
                <w:rFonts w:ascii="Times New Roman" w:hAnsi="Times New Roman"/>
                <w:b w:val="0"/>
                <w:sz w:val="21"/>
              </w:rPr>
              <w:t>扫码达8时段天数为准</w:t>
            </w:r>
          </w:p>
        </w:tc>
      </w:tr>
      <w:tr>
        <w:tc>
          <w:tcPr>
            <w:tcW w:type="dxa" w:w="2161"/>
            <w:tcBorders/>
          </w:tcPr>
          <w:p>
            <w:pPr>
              <w:spacing w:before="20" w:after="20" w:line="288" w:lineRule="auto"/>
              <w:jc w:val="center"/>
            </w:pPr>
            <w:r/>
            <w:r>
              <w:rPr>
                <w:rFonts w:eastAsia="宋体"/>
                <w:rFonts w:ascii="Times New Roman" w:hAnsi="Times New Roman"/>
                <w:b w:val="0"/>
                <w:sz w:val="21"/>
              </w:rPr>
              <w:t>指标2</w:t>
            </w:r>
          </w:p>
        </w:tc>
        <w:tc>
          <w:tcPr>
            <w:tcW w:type="dxa" w:w="2161"/>
            <w:tcBorders/>
          </w:tcPr>
          <w:p>
            <w:pPr>
              <w:spacing w:before="20" w:after="20" w:line="288" w:lineRule="auto"/>
              <w:jc w:val="center"/>
            </w:pPr>
            <w:r/>
            <w:r>
              <w:rPr>
                <w:rFonts w:eastAsia="宋体"/>
                <w:rFonts w:ascii="Times New Roman" w:hAnsi="Times New Roman"/>
                <w:b w:val="0"/>
                <w:sz w:val="21"/>
              </w:rPr>
              <w:t>有效销售天数</w:t>
            </w:r>
          </w:p>
        </w:tc>
        <w:tc>
          <w:tcPr>
            <w:tcW w:type="dxa" w:w="2161"/>
            <w:tcBorders/>
          </w:tcPr>
          <w:p>
            <w:pPr>
              <w:spacing w:before="20" w:after="20" w:line="288" w:lineRule="auto"/>
              <w:jc w:val="center"/>
            </w:pPr>
            <w:r/>
            <w:r>
              <w:rPr>
                <w:rFonts w:eastAsia="宋体"/>
                <w:rFonts w:ascii="Times New Roman" w:hAnsi="Times New Roman"/>
                <w:b w:val="0"/>
                <w:sz w:val="21"/>
              </w:rPr>
              <w:t>15</w:t>
            </w:r>
          </w:p>
        </w:tc>
        <w:tc>
          <w:tcPr>
            <w:tcW w:type="dxa" w:w="2161"/>
            <w:tcBorders/>
          </w:tcPr>
          <w:p>
            <w:pPr>
              <w:spacing w:before="20" w:after="20" w:line="288" w:lineRule="auto"/>
              <w:jc w:val="center"/>
            </w:pPr>
            <w:r/>
            <w:r>
              <w:rPr>
                <w:rFonts w:eastAsia="宋体"/>
                <w:rFonts w:ascii="Times New Roman" w:hAnsi="Times New Roman"/>
                <w:b w:val="0"/>
                <w:sz w:val="21"/>
              </w:rPr>
              <w:t>扫码天数/应在线天数</w:t>
            </w:r>
          </w:p>
        </w:tc>
      </w:tr>
      <w:tr>
        <w:tc>
          <w:tcPr>
            <w:tcW w:type="dxa" w:w="2161"/>
            <w:tcBorders/>
          </w:tcPr>
          <w:p>
            <w:pPr>
              <w:spacing w:before="20" w:after="20" w:line="288" w:lineRule="auto"/>
              <w:jc w:val="center"/>
            </w:pPr>
            <w:r/>
            <w:r>
              <w:rPr>
                <w:rFonts w:eastAsia="宋体"/>
                <w:rFonts w:ascii="Times New Roman" w:hAnsi="Times New Roman"/>
                <w:b w:val="0"/>
                <w:sz w:val="21"/>
              </w:rPr>
              <w:t>指标3</w:t>
            </w:r>
          </w:p>
        </w:tc>
        <w:tc>
          <w:tcPr>
            <w:tcW w:type="dxa" w:w="2161"/>
            <w:tcBorders/>
          </w:tcPr>
          <w:p>
            <w:pPr>
              <w:spacing w:before="20" w:after="20" w:line="288" w:lineRule="auto"/>
              <w:jc w:val="center"/>
            </w:pPr>
            <w:r/>
            <w:r>
              <w:rPr>
                <w:rFonts w:eastAsia="宋体"/>
                <w:rFonts w:ascii="Times New Roman" w:hAnsi="Times New Roman"/>
                <w:b w:val="0"/>
                <w:sz w:val="21"/>
              </w:rPr>
              <w:t>日均扫码笔数</w:t>
            </w:r>
          </w:p>
        </w:tc>
        <w:tc>
          <w:tcPr>
            <w:tcW w:type="dxa" w:w="2161"/>
            <w:tcBorders/>
          </w:tcPr>
          <w:p>
            <w:pPr>
              <w:spacing w:before="20" w:after="20" w:line="288" w:lineRule="auto"/>
              <w:jc w:val="center"/>
            </w:pPr>
            <w:r/>
            <w:r>
              <w:rPr>
                <w:rFonts w:eastAsia="宋体"/>
                <w:rFonts w:ascii="Times New Roman" w:hAnsi="Times New Roman"/>
                <w:b w:val="0"/>
                <w:sz w:val="21"/>
              </w:rPr>
              <w:t>20</w:t>
            </w:r>
          </w:p>
        </w:tc>
        <w:tc>
          <w:tcPr>
            <w:tcW w:type="dxa" w:w="2161"/>
            <w:tcBorders/>
          </w:tcPr>
          <w:p>
            <w:pPr>
              <w:spacing w:before="20" w:after="20" w:line="288" w:lineRule="auto"/>
              <w:jc w:val="center"/>
            </w:pPr>
            <w:r/>
            <w:r>
              <w:rPr>
                <w:rFonts w:eastAsia="宋体"/>
                <w:rFonts w:ascii="Times New Roman" w:hAnsi="Times New Roman"/>
                <w:b w:val="0"/>
                <w:sz w:val="21"/>
              </w:rPr>
              <w:t>总扫码笔数/有效天数</w:t>
            </w:r>
          </w:p>
        </w:tc>
      </w:tr>
      <w:tr>
        <w:tc>
          <w:tcPr>
            <w:tcW w:type="dxa" w:w="2161"/>
            <w:tcBorders/>
          </w:tcPr>
          <w:p>
            <w:pPr>
              <w:spacing w:before="20" w:after="20" w:line="288" w:lineRule="auto"/>
              <w:jc w:val="center"/>
            </w:pPr>
            <w:r/>
            <w:r>
              <w:rPr>
                <w:rFonts w:eastAsia="宋体"/>
                <w:rFonts w:ascii="Times New Roman" w:hAnsi="Times New Roman"/>
                <w:b w:val="0"/>
                <w:sz w:val="21"/>
              </w:rPr>
              <w:t>指标4</w:t>
            </w:r>
          </w:p>
        </w:tc>
        <w:tc>
          <w:tcPr>
            <w:tcW w:type="dxa" w:w="2161"/>
            <w:tcBorders/>
          </w:tcPr>
          <w:p>
            <w:pPr>
              <w:spacing w:before="20" w:after="20" w:line="288" w:lineRule="auto"/>
              <w:jc w:val="center"/>
            </w:pPr>
            <w:r/>
            <w:r>
              <w:rPr>
                <w:rFonts w:eastAsia="宋体"/>
                <w:rFonts w:ascii="Times New Roman" w:hAnsi="Times New Roman"/>
                <w:b w:val="0"/>
                <w:sz w:val="21"/>
              </w:rPr>
              <w:t>扫码集中度</w:t>
            </w:r>
          </w:p>
        </w:tc>
        <w:tc>
          <w:tcPr>
            <w:tcW w:type="dxa" w:w="2161"/>
            <w:tcBorders/>
          </w:tcPr>
          <w:p>
            <w:pPr>
              <w:spacing w:before="20" w:after="20" w:line="288" w:lineRule="auto"/>
              <w:jc w:val="center"/>
            </w:pPr>
            <w:r/>
            <w:r>
              <w:rPr>
                <w:rFonts w:eastAsia="宋体"/>
                <w:rFonts w:ascii="Times New Roman" w:hAnsi="Times New Roman"/>
                <w:b w:val="0"/>
                <w:sz w:val="21"/>
              </w:rPr>
              <w:t>15</w:t>
            </w:r>
          </w:p>
        </w:tc>
        <w:tc>
          <w:tcPr>
            <w:tcW w:type="dxa" w:w="2161"/>
            <w:tcBorders/>
          </w:tcPr>
          <w:p>
            <w:pPr>
              <w:spacing w:before="20" w:after="20" w:line="288" w:lineRule="auto"/>
              <w:jc w:val="center"/>
            </w:pPr>
            <w:r/>
            <w:r>
              <w:rPr>
                <w:rFonts w:eastAsia="宋体"/>
                <w:rFonts w:ascii="Times New Roman" w:hAnsi="Times New Roman"/>
                <w:b w:val="0"/>
                <w:sz w:val="21"/>
              </w:rPr>
              <w:t>按偏离度评分</w:t>
            </w:r>
          </w:p>
        </w:tc>
      </w:tr>
      <w:tr>
        <w:tc>
          <w:tcPr>
            <w:tcW w:type="dxa" w:w="2161"/>
            <w:tcBorders/>
          </w:tcPr>
          <w:p>
            <w:pPr>
              <w:spacing w:before="20" w:after="20" w:line="288" w:lineRule="auto"/>
              <w:jc w:val="center"/>
            </w:pPr>
            <w:r/>
            <w:r>
              <w:rPr>
                <w:rFonts w:eastAsia="宋体"/>
                <w:rFonts w:ascii="Times New Roman" w:hAnsi="Times New Roman"/>
                <w:b w:val="0"/>
                <w:sz w:val="21"/>
              </w:rPr>
              <w:t>指标5</w:t>
            </w:r>
          </w:p>
        </w:tc>
        <w:tc>
          <w:tcPr>
            <w:tcW w:type="dxa" w:w="2161"/>
            <w:tcBorders/>
          </w:tcPr>
          <w:p>
            <w:pPr>
              <w:spacing w:before="20" w:after="20" w:line="288" w:lineRule="auto"/>
              <w:jc w:val="center"/>
            </w:pPr>
            <w:r/>
            <w:r>
              <w:rPr>
                <w:rFonts w:eastAsia="宋体"/>
                <w:rFonts w:ascii="Times New Roman" w:hAnsi="Times New Roman"/>
                <w:b w:val="0"/>
                <w:sz w:val="21"/>
              </w:rPr>
              <w:t>负库存品规数</w:t>
            </w:r>
          </w:p>
        </w:tc>
        <w:tc>
          <w:tcPr>
            <w:tcW w:type="dxa" w:w="2161"/>
            <w:tcBorders/>
          </w:tcPr>
          <w:p>
            <w:pPr>
              <w:spacing w:before="20" w:after="20" w:line="288" w:lineRule="auto"/>
              <w:jc w:val="center"/>
            </w:pPr>
            <w:r/>
            <w:r>
              <w:rPr>
                <w:rFonts w:eastAsia="宋体"/>
                <w:rFonts w:ascii="Times New Roman" w:hAnsi="Times New Roman"/>
                <w:b w:val="0"/>
                <w:sz w:val="21"/>
              </w:rPr>
              <w:t>5</w:t>
            </w:r>
          </w:p>
        </w:tc>
        <w:tc>
          <w:tcPr>
            <w:tcW w:type="dxa" w:w="2161"/>
            <w:tcBorders/>
          </w:tcPr>
          <w:p>
            <w:pPr>
              <w:spacing w:before="20" w:after="20" w:line="288" w:lineRule="auto"/>
              <w:jc w:val="center"/>
            </w:pPr>
            <w:r/>
            <w:r>
              <w:rPr>
                <w:rFonts w:eastAsia="宋体"/>
                <w:rFonts w:ascii="Times New Roman" w:hAnsi="Times New Roman"/>
                <w:b w:val="0"/>
                <w:sz w:val="21"/>
              </w:rPr>
              <w:t>按品规数扣分</w:t>
            </w:r>
          </w:p>
        </w:tc>
      </w:tr>
      <w:tr>
        <w:tc>
          <w:tcPr>
            <w:tcW w:type="dxa" w:w="2161"/>
            <w:tcBorders/>
          </w:tcPr>
          <w:p>
            <w:pPr>
              <w:spacing w:before="20" w:after="20" w:line="288" w:lineRule="auto"/>
              <w:jc w:val="center"/>
            </w:pPr>
            <w:r/>
            <w:r>
              <w:rPr>
                <w:rFonts w:eastAsia="宋体"/>
                <w:rFonts w:ascii="Times New Roman" w:hAnsi="Times New Roman"/>
                <w:b w:val="0"/>
                <w:sz w:val="21"/>
              </w:rPr>
              <w:t>指标6</w:t>
            </w:r>
          </w:p>
        </w:tc>
        <w:tc>
          <w:tcPr>
            <w:tcW w:type="dxa" w:w="2161"/>
            <w:tcBorders/>
          </w:tcPr>
          <w:p>
            <w:pPr>
              <w:spacing w:before="20" w:after="20" w:line="288" w:lineRule="auto"/>
              <w:jc w:val="center"/>
            </w:pPr>
            <w:r/>
            <w:r>
              <w:rPr>
                <w:rFonts w:eastAsia="宋体"/>
                <w:rFonts w:ascii="Times New Roman" w:hAnsi="Times New Roman"/>
                <w:b w:val="0"/>
                <w:sz w:val="21"/>
              </w:rPr>
              <w:t>会员消费记录</w:t>
            </w:r>
          </w:p>
        </w:tc>
        <w:tc>
          <w:tcPr>
            <w:tcW w:type="dxa" w:w="2161"/>
            <w:tcBorders/>
          </w:tcPr>
          <w:p>
            <w:pPr>
              <w:spacing w:before="20" w:after="20" w:line="288" w:lineRule="auto"/>
              <w:jc w:val="center"/>
            </w:pPr>
            <w:r/>
            <w:r>
              <w:rPr>
                <w:rFonts w:eastAsia="宋体"/>
                <w:rFonts w:ascii="Times New Roman" w:hAnsi="Times New Roman"/>
                <w:b w:val="0"/>
                <w:sz w:val="21"/>
              </w:rPr>
              <w:t>10</w:t>
            </w:r>
          </w:p>
        </w:tc>
        <w:tc>
          <w:tcPr>
            <w:tcW w:type="dxa" w:w="2161"/>
            <w:tcBorders/>
          </w:tcPr>
          <w:p>
            <w:pPr>
              <w:spacing w:before="20" w:after="20" w:line="288" w:lineRule="auto"/>
              <w:jc w:val="center"/>
            </w:pPr>
            <w:r/>
            <w:r>
              <w:rPr>
                <w:rFonts w:eastAsia="宋体"/>
                <w:rFonts w:ascii="Times New Roman" w:hAnsi="Times New Roman"/>
                <w:b w:val="0"/>
                <w:sz w:val="21"/>
              </w:rPr>
              <w:t>每月会员交易笔数</w:t>
            </w:r>
          </w:p>
        </w:tc>
      </w:tr>
      <w:tr>
        <w:tc>
          <w:tcPr>
            <w:tcW w:type="dxa" w:w="2161"/>
            <w:tcBorders/>
          </w:tcPr>
          <w:p>
            <w:pPr>
              <w:spacing w:before="20" w:after="20" w:line="288" w:lineRule="auto"/>
              <w:jc w:val="center"/>
            </w:pPr>
            <w:r/>
            <w:r>
              <w:rPr>
                <w:rFonts w:eastAsia="宋体"/>
                <w:rFonts w:ascii="Times New Roman" w:hAnsi="Times New Roman"/>
                <w:b w:val="0"/>
                <w:sz w:val="21"/>
              </w:rPr>
              <w:t>指标7</w:t>
            </w:r>
          </w:p>
        </w:tc>
        <w:tc>
          <w:tcPr>
            <w:tcW w:type="dxa" w:w="2161"/>
            <w:tcBorders/>
          </w:tcPr>
          <w:p>
            <w:pPr>
              <w:spacing w:before="20" w:after="20" w:line="288" w:lineRule="auto"/>
              <w:jc w:val="center"/>
            </w:pPr>
            <w:r/>
            <w:r>
              <w:rPr>
                <w:rFonts w:eastAsia="宋体"/>
                <w:rFonts w:ascii="Times New Roman" w:hAnsi="Times New Roman"/>
                <w:b w:val="0"/>
                <w:sz w:val="21"/>
              </w:rPr>
              <w:t>聚合支付</w:t>
            </w:r>
          </w:p>
        </w:tc>
        <w:tc>
          <w:tcPr>
            <w:tcW w:type="dxa" w:w="2161"/>
            <w:tcBorders/>
          </w:tcPr>
          <w:p>
            <w:pPr>
              <w:spacing w:before="20" w:after="20" w:line="288" w:lineRule="auto"/>
              <w:jc w:val="center"/>
            </w:pPr>
            <w:r/>
            <w:r>
              <w:rPr>
                <w:rFonts w:eastAsia="宋体"/>
                <w:rFonts w:ascii="Times New Roman" w:hAnsi="Times New Roman"/>
                <w:b w:val="0"/>
                <w:sz w:val="21"/>
              </w:rPr>
              <w:t>20</w:t>
            </w:r>
          </w:p>
        </w:tc>
        <w:tc>
          <w:tcPr>
            <w:tcW w:type="dxa" w:w="2161"/>
            <w:tcBorders/>
          </w:tcPr>
          <w:p>
            <w:pPr>
              <w:spacing w:before="20" w:after="20" w:line="288" w:lineRule="auto"/>
              <w:jc w:val="center"/>
            </w:pPr>
            <w:r/>
            <w:r>
              <w:rPr>
                <w:rFonts w:eastAsia="宋体"/>
                <w:rFonts w:ascii="Times New Roman" w:hAnsi="Times New Roman"/>
                <w:b w:val="0"/>
                <w:sz w:val="21"/>
              </w:rPr>
              <w:t>在线支付笔数</w:t>
            </w:r>
          </w:p>
        </w:tc>
      </w:tr>
    </w:tbl>
    <w:p>
      <w:pPr>
        <w:spacing w:line="360" w:lineRule="auto" w:before="0" w:after="0"/>
        <w:ind w:firstLine="560"/>
      </w:pPr>
      <w:r>
        <w:rPr>
          <w:rFonts w:eastAsia="宋体"/>
          <w:rFonts w:ascii="Times New Roman" w:hAnsi="Times New Roman"/>
          <w:b w:val="0"/>
          <w:sz w:val="28"/>
        </w:rPr>
      </w:r>
    </w:p>
    <w:p>
      <w:pPr>
        <w:spacing w:line="360" w:lineRule="auto" w:before="0" w:after="0"/>
        <w:ind w:firstLine="560"/>
      </w:pPr>
      <w:r>
        <w:rPr>
          <w:rFonts w:eastAsia="宋体"/>
          <w:rFonts w:ascii="Times New Roman" w:hAnsi="Times New Roman"/>
          <w:b w:val="0"/>
          <w:sz w:val="28"/>
        </w:rPr>
        <w:t>姜思明等[2]提出"数据治理—状态评估"一体化框架，构建了涵盖三大类22项指标的零售终端数据治理指标体系，采用K-means++聚类剔除异常终端。李天举等[3]基于Stacking集成学习进行烟草异常数据挖掘，将问题查实率提升至94.3%。Grinsztajn等[4]和Borisov等[5]证实GBDT类方法在表格数据建模上优于深度学习方法。然而现有研究多聚焦事后评估，对多指标同步预测和前瞻性预警关注较少，各级管理人员缺乏可量化的提前规划工具。</w:t>
      </w:r>
    </w:p>
    <w:p>
      <w:pPr>
        <w:spacing w:line="360" w:lineRule="auto" w:before="0" w:after="0"/>
        <w:ind w:firstLine="560"/>
      </w:pPr>
      <w:r>
        <w:rPr>
          <w:rFonts w:eastAsia="宋体"/>
          <w:rFonts w:ascii="Times New Roman" w:hAnsi="Times New Roman"/>
          <w:b w:val="0"/>
          <w:sz w:val="28"/>
        </w:rPr>
        <w:t>本文以兴山县133家零售终端2026年1至5月扫码数据为基础，提出基于LightGBM的时序预测预警框架：（1）采用上月趋势加历史同期的双维时序特征编码方案，将运维办法7项指标映射为14个预测目标；（2）以LightGBM为核心模型，对比线性回归、随机森林和简单基线共四种模型，采用决定系数R²衡量回归精度，以精确率-召回率曲线、受试者工作特征曲线和四象限分析验证分类效果；（3）构建以基期行为为主、预测偏差为辅的零售终端运行风险评分，制定四级预警等级分类；（4）输出各终端预警等级及预警原因提示，为客户经理重点走访排序、客服部货源投放调整和市局异常排查提供参考决策依据。</w:t>
      </w:r>
    </w:p>
    <w:p>
      <w:pPr>
        <w:spacing w:line="360" w:lineRule="auto" w:before="0" w:after="120"/>
      </w:pPr>
      <w:r>
        <w:rPr>
          <w:rFonts w:eastAsia="黑体"/>
          <w:rFonts w:ascii="Times New Roman" w:hAnsi="Times New Roman"/>
          <w:b/>
          <w:sz w:val="28"/>
        </w:rPr>
        <w:t>1数据来源及方法</w:t>
      </w:r>
    </w:p>
    <w:p>
      <w:pPr>
        <w:spacing w:line="360" w:lineRule="auto" w:before="0" w:after="60"/>
      </w:pPr>
      <w:r>
        <w:rPr>
          <w:rFonts w:eastAsia="黑体"/>
          <w:rFonts w:ascii="Times New Roman" w:hAnsi="Times New Roman"/>
          <w:b/>
          <w:sz w:val="28"/>
        </w:rPr>
        <w:t>1.1  数据来源与预处理</w:t>
      </w:r>
    </w:p>
    <w:p>
      <w:pPr>
        <w:spacing w:line="360" w:lineRule="auto" w:before="0" w:after="0"/>
        <w:ind w:firstLine="560"/>
      </w:pPr>
      <w:r>
        <w:rPr>
          <w:rFonts w:eastAsia="宋体"/>
          <w:rFonts w:ascii="Times New Roman" w:hAnsi="Times New Roman"/>
          <w:b w:val="0"/>
          <w:sz w:val="28"/>
        </w:rPr>
        <w:t>数据来源于兴山县"知音通"零售终端系统，选取2026年1月至5月扫码数据及2025年同期数据，经客户编码多表关联得133家终端样本。数据预处理包括：剔除连续15天以上无扫码记录的休业终端，对缺失值采用同终端近7天均值填充，异常值按3σ原则截断。按8:2划分训练集和测试集，随机种子42，特征进行Z-score标准化。</w:t>
      </w:r>
    </w:p>
    <w:p>
      <w:pPr>
        <w:spacing w:line="360" w:lineRule="auto" w:before="0" w:after="40"/>
        <w:jc w:val="center"/>
      </w:pPr>
      <w:r>
        <w:rPr>
          <w:rFonts w:eastAsia="宋体"/>
          <w:rFonts w:ascii="Times New Roman" w:hAnsi="Times New Roman"/>
          <w:b w:val="0"/>
          <w:sz w:val="21"/>
        </w:rPr>
        <w:t>表2  预测目标与运维办法指标对照</w:t>
      </w:r>
    </w:p>
    <w:tbl>
      <w:tblPr>
        <w:tblW w:type="auto" w:w="0"/>
        <w:jc w:val="center"/>
        <w:tblLook w:firstColumn="1" w:firstRow="1" w:lastColumn="0" w:lastRow="0" w:noHBand="0" w:noVBand="1" w:val="04A0"/>
        <w:tblBorders>
          <w:top w:val="single" w:sz="12" w:space="0" w:color="000000"/>
          <w:bottom w:val="single" w:sz="12" w:space="0" w:color="000000"/>
        </w:tblBorders>
      </w:tblPr>
      <w:tblGrid>
        <w:gridCol w:w="2161"/>
        <w:gridCol w:w="2161"/>
        <w:gridCol w:w="2161"/>
        <w:gridCol w:w="2161"/>
      </w:tblGrid>
      <w:tr>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21"/>
              </w:rPr>
              <w:t>指标大类</w:t>
            </w:r>
          </w:p>
        </w:tc>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21"/>
              </w:rPr>
              <w:t>预测目标</w:t>
            </w:r>
          </w:p>
        </w:tc>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21"/>
              </w:rPr>
              <w:t>对应运维指标</w:t>
            </w:r>
          </w:p>
        </w:tc>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21"/>
              </w:rPr>
              <w:t>分值</w:t>
            </w:r>
          </w:p>
        </w:tc>
      </w:tr>
      <w:tr>
        <w:tc>
          <w:tcPr>
            <w:tcW w:type="dxa" w:w="2161"/>
            <w:tcBorders/>
          </w:tcPr>
          <w:p>
            <w:pPr>
              <w:spacing w:before="20" w:after="20" w:line="288" w:lineRule="auto"/>
              <w:jc w:val="center"/>
            </w:pPr>
            <w:r/>
            <w:r>
              <w:rPr>
                <w:rFonts w:eastAsia="宋体"/>
                <w:rFonts w:ascii="Times New Roman" w:hAnsi="Times New Roman"/>
                <w:b w:val="0"/>
                <w:sz w:val="21"/>
              </w:rPr>
              <w:t>扫码量2个</w:t>
            </w:r>
          </w:p>
        </w:tc>
        <w:tc>
          <w:tcPr>
            <w:tcW w:type="dxa" w:w="2161"/>
            <w:tcBorders/>
          </w:tcPr>
          <w:p>
            <w:pPr>
              <w:spacing w:before="20" w:after="20" w:line="288" w:lineRule="auto"/>
              <w:jc w:val="center"/>
            </w:pPr>
            <w:r/>
            <w:r>
              <w:rPr>
                <w:rFonts w:eastAsia="宋体"/>
                <w:rFonts w:ascii="Times New Roman" w:hAnsi="Times New Roman"/>
                <w:b w:val="0"/>
                <w:sz w:val="21"/>
              </w:rPr>
              <w:t>日均扫码笔数、扫码笔数</w:t>
            </w:r>
          </w:p>
        </w:tc>
        <w:tc>
          <w:tcPr>
            <w:tcW w:type="dxa" w:w="2161"/>
            <w:tcBorders/>
          </w:tcPr>
          <w:p>
            <w:pPr>
              <w:spacing w:before="20" w:after="20" w:line="288" w:lineRule="auto"/>
              <w:jc w:val="center"/>
            </w:pPr>
            <w:r/>
            <w:r>
              <w:rPr>
                <w:rFonts w:eastAsia="宋体"/>
                <w:rFonts w:ascii="Times New Roman" w:hAnsi="Times New Roman"/>
                <w:b w:val="0"/>
                <w:sz w:val="21"/>
              </w:rPr>
              <w:t>指标3</w:t>
            </w:r>
          </w:p>
        </w:tc>
        <w:tc>
          <w:tcPr>
            <w:tcW w:type="dxa" w:w="2161"/>
            <w:tcBorders/>
          </w:tcPr>
          <w:p>
            <w:pPr>
              <w:spacing w:before="20" w:after="20" w:line="288" w:lineRule="auto"/>
              <w:jc w:val="center"/>
            </w:pPr>
            <w:r/>
            <w:r>
              <w:rPr>
                <w:rFonts w:eastAsia="宋体"/>
                <w:rFonts w:ascii="Times New Roman" w:hAnsi="Times New Roman"/>
                <w:b w:val="0"/>
                <w:sz w:val="21"/>
              </w:rPr>
              <w:t>20</w:t>
            </w:r>
          </w:p>
        </w:tc>
      </w:tr>
      <w:tr>
        <w:tc>
          <w:tcPr>
            <w:tcW w:type="dxa" w:w="2161"/>
            <w:tcBorders/>
          </w:tcPr>
          <w:p>
            <w:pPr>
              <w:spacing w:before="20" w:after="20" w:line="288" w:lineRule="auto"/>
              <w:jc w:val="center"/>
            </w:pPr>
            <w:r/>
            <w:r>
              <w:rPr>
                <w:rFonts w:eastAsia="宋体"/>
                <w:rFonts w:ascii="Times New Roman" w:hAnsi="Times New Roman"/>
                <w:b w:val="0"/>
                <w:sz w:val="21"/>
              </w:rPr>
              <w:t>在线时长3个</w:t>
            </w:r>
          </w:p>
        </w:tc>
        <w:tc>
          <w:tcPr>
            <w:tcW w:type="dxa" w:w="2161"/>
            <w:tcBorders/>
          </w:tcPr>
          <w:p>
            <w:pPr>
              <w:spacing w:before="20" w:after="20" w:line="288" w:lineRule="auto"/>
              <w:jc w:val="center"/>
            </w:pPr>
            <w:r/>
            <w:r>
              <w:rPr>
                <w:rFonts w:eastAsia="宋体"/>
                <w:rFonts w:ascii="Times New Roman" w:hAnsi="Times New Roman"/>
                <w:b w:val="0"/>
                <w:sz w:val="21"/>
              </w:rPr>
              <w:t>在线总时长、日均在线时长、超8h天数</w:t>
            </w:r>
          </w:p>
        </w:tc>
        <w:tc>
          <w:tcPr>
            <w:tcW w:type="dxa" w:w="2161"/>
            <w:tcBorders/>
          </w:tcPr>
          <w:p>
            <w:pPr>
              <w:spacing w:before="20" w:after="20" w:line="288" w:lineRule="auto"/>
              <w:jc w:val="center"/>
            </w:pPr>
            <w:r/>
            <w:r>
              <w:rPr>
                <w:rFonts w:eastAsia="宋体"/>
                <w:rFonts w:ascii="Times New Roman" w:hAnsi="Times New Roman"/>
                <w:b w:val="0"/>
                <w:sz w:val="21"/>
              </w:rPr>
              <w:t>辅助指标</w:t>
            </w:r>
          </w:p>
        </w:tc>
        <w:tc>
          <w:tcPr>
            <w:tcW w:type="dxa" w:w="2161"/>
            <w:tcBorders/>
          </w:tcPr>
          <w:p>
            <w:pPr>
              <w:spacing w:before="20" w:after="20" w:line="288" w:lineRule="auto"/>
              <w:jc w:val="center"/>
            </w:pPr>
            <w:r/>
            <w:r>
              <w:rPr>
                <w:rFonts w:eastAsia="宋体"/>
                <w:rFonts w:ascii="Times New Roman" w:hAnsi="Times New Roman"/>
                <w:b w:val="0"/>
                <w:sz w:val="21"/>
              </w:rPr>
              <w:t>—</w:t>
            </w:r>
          </w:p>
        </w:tc>
      </w:tr>
      <w:tr>
        <w:tc>
          <w:tcPr>
            <w:tcW w:type="dxa" w:w="2161"/>
            <w:tcBorders/>
          </w:tcPr>
          <w:p>
            <w:pPr>
              <w:spacing w:before="20" w:after="20" w:line="288" w:lineRule="auto"/>
              <w:jc w:val="center"/>
            </w:pPr>
            <w:r/>
            <w:r>
              <w:rPr>
                <w:rFonts w:eastAsia="宋体"/>
                <w:rFonts w:ascii="Times New Roman" w:hAnsi="Times New Roman"/>
                <w:b w:val="0"/>
                <w:sz w:val="21"/>
              </w:rPr>
              <w:t>在线天数4个</w:t>
            </w:r>
          </w:p>
        </w:tc>
        <w:tc>
          <w:tcPr>
            <w:tcW w:type="dxa" w:w="2161"/>
            <w:tcBorders/>
          </w:tcPr>
          <w:p>
            <w:pPr>
              <w:spacing w:before="20" w:after="20" w:line="288" w:lineRule="auto"/>
              <w:jc w:val="center"/>
            </w:pPr>
            <w:r/>
            <w:r>
              <w:rPr>
                <w:rFonts w:eastAsia="宋体"/>
                <w:rFonts w:ascii="Times New Roman" w:hAnsi="Times New Roman"/>
                <w:b w:val="0"/>
                <w:sz w:val="21"/>
              </w:rPr>
              <w:t>应在线天数、在线天数、销售天数、使用率</w:t>
            </w:r>
          </w:p>
        </w:tc>
        <w:tc>
          <w:tcPr>
            <w:tcW w:type="dxa" w:w="2161"/>
            <w:tcBorders/>
          </w:tcPr>
          <w:p>
            <w:pPr>
              <w:spacing w:before="20" w:after="20" w:line="288" w:lineRule="auto"/>
              <w:jc w:val="center"/>
            </w:pPr>
            <w:r/>
            <w:r>
              <w:rPr>
                <w:rFonts w:eastAsia="宋体"/>
                <w:rFonts w:ascii="Times New Roman" w:hAnsi="Times New Roman"/>
                <w:b w:val="0"/>
                <w:sz w:val="21"/>
              </w:rPr>
              <w:t>指标2</w:t>
            </w:r>
          </w:p>
        </w:tc>
        <w:tc>
          <w:tcPr>
            <w:tcW w:type="dxa" w:w="2161"/>
            <w:tcBorders/>
          </w:tcPr>
          <w:p>
            <w:pPr>
              <w:spacing w:before="20" w:after="20" w:line="288" w:lineRule="auto"/>
              <w:jc w:val="center"/>
            </w:pPr>
            <w:r/>
            <w:r>
              <w:rPr>
                <w:rFonts w:eastAsia="宋体"/>
                <w:rFonts w:ascii="Times New Roman" w:hAnsi="Times New Roman"/>
                <w:b w:val="0"/>
                <w:sz w:val="21"/>
              </w:rPr>
              <w:t>15</w:t>
            </w:r>
          </w:p>
        </w:tc>
      </w:tr>
      <w:tr>
        <w:tc>
          <w:tcPr>
            <w:tcW w:type="dxa" w:w="2161"/>
            <w:tcBorders/>
          </w:tcPr>
          <w:p>
            <w:pPr>
              <w:spacing w:before="20" w:after="20" w:line="288" w:lineRule="auto"/>
              <w:jc w:val="center"/>
            </w:pPr>
            <w:r/>
            <w:r>
              <w:rPr>
                <w:rFonts w:eastAsia="宋体"/>
                <w:rFonts w:ascii="Times New Roman" w:hAnsi="Times New Roman"/>
                <w:b w:val="0"/>
                <w:sz w:val="21"/>
              </w:rPr>
              <w:t>扫码规范2个</w:t>
            </w:r>
          </w:p>
        </w:tc>
        <w:tc>
          <w:tcPr>
            <w:tcW w:type="dxa" w:w="2161"/>
            <w:tcBorders/>
          </w:tcPr>
          <w:p>
            <w:pPr>
              <w:spacing w:before="20" w:after="20" w:line="288" w:lineRule="auto"/>
              <w:jc w:val="center"/>
            </w:pPr>
            <w:r/>
            <w:r>
              <w:rPr>
                <w:rFonts w:eastAsia="宋体"/>
                <w:rFonts w:ascii="Times New Roman" w:hAnsi="Times New Roman"/>
                <w:b w:val="0"/>
                <w:sz w:val="21"/>
              </w:rPr>
              <w:t>扫码集中度、达8时段天数</w:t>
            </w:r>
          </w:p>
        </w:tc>
        <w:tc>
          <w:tcPr>
            <w:tcW w:type="dxa" w:w="2161"/>
            <w:tcBorders/>
          </w:tcPr>
          <w:p>
            <w:pPr>
              <w:spacing w:before="20" w:after="20" w:line="288" w:lineRule="auto"/>
              <w:jc w:val="center"/>
            </w:pPr>
            <w:r/>
            <w:r>
              <w:rPr>
                <w:rFonts w:eastAsia="宋体"/>
                <w:rFonts w:ascii="Times New Roman" w:hAnsi="Times New Roman"/>
                <w:b w:val="0"/>
                <w:sz w:val="21"/>
              </w:rPr>
              <w:t>指标4+指标1</w:t>
            </w:r>
          </w:p>
        </w:tc>
        <w:tc>
          <w:tcPr>
            <w:tcW w:type="dxa" w:w="2161"/>
            <w:tcBorders/>
          </w:tcPr>
          <w:p>
            <w:pPr>
              <w:spacing w:before="20" w:after="20" w:line="288" w:lineRule="auto"/>
              <w:jc w:val="center"/>
            </w:pPr>
            <w:r/>
            <w:r>
              <w:rPr>
                <w:rFonts w:eastAsia="宋体"/>
                <w:rFonts w:ascii="Times New Roman" w:hAnsi="Times New Roman"/>
                <w:b w:val="0"/>
                <w:sz w:val="21"/>
              </w:rPr>
              <w:t>15+15</w:t>
            </w:r>
          </w:p>
        </w:tc>
      </w:tr>
      <w:tr>
        <w:tc>
          <w:tcPr>
            <w:tcW w:type="dxa" w:w="2161"/>
            <w:tcBorders/>
          </w:tcPr>
          <w:p>
            <w:pPr>
              <w:spacing w:before="20" w:after="20" w:line="288" w:lineRule="auto"/>
              <w:jc w:val="center"/>
            </w:pPr>
            <w:r/>
            <w:r>
              <w:rPr>
                <w:rFonts w:eastAsia="宋体"/>
                <w:rFonts w:ascii="Times New Roman" w:hAnsi="Times New Roman"/>
                <w:b w:val="0"/>
                <w:sz w:val="21"/>
              </w:rPr>
              <w:t>负库存1个</w:t>
            </w:r>
          </w:p>
        </w:tc>
        <w:tc>
          <w:tcPr>
            <w:tcW w:type="dxa" w:w="2161"/>
            <w:tcBorders/>
          </w:tcPr>
          <w:p>
            <w:pPr>
              <w:spacing w:before="20" w:after="20" w:line="288" w:lineRule="auto"/>
              <w:jc w:val="center"/>
            </w:pPr>
            <w:r/>
            <w:r>
              <w:rPr>
                <w:rFonts w:eastAsia="宋体"/>
                <w:rFonts w:ascii="Times New Roman" w:hAnsi="Times New Roman"/>
                <w:b w:val="0"/>
                <w:sz w:val="21"/>
              </w:rPr>
              <w:t>负库存品规数</w:t>
            </w:r>
          </w:p>
        </w:tc>
        <w:tc>
          <w:tcPr>
            <w:tcW w:type="dxa" w:w="2161"/>
            <w:tcBorders/>
          </w:tcPr>
          <w:p>
            <w:pPr>
              <w:spacing w:before="20" w:after="20" w:line="288" w:lineRule="auto"/>
              <w:jc w:val="center"/>
            </w:pPr>
            <w:r/>
            <w:r>
              <w:rPr>
                <w:rFonts w:eastAsia="宋体"/>
                <w:rFonts w:ascii="Times New Roman" w:hAnsi="Times New Roman"/>
                <w:b w:val="0"/>
                <w:sz w:val="21"/>
              </w:rPr>
              <w:t>指标5</w:t>
            </w:r>
          </w:p>
        </w:tc>
        <w:tc>
          <w:tcPr>
            <w:tcW w:type="dxa" w:w="2161"/>
            <w:tcBorders/>
          </w:tcPr>
          <w:p>
            <w:pPr>
              <w:spacing w:before="20" w:after="20" w:line="288" w:lineRule="auto"/>
              <w:jc w:val="center"/>
            </w:pPr>
            <w:r/>
            <w:r>
              <w:rPr>
                <w:rFonts w:eastAsia="宋体"/>
                <w:rFonts w:ascii="Times New Roman" w:hAnsi="Times New Roman"/>
                <w:b w:val="0"/>
                <w:sz w:val="21"/>
              </w:rPr>
              <w:t>5</w:t>
            </w:r>
          </w:p>
        </w:tc>
      </w:tr>
      <w:tr>
        <w:tc>
          <w:tcPr>
            <w:tcW w:type="dxa" w:w="2161"/>
            <w:tcBorders/>
          </w:tcPr>
          <w:p>
            <w:pPr>
              <w:spacing w:before="20" w:after="20" w:line="288" w:lineRule="auto"/>
              <w:jc w:val="center"/>
            </w:pPr>
            <w:r/>
            <w:r>
              <w:rPr>
                <w:rFonts w:eastAsia="宋体"/>
                <w:rFonts w:ascii="Times New Roman" w:hAnsi="Times New Roman"/>
                <w:b w:val="0"/>
                <w:sz w:val="21"/>
              </w:rPr>
              <w:t>会员1个</w:t>
            </w:r>
          </w:p>
        </w:tc>
        <w:tc>
          <w:tcPr>
            <w:tcW w:type="dxa" w:w="2161"/>
            <w:tcBorders/>
          </w:tcPr>
          <w:p>
            <w:pPr>
              <w:spacing w:before="20" w:after="20" w:line="288" w:lineRule="auto"/>
              <w:jc w:val="center"/>
            </w:pPr>
            <w:r/>
            <w:r>
              <w:rPr>
                <w:rFonts w:eastAsia="宋体"/>
                <w:rFonts w:ascii="Times New Roman" w:hAnsi="Times New Roman"/>
                <w:b w:val="0"/>
                <w:sz w:val="21"/>
              </w:rPr>
              <w:t>会员交易笔数</w:t>
            </w:r>
          </w:p>
        </w:tc>
        <w:tc>
          <w:tcPr>
            <w:tcW w:type="dxa" w:w="2161"/>
            <w:tcBorders/>
          </w:tcPr>
          <w:p>
            <w:pPr>
              <w:spacing w:before="20" w:after="20" w:line="288" w:lineRule="auto"/>
              <w:jc w:val="center"/>
            </w:pPr>
            <w:r/>
            <w:r>
              <w:rPr>
                <w:rFonts w:eastAsia="宋体"/>
                <w:rFonts w:ascii="Times New Roman" w:hAnsi="Times New Roman"/>
                <w:b w:val="0"/>
                <w:sz w:val="21"/>
              </w:rPr>
              <w:t>指标6</w:t>
            </w:r>
          </w:p>
        </w:tc>
        <w:tc>
          <w:tcPr>
            <w:tcW w:type="dxa" w:w="2161"/>
            <w:tcBorders/>
          </w:tcPr>
          <w:p>
            <w:pPr>
              <w:spacing w:before="20" w:after="20" w:line="288" w:lineRule="auto"/>
              <w:jc w:val="center"/>
            </w:pPr>
            <w:r/>
            <w:r>
              <w:rPr>
                <w:rFonts w:eastAsia="宋体"/>
                <w:rFonts w:ascii="Times New Roman" w:hAnsi="Times New Roman"/>
                <w:b w:val="0"/>
                <w:sz w:val="21"/>
              </w:rPr>
              <w:t>10</w:t>
            </w:r>
          </w:p>
        </w:tc>
      </w:tr>
      <w:tr>
        <w:tc>
          <w:tcPr>
            <w:tcW w:type="dxa" w:w="2161"/>
            <w:tcBorders/>
          </w:tcPr>
          <w:p>
            <w:pPr>
              <w:spacing w:before="20" w:after="20" w:line="288" w:lineRule="auto"/>
              <w:jc w:val="center"/>
            </w:pPr>
            <w:r/>
            <w:r>
              <w:rPr>
                <w:rFonts w:eastAsia="宋体"/>
                <w:rFonts w:ascii="Times New Roman" w:hAnsi="Times New Roman"/>
                <w:b w:val="0"/>
                <w:sz w:val="21"/>
              </w:rPr>
              <w:t>聚合支付1个</w:t>
            </w:r>
          </w:p>
        </w:tc>
        <w:tc>
          <w:tcPr>
            <w:tcW w:type="dxa" w:w="2161"/>
            <w:tcBorders/>
          </w:tcPr>
          <w:p>
            <w:pPr>
              <w:spacing w:before="20" w:after="20" w:line="288" w:lineRule="auto"/>
              <w:jc w:val="center"/>
            </w:pPr>
            <w:r/>
            <w:r>
              <w:rPr>
                <w:rFonts w:eastAsia="宋体"/>
                <w:rFonts w:ascii="Times New Roman" w:hAnsi="Times New Roman"/>
                <w:b w:val="0"/>
                <w:sz w:val="21"/>
              </w:rPr>
              <w:t>在线支付笔数</w:t>
            </w:r>
          </w:p>
        </w:tc>
        <w:tc>
          <w:tcPr>
            <w:tcW w:type="dxa" w:w="2161"/>
            <w:tcBorders/>
          </w:tcPr>
          <w:p>
            <w:pPr>
              <w:spacing w:before="20" w:after="20" w:line="288" w:lineRule="auto"/>
              <w:jc w:val="center"/>
            </w:pPr>
            <w:r/>
            <w:r>
              <w:rPr>
                <w:rFonts w:eastAsia="宋体"/>
                <w:rFonts w:ascii="Times New Roman" w:hAnsi="Times New Roman"/>
                <w:b w:val="0"/>
                <w:sz w:val="21"/>
              </w:rPr>
              <w:t>指标7</w:t>
            </w:r>
          </w:p>
        </w:tc>
        <w:tc>
          <w:tcPr>
            <w:tcW w:type="dxa" w:w="2161"/>
            <w:tcBorders/>
          </w:tcPr>
          <w:p>
            <w:pPr>
              <w:spacing w:before="20" w:after="20" w:line="288" w:lineRule="auto"/>
              <w:jc w:val="center"/>
            </w:pPr>
            <w:r/>
            <w:r>
              <w:rPr>
                <w:rFonts w:eastAsia="宋体"/>
                <w:rFonts w:ascii="Times New Roman" w:hAnsi="Times New Roman"/>
                <w:b w:val="0"/>
                <w:sz w:val="21"/>
              </w:rPr>
              <w:t>20</w:t>
            </w:r>
          </w:p>
        </w:tc>
      </w:tr>
      <w:tr>
        <w:tc>
          <w:tcPr>
            <w:tcW w:type="dxa" w:w="2161"/>
            <w:tcBorders/>
          </w:tcPr>
          <w:p>
            <w:pPr>
              <w:spacing w:before="20" w:after="20" w:line="288" w:lineRule="auto"/>
              <w:jc w:val="center"/>
            </w:pPr>
            <w:r/>
            <w:r>
              <w:rPr>
                <w:rFonts w:eastAsia="宋体"/>
                <w:rFonts w:ascii="Times New Roman" w:hAnsi="Times New Roman"/>
                <w:b/>
                <w:sz w:val="21"/>
              </w:rPr>
              <w:t>合计14个</w:t>
            </w:r>
          </w:p>
        </w:tc>
        <w:tc>
          <w:tcPr>
            <w:tcW w:type="dxa" w:w="2161"/>
            <w:tcBorders/>
          </w:tcPr>
          <w:p>
            <w:pPr>
              <w:spacing w:before="20" w:after="20" w:line="288" w:lineRule="auto"/>
              <w:jc w:val="center"/>
            </w:pPr>
            <w:r/>
            <w:r>
              <w:rPr>
                <w:rFonts w:eastAsia="宋体"/>
                <w:rFonts w:ascii="Times New Roman" w:hAnsi="Times New Roman"/>
                <w:b/>
                <w:sz w:val="21"/>
              </w:rPr>
              <w:t>—</w:t>
            </w:r>
          </w:p>
        </w:tc>
        <w:tc>
          <w:tcPr>
            <w:tcW w:type="dxa" w:w="2161"/>
            <w:tcBorders/>
          </w:tcPr>
          <w:p>
            <w:pPr>
              <w:spacing w:before="20" w:after="20" w:line="288" w:lineRule="auto"/>
              <w:jc w:val="center"/>
            </w:pPr>
            <w:r/>
            <w:r>
              <w:rPr>
                <w:rFonts w:eastAsia="宋体"/>
                <w:rFonts w:ascii="Times New Roman" w:hAnsi="Times New Roman"/>
                <w:b/>
                <w:sz w:val="21"/>
              </w:rPr>
              <w:t>7项全覆盖</w:t>
            </w:r>
          </w:p>
        </w:tc>
        <w:tc>
          <w:tcPr>
            <w:tcW w:type="dxa" w:w="2161"/>
            <w:tcBorders/>
          </w:tcPr>
          <w:p>
            <w:pPr>
              <w:spacing w:before="20" w:after="20" w:line="288" w:lineRule="auto"/>
              <w:jc w:val="center"/>
            </w:pPr>
            <w:r/>
            <w:r>
              <w:rPr>
                <w:rFonts w:eastAsia="宋体"/>
                <w:rFonts w:ascii="Times New Roman" w:hAnsi="Times New Roman"/>
                <w:b/>
                <w:sz w:val="21"/>
              </w:rPr>
              <w:t>100</w:t>
            </w:r>
          </w:p>
        </w:tc>
      </w:tr>
    </w:tbl>
    <w:p>
      <w:pPr>
        <w:spacing w:line="360" w:lineRule="auto" w:before="0" w:after="0"/>
        <w:ind w:firstLine="560"/>
      </w:pPr>
      <w:r>
        <w:rPr>
          <w:rFonts w:eastAsia="宋体"/>
          <w:rFonts w:ascii="Times New Roman" w:hAnsi="Times New Roman"/>
          <w:b w:val="0"/>
          <w:sz w:val="28"/>
        </w:rPr>
      </w:r>
    </w:p>
    <w:p>
      <w:pPr>
        <w:spacing w:line="360" w:lineRule="auto" w:before="0" w:after="60"/>
      </w:pPr>
      <w:r>
        <w:rPr>
          <w:rFonts w:eastAsia="黑体"/>
          <w:rFonts w:ascii="Times New Roman" w:hAnsi="Times New Roman"/>
          <w:b/>
          <w:sz w:val="28"/>
        </w:rPr>
        <w:t>1.2  预测方法设计</w:t>
      </w:r>
    </w:p>
    <w:p>
      <w:pPr>
        <w:spacing w:line="360" w:lineRule="auto" w:before="0" w:after="60"/>
      </w:pPr>
      <w:r>
        <w:rPr>
          <w:rFonts w:eastAsia="黑体"/>
          <w:rFonts w:ascii="Times New Roman" w:hAnsi="Times New Roman"/>
          <w:b/>
          <w:sz w:val="28"/>
        </w:rPr>
        <w:t>1.2.1  时序特征编码方案</w:t>
      </w:r>
    </w:p>
    <w:p>
      <w:pPr>
        <w:spacing w:line="360" w:lineRule="auto" w:before="0" w:after="0"/>
        <w:ind w:firstLine="560"/>
      </w:pPr>
      <w:r>
        <w:rPr>
          <w:rFonts w:eastAsia="宋体"/>
          <w:rFonts w:ascii="Times New Roman" w:hAnsi="Times New Roman"/>
          <w:b w:val="0"/>
          <w:sz w:val="28"/>
        </w:rPr>
        <w:t>特征编码采用双维时序方案，以各时间窗口的上期数据和去年同期数据作为特征，该窗口实际数据作为预测目标。时间窗口设为3天、5天、7天、15天和30天五种，灵活适配不同管理场景：3天窗口支持应急排查，7天窗口对应周评价，15天窗口适配订货调整，30天窗口对应月度考核。维度A为上期特征：取目标期的上一期数据共14维，反映终端近期的经营趋势；维度B为同期特征：取去年同期的数据共14维，捕捉终端的季节性消费规律。以30天窗口预测2月数据为例，上期取1月数据，同期取2025年2月数据；预测3月则取2月数据和2025年3月数据，以此类推。此外，利用已有数据构建趋势均值14维，同比变化率14维，合计56维输入特征。该方案同样适用于3天、5天、7天和15天窗口，只需将月度数据替换为对应窗口长度的数据即可。</w:t>
      </w:r>
    </w:p>
    <w:p>
      <w:pPr>
        <w:spacing w:line="360" w:lineRule="auto" w:before="0" w:after="0"/>
        <w:ind w:firstLine="560"/>
      </w:pPr>
      <w:r>
        <w:rPr>
          <w:rFonts w:eastAsia="宋体"/>
          <w:rFonts w:ascii="Times New Roman" w:hAnsi="Times New Roman"/>
          <w:b w:val="0"/>
          <w:sz w:val="28"/>
        </w:rPr>
        <w:t>图1展示了核心指标的核密度分布。日均扫码笔数和在线支付笔数均呈现明显的右偏分布，说明大部分终端扫码量和支付量偏低，少数终端贡献了主要交易量。使用率分布相对集中，大部分终端使用率在60%至90%之间。</w:t>
      </w:r>
    </w:p>
    <w:p>
      <w:pPr>
        <w:jc w:val="center"/>
      </w:pPr>
      <w:r>
        <w:drawing>
          <wp:inline xmlns:a="http://schemas.openxmlformats.org/drawingml/2006/main" xmlns:pic="http://schemas.openxmlformats.org/drawingml/2006/picture">
            <wp:extent cx="5400000" cy="3584889"/>
            <wp:docPr id="1" name="Picture 1"/>
            <wp:cNvGraphicFramePr>
              <a:graphicFrameLocks noChangeAspect="1"/>
            </wp:cNvGraphicFramePr>
            <a:graphic>
              <a:graphicData uri="http://schemas.openxmlformats.org/drawingml/2006/picture">
                <pic:pic>
                  <pic:nvPicPr>
                    <pic:cNvPr id="0" name="v42_核密度分布.png"/>
                    <pic:cNvPicPr/>
                  </pic:nvPicPr>
                  <pic:blipFill>
                    <a:blip r:embed="rId10"/>
                    <a:stretch>
                      <a:fillRect/>
                    </a:stretch>
                  </pic:blipFill>
                  <pic:spPr>
                    <a:xfrm>
                      <a:off x="0" y="0"/>
                      <a:ext cx="5400000" cy="3584889"/>
                    </a:xfrm>
                    <a:prstGeom prst="rect"/>
                  </pic:spPr>
                </pic:pic>
              </a:graphicData>
            </a:graphic>
          </wp:inline>
        </w:drawing>
      </w:r>
    </w:p>
    <w:p>
      <w:pPr>
        <w:spacing w:line="360" w:lineRule="auto" w:before="0" w:after="20"/>
      </w:pPr>
      <w:r>
        <w:rPr>
          <w:rFonts w:eastAsia="宋体"/>
          <w:rFonts w:ascii="Times New Roman" w:hAnsi="Times New Roman"/>
          <w:b w:val="0"/>
          <w:sz w:val="21"/>
        </w:rPr>
        <w:t>注：中位数以红色虚线标注，扫码量和支付量呈右偏分布，大部分终端活跃度偏低。</w:t>
      </w:r>
    </w:p>
    <w:p>
      <w:pPr>
        <w:spacing w:line="360" w:lineRule="auto" w:before="0" w:after="80"/>
        <w:jc w:val="center"/>
      </w:pPr>
      <w:r>
        <w:rPr>
          <w:rFonts w:eastAsia="黑体"/>
          <w:rFonts w:ascii="Times New Roman" w:hAnsi="Times New Roman"/>
          <w:b/>
          <w:sz w:val="28"/>
        </w:rPr>
        <w:t>图1  133家零售终端核心指标核密度分布</w:t>
      </w:r>
    </w:p>
    <w:p>
      <w:pPr>
        <w:spacing w:line="360" w:lineRule="auto" w:before="0" w:after="0"/>
        <w:ind w:firstLine="560"/>
      </w:pPr>
      <w:r>
        <w:rPr>
          <w:rFonts w:eastAsia="宋体"/>
          <w:rFonts w:ascii="Times New Roman" w:hAnsi="Times New Roman"/>
          <w:b w:val="0"/>
          <w:sz w:val="28"/>
        </w:rPr>
        <w:t>图2展示了完整的预测预警技术路线。从输入数据开始，经过双维时序特征编码和多模型并行训练，通过加权集成输出14项指标的预测值，最终生成四级零售终端运行风险预警。</w:t>
      </w:r>
    </w:p>
    <w:p>
      <w:pPr>
        <w:jc w:val="center"/>
      </w:pPr>
      <w:r>
        <w:drawing>
          <wp:inline xmlns:a="http://schemas.openxmlformats.org/drawingml/2006/main" xmlns:pic="http://schemas.openxmlformats.org/drawingml/2006/picture">
            <wp:extent cx="5400000" cy="2947883"/>
            <wp:docPr id="2" name="Picture 2"/>
            <wp:cNvGraphicFramePr>
              <a:graphicFrameLocks noChangeAspect="1"/>
            </wp:cNvGraphicFramePr>
            <a:graphic>
              <a:graphicData uri="http://schemas.openxmlformats.org/drawingml/2006/picture">
                <pic:pic>
                  <pic:nvPicPr>
                    <pic:cNvPr id="0" name="v42_技术路线图.png"/>
                    <pic:cNvPicPr/>
                  </pic:nvPicPr>
                  <pic:blipFill>
                    <a:blip r:embed="rId11"/>
                    <a:stretch>
                      <a:fillRect/>
                    </a:stretch>
                  </pic:blipFill>
                  <pic:spPr>
                    <a:xfrm>
                      <a:off x="0" y="0"/>
                      <a:ext cx="5400000" cy="2947883"/>
                    </a:xfrm>
                    <a:prstGeom prst="rect"/>
                  </pic:spPr>
                </pic:pic>
              </a:graphicData>
            </a:graphic>
          </wp:inline>
        </w:drawing>
      </w:r>
    </w:p>
    <w:p>
      <w:pPr>
        <w:spacing w:line="360" w:lineRule="auto" w:before="0" w:after="20"/>
      </w:pPr>
      <w:r>
        <w:rPr>
          <w:rFonts w:eastAsia="宋体"/>
          <w:rFonts w:ascii="Times New Roman" w:hAnsi="Times New Roman"/>
          <w:b w:val="0"/>
          <w:sz w:val="21"/>
        </w:rPr>
        <w:t>注：输入数据经双维编码和多模型并行训练后，通过加权集成输出预测值并生成运行风险预警。</w:t>
      </w:r>
    </w:p>
    <w:p>
      <w:pPr>
        <w:spacing w:line="360" w:lineRule="auto" w:before="0" w:after="80"/>
        <w:jc w:val="center"/>
      </w:pPr>
      <w:r>
        <w:rPr>
          <w:rFonts w:eastAsia="黑体"/>
          <w:rFonts w:ascii="Times New Roman" w:hAnsi="Times New Roman"/>
          <w:b/>
          <w:sz w:val="28"/>
        </w:rPr>
        <w:t>图2  基于LightGBM的预测预警技术路线</w:t>
      </w:r>
    </w:p>
    <w:p>
      <w:pPr>
        <w:spacing w:line="360" w:lineRule="auto" w:before="0" w:after="60"/>
      </w:pPr>
      <w:r>
        <w:rPr>
          <w:rFonts w:eastAsia="黑体"/>
          <w:rFonts w:ascii="Times New Roman" w:hAnsi="Times New Roman"/>
          <w:b/>
          <w:sz w:val="28"/>
        </w:rPr>
        <w:t>1.2.2  模型对比设计</w:t>
      </w:r>
    </w:p>
    <w:p>
      <w:pPr>
        <w:spacing w:line="360" w:lineRule="auto" w:before="0" w:after="0"/>
        <w:ind w:firstLine="560"/>
      </w:pPr>
      <w:r>
        <w:rPr>
          <w:rFonts w:eastAsia="宋体"/>
          <w:rFonts w:ascii="Times New Roman" w:hAnsi="Times New Roman"/>
          <w:b w:val="0"/>
          <w:sz w:val="28"/>
        </w:rPr>
        <w:t>本文选取四种代表性模型进行横向对比，覆盖从简单线性到复杂非线性的算法谱系。</w:t>
      </w:r>
    </w:p>
    <w:p>
      <w:pPr>
        <w:spacing w:line="360" w:lineRule="auto" w:before="0" w:after="40"/>
        <w:ind w:firstLine="560"/>
      </w:pPr>
      <w:r>
        <w:rPr>
          <w:rFonts w:eastAsia="宋体"/>
          <w:rFonts w:ascii="Times New Roman" w:hAnsi="Times New Roman"/>
          <w:b w:val="0"/>
          <w:sz w:val="28"/>
        </w:rPr>
        <w:t>（1）线性回归（Linear Regression，LR）。线性回归是一种基于最小二乘法的参数化模型，假设预测目标与特征之间存在线性可加关系，通过最小化残差平方和估计模型参数。正则化系数α=0.01，提供可解释基线，检验扫码预测中是否存在显著的线性可加关系。模型形式为：</w:t>
      </w:r>
    </w:p>
    <w:p>
      <w:pPr>
        <w:spacing w:before="60" w:after="60" w:line="360" w:lineRule="auto"/>
        <w:jc w:val="center"/>
      </w:pPr>
      <m:oMathPara>
        <m:oMath>
          <m:r>
            <m:rPr>
              <m:sty m:val="i"/>
            </m:rPr>
            <m:t>ŷ</m:t>
          </m:r>
          <m:r>
            <m:rPr/>
            <m:t> = </m:t>
          </m:r>
          <m:sSup>
            <m:e>
              <m:r>
                <m:rPr>
                  <m:sty m:val="i"/>
                </m:rPr>
                <m:t>w</m:t>
              </m:r>
            </m:e>
            <m:sup>
              <m:r>
                <m:rPr/>
                <m:t>T</m:t>
              </m:r>
            </m:sup>
          </m:sSup>
          <m:r>
            <m:rPr>
              <m:sty m:val="i"/>
            </m:rPr>
            <m:t>x</m:t>
          </m:r>
          <m:r>
            <m:rPr/>
            <m:t> + </m:t>
          </m:r>
          <m:r>
            <m:rPr>
              <m:sty m:val="i"/>
            </m:rPr>
            <m:t>b</m:t>
          </m:r>
        </m:oMath>
        <m:r>
          <m:rPr/>
          <m:t>    (1)</m:t>
        </m:r>
      </m:oMathPara>
    </w:p>
    <w:p>
      <w:pPr>
        <w:spacing w:line="360" w:lineRule="auto" w:before="0" w:after="20"/>
        <w:ind w:firstLine="560"/>
      </w:pPr>
      <w:r>
        <w:rPr>
          <w:rFonts w:eastAsia="宋体"/>
          <w:rFonts w:ascii="Times New Roman" w:hAnsi="Times New Roman"/>
          <w:b w:val="0"/>
          <w:sz w:val="28"/>
        </w:rPr>
        <w:t>式中：ŷ为预测值，w为权重向量，x为特征向量，b为偏置项。</w:t>
      </w:r>
    </w:p>
    <w:p>
      <w:pPr>
        <w:spacing w:line="360" w:lineRule="auto" w:before="0" w:after="40"/>
        <w:ind w:firstLine="560"/>
      </w:pPr>
      <w:r>
        <w:rPr>
          <w:rFonts w:eastAsia="宋体"/>
          <w:rFonts w:ascii="Times New Roman" w:hAnsi="Times New Roman"/>
          <w:b w:val="0"/>
          <w:sz w:val="28"/>
        </w:rPr>
        <w:t>（2）随机森林（Random Forest，RF）[6]。随机森林是一种基于Bagging策略的集成学习方法，通过对训练集进行有放回抽样构建B棵决策树，每棵树在节点分裂时随机选取部分特征，最终对各树预测取均值输出结果。设置B=200、max_depth=5，小样本场景下对异常值和过拟合稳健。模型形式为：</w:t>
      </w:r>
    </w:p>
    <w:p>
      <w:pPr>
        <w:spacing w:before="60" w:after="60" w:line="360" w:lineRule="auto"/>
        <w:jc w:val="center"/>
      </w:pPr>
      <m:oMathPara>
        <m:oMath>
          <m:r>
            <m:rPr>
              <m:sty m:val="i"/>
            </m:rPr>
            <m:t>ŷ</m:t>
          </m:r>
          <m:r>
            <m:rPr/>
            <m:t> = </m:t>
          </m:r>
          <m:f>
            <m:num>
              <m:nary>
                <m:naryPr>
                  <m:chr m:val="∑"/>
                </m:naryPr>
                <m:sub>
                  <m:r>
                    <m:rPr/>
                    <m:t>b=1</m:t>
                  </m:r>
                </m:sub>
                <m:sup>
                  <m:r>
                    <m:rPr/>
                    <m:t>B</m:t>
                  </m:r>
                </m:sup>
                <m:e>
                  <m:sSub>
                    <m:e>
                      <m:r>
                        <m:rPr>
                          <m:sty m:val="i"/>
                        </m:rPr>
                        <m:t>h</m:t>
                      </m:r>
                    </m:e>
                    <m:sub>
                      <m:r>
                        <m:rPr/>
                        <m:t>b</m:t>
                      </m:r>
                    </m:sub>
                  </m:sSub>
                  <m:r>
                    <m:rPr/>
                    <m:t>(</m:t>
                  </m:r>
                  <m:r>
                    <m:rPr>
                      <m:sty m:val="i"/>
                    </m:rPr>
                    <m:t>x</m:t>
                  </m:r>
                  <m:r>
                    <m:rPr/>
                    <m:t>)</m:t>
                  </m:r>
                </m:e>
              </m:nary>
            </m:num>
            <m:den>
              <m:r>
                <m:rPr>
                  <m:sty m:val="i"/>
                </m:rPr>
                <m:t>B</m:t>
              </m:r>
            </m:den>
          </m:f>
        </m:oMath>
        <m:r>
          <m:rPr/>
          <m:t>    (2)</m:t>
        </m:r>
      </m:oMathPara>
    </w:p>
    <w:p>
      <w:pPr>
        <w:spacing w:line="360" w:lineRule="auto" w:before="0" w:after="0"/>
        <w:ind w:firstLine="560"/>
      </w:pPr>
      <w:r>
        <w:rPr>
          <w:rFonts w:eastAsia="宋体"/>
          <w:rFonts w:ascii="Times New Roman" w:hAnsi="Times New Roman"/>
          <w:b w:val="0"/>
          <w:sz w:val="28"/>
        </w:rPr>
        <w:t>式中：ŷ为预测值，B为决策树数量，</w:t>
      </w:r>
    </w:p>
    <w:p>
      <w:pPr>
        <w:spacing w:line="360" w:lineRule="auto" w:after="20"/>
        <w:ind w:firstLine="560"/>
      </w:pPr>
      <w:r>
        <w:rPr>
          <w:rFonts w:eastAsia="宋体"/>
          <w:rFonts w:ascii="Times New Roman" w:hAnsi="Times New Roman"/>
          <w:b w:val="0"/>
          <w:sz w:val="28"/>
        </w:rPr>
        <w:t>为第</w:t>
      </w:r>
      <m:oMathPara>
        <m:oMath>
          <m:sSub>
            <m:e>
              <m:r>
                <m:rPr>
                  <m:sty m:val="i"/>
                </m:rPr>
                <m:t>h</m:t>
              </m:r>
            </m:e>
            <m:sub>
              <m:r>
                <m:rPr/>
                <m:t>b</m:t>
              </m:r>
            </m:sub>
          </m:sSub>
          <m:r>
            <m:rPr/>
            <m:t>(</m:t>
          </m:r>
          <m:r>
            <m:rPr>
              <m:sty m:val="i"/>
            </m:rPr>
            <m:t>x</m:t>
          </m:r>
          <m:r>
            <m:rPr/>
            <m:t>)</m:t>
          </m:r>
        </m:oMath>
      </m:oMathPara>
      <w:r>
        <w:rPr>
          <w:rFonts w:eastAsia="宋体"/>
          <w:rFonts w:ascii="Times New Roman" w:hAnsi="Times New Roman"/>
          <w:b w:val="0"/>
          <w:sz w:val="28"/>
        </w:rPr>
        <w:t>棵树的预测值，x为特征向量。</w:t>
      </w:r>
    </w:p>
    <w:p>
      <w:pPr>
        <w:spacing w:line="360" w:lineRule="auto" w:before="0" w:after="40"/>
        <w:ind w:firstLine="560"/>
      </w:pPr>
      <w:r>
        <w:rPr>
          <w:rFonts w:eastAsia="宋体"/>
          <w:rFonts w:ascii="Times New Roman" w:hAnsi="Times New Roman"/>
          <w:b w:val="0"/>
          <w:sz w:val="28"/>
        </w:rPr>
        <w:t>（3）LightGBM（Light Gradient Boosting Machine）[6]。LightGBM是一种基于GOSS和EFB的高效梯度提升决策树，在第</w:t>
      </w:r>
    </w:p>
    <w:p>
      <w:pPr>
        <w:spacing w:line="360" w:lineRule="auto" w:before="60" w:after="60"/>
        <w:jc w:val="center"/>
      </w:pPr>
      <m:oMathPara>
        <m:oMath>
          <m:sSub>
            <m:e>
              <m:r>
                <m:rPr>
                  <m:sty m:val="i"/>
                </m:rPr>
                <m:t>F</m:t>
              </m:r>
            </m:e>
            <m:sub>
              <m:r>
                <m:rPr/>
                <m:t>t</m:t>
              </m:r>
            </m:sub>
          </m:sSub>
          <m:r>
            <m:rPr/>
            <m:t>(</m:t>
          </m:r>
          <m:r>
            <m:rPr>
              <m:sty m:val="i"/>
            </m:rPr>
            <m:t>x</m:t>
          </m:r>
          <m:r>
            <m:rPr/>
            <m:t>) = </m:t>
          </m:r>
          <m:sSub>
            <m:e>
              <m:r>
                <m:rPr>
                  <m:sty m:val="i"/>
                </m:rPr>
                <m:t>F</m:t>
              </m:r>
            </m:e>
            <m:sub>
              <m:r>
                <m:rPr/>
                <m:t>t-1</m:t>
              </m:r>
            </m:sub>
          </m:sSub>
          <m:r>
            <m:rPr/>
            <m:t>(</m:t>
          </m:r>
          <m:r>
            <m:rPr>
              <m:sty m:val="i"/>
            </m:rPr>
            <m:t>x</m:t>
          </m:r>
          <m:r>
            <m:rPr/>
            <m:t>) + </m:t>
          </m:r>
          <m:sSub>
            <m:e>
              <m:r>
                <m:rPr>
                  <m:sty m:val="i"/>
                </m:rPr>
                <m:t>f</m:t>
              </m:r>
            </m:e>
            <m:sub>
              <m:r>
                <m:rPr/>
                <m:t>t</m:t>
              </m:r>
            </m:sub>
          </m:sSub>
          <m:r>
            <m:rPr/>
            <m:t>(</m:t>
          </m:r>
          <m:r>
            <m:rPr>
              <m:sty m:val="i"/>
            </m:rPr>
            <m:t>x</m:t>
          </m:r>
          <m:r>
            <m:rPr/>
            <m:t>)</m:t>
          </m:r>
        </m:oMath>
        <m:r>
          <m:rPr/>
          <m:t>    (3)</m:t>
        </m:r>
      </m:oMathPara>
    </w:p>
    <w:p>
      <w:pPr>
        <w:spacing w:line="360" w:lineRule="auto" w:before="0" w:after="0"/>
        <w:ind w:firstLine="560"/>
      </w:pPr>
      <w:r>
        <w:rPr>
          <w:rFonts w:eastAsia="宋体"/>
          <w:rFonts w:ascii="Times New Roman" w:hAnsi="Times New Roman"/>
          <w:b w:val="0"/>
          <w:sz w:val="28"/>
        </w:rPr>
        <w:t>轮迭代中，模型在前</w:t>
      </w:r>
    </w:p>
    <w:p>
      <w:pPr>
        <w:spacing w:line="360" w:lineRule="auto" w:after="20"/>
        <w:ind w:firstLine="560"/>
      </w:pPr>
      <m:oMathPara>
        <m:oMath>
          <m:sSub>
            <m:e>
              <m:r>
                <m:rPr>
                  <m:sty m:val="i"/>
                </m:rPr>
                <m:t>F</m:t>
              </m:r>
            </m:e>
            <m:sub>
              <m:r>
                <m:rPr/>
                <m:t>t-1</m:t>
              </m:r>
            </m:sub>
          </m:sSub>
          <m:r>
            <m:rPr/>
            <m:t>(</m:t>
          </m:r>
          <m:r>
            <m:rPr>
              <m:sty m:val="i"/>
            </m:rPr>
            <m:t>x</m:t>
          </m:r>
          <m:r>
            <m:rPr/>
            <m:t>)</m:t>
          </m:r>
        </m:oMath>
      </m:oMathPara>
      <w:r>
        <w:rPr>
          <w:rFonts w:eastAsia="宋体"/>
          <w:rFonts w:ascii="Times New Roman" w:hAnsi="Times New Roman"/>
          <w:b w:val="0"/>
          <w:sz w:val="28"/>
        </w:rPr>
        <w:t>轮的基础上追加一棵树，使得当前损失最小化。</w:t>
      </w:r>
    </w:p>
    <w:p>
      <w:pPr>
        <w:spacing w:line="360" w:lineRule="auto" w:before="0" w:after="20"/>
        <w:ind w:firstLine="560"/>
      </w:pPr>
      <w:r>
        <w:rPr>
          <w:rFonts w:eastAsia="宋体"/>
          <w:rFonts w:ascii="Times New Roman" w:hAnsi="Times New Roman"/>
          <w:b w:val="0"/>
          <w:sz w:val="28"/>
        </w:rPr>
        <w:t>GOSS通过保留大梯度样本和随机采样小梯度样本减少计算量，EFB通过合并互斥特征降低特征维度。设置num_leaves=31、learning_rate=0.03、n_estimators=500、feature_fraction=0.7，已有研究[2-3]验证了其在烟草领域行为预测中的优异性能。GOSS保留梯度大于阈值a的样本，对小梯度样本以比例b随机采样；EFB将互斥特征合并为同一bundle，特征维度从56降至实际使用的约20维，大幅加速训练过程。</w:t>
      </w:r>
    </w:p>
    <w:p>
      <w:pPr>
        <w:spacing w:line="360" w:lineRule="auto" w:before="0" w:after="40"/>
        <w:ind w:firstLine="560"/>
      </w:pPr>
      <w:r>
        <w:rPr>
          <w:rFonts w:eastAsia="宋体"/>
          <w:rFonts w:ascii="Times New Roman" w:hAnsi="Times New Roman"/>
          <w:b w:val="0"/>
          <w:sz w:val="28"/>
        </w:rPr>
        <w:t>（4）简单基线（Naive Baseline，NB）。直接使用上期实际值作为目标期预测值，即对第j项指标：</w:t>
      </w:r>
    </w:p>
    <w:p>
      <w:pPr>
        <w:spacing w:before="60" w:after="60" w:line="360" w:lineRule="auto"/>
        <w:jc w:val="center"/>
      </w:pPr>
      <m:oMathPara>
        <m:oMath>
          <m:sSub>
            <m:e>
              <m:r>
                <m:rPr>
                  <m:sty m:val="i"/>
                </m:rPr>
                <m:t>ŷ</m:t>
              </m:r>
            </m:e>
            <m:sub>
              <m:r>
                <m:rPr/>
                <m:t>j,T+1</m:t>
              </m:r>
            </m:sub>
          </m:sSub>
          <m:r>
            <m:rPr/>
            <m:t> = </m:t>
          </m:r>
          <m:sSub>
            <m:e>
              <m:r>
                <m:rPr>
                  <m:sty m:val="i"/>
                </m:rPr>
                <m:t>y</m:t>
              </m:r>
            </m:e>
            <m:sub>
              <m:r>
                <m:rPr/>
                <m:t>j,T</m:t>
              </m:r>
            </m:sub>
          </m:sSub>
        </m:oMath>
        <m:r>
          <m:rPr/>
          <m:t>    (4)</m:t>
        </m:r>
      </m:oMathPara>
    </w:p>
    <w:p>
      <w:pPr>
        <w:spacing w:line="360" w:lineRule="auto" w:before="0" w:after="0"/>
        <w:ind w:firstLine="560"/>
      </w:pPr>
      <w:r>
        <w:rPr>
          <w:rFonts w:eastAsia="宋体"/>
          <w:rFonts w:ascii="Times New Roman" w:hAnsi="Times New Roman"/>
          <w:b w:val="0"/>
          <w:sz w:val="28"/>
        </w:rPr>
        <w:t>式中：</w:t>
      </w:r>
    </w:p>
    <w:p>
      <w:pPr>
        <w:spacing w:line="360" w:lineRule="auto"/>
        <w:ind w:firstLine="560"/>
      </w:pPr>
      <m:oMathPara>
        <m:oMath>
          <m:sSub>
            <m:e>
              <m:r>
                <m:rPr>
                  <m:sty m:val="i"/>
                </m:rPr>
                <m:t>ŷ</m:t>
              </m:r>
            </m:e>
            <m:sub>
              <m:r>
                <m:rPr/>
                <m:t>j,T+1</m:t>
              </m:r>
            </m:sub>
          </m:sSub>
          <m:r>
            <m:rPr/>
            <m:t>为第j项指标第T+1期的预测值，</m:t>
          </m:r>
          <m:sSub>
            <m:e>
              <m:r>
                <m:rPr>
                  <m:sty m:val="i"/>
                </m:rPr>
                <m:t>y</m:t>
              </m:r>
            </m:e>
            <m:sub>
              <m:r>
                <m:rPr/>
                <m:t>j,T</m:t>
              </m:r>
            </m:sub>
          </m:sSub>
          <m:r>
            <m:rPr/>
            <m:t>为第j项指标第T期的实际值。该基线衡量机器学习模型相比朴素预测的增量价值。</m:t>
          </m:r>
        </m:oMath>
      </m:oMathPara>
    </w:p>
    <w:p>
      <w:pPr>
        <w:spacing w:line="360" w:lineRule="auto" w:before="0" w:after="0"/>
        <w:ind w:firstLine="560"/>
      </w:pPr>
      <w:r>
        <w:rPr>
          <w:rFonts w:eastAsia="宋体"/>
          <w:rFonts w:ascii="Times New Roman" w:hAnsi="Times New Roman"/>
          <w:b w:val="0"/>
          <w:sz w:val="28"/>
        </w:rPr>
        <w:t>LightGBM参数配置见表3。</w:t>
      </w:r>
    </w:p>
    <w:p>
      <w:pPr>
        <w:spacing w:line="360" w:lineRule="auto" w:before="0" w:after="40"/>
        <w:jc w:val="center"/>
      </w:pPr>
      <w:r>
        <w:rPr>
          <w:rFonts w:eastAsia="宋体"/>
          <w:rFonts w:ascii="Times New Roman" w:hAnsi="Times New Roman"/>
          <w:b w:val="0"/>
          <w:sz w:val="21"/>
        </w:rPr>
        <w:t>表3  LightGBM参数配置</w:t>
      </w:r>
    </w:p>
    <w:tbl>
      <w:tblPr>
        <w:tblW w:type="auto" w:w="0"/>
        <w:jc w:val="center"/>
        <w:tblLook w:firstColumn="1" w:firstRow="1" w:lastColumn="0" w:lastRow="0" w:noHBand="0" w:noVBand="1" w:val="04A0"/>
        <w:tblBorders>
          <w:top w:val="single" w:sz="12" w:space="0" w:color="000000"/>
          <w:bottom w:val="single" w:sz="12" w:space="0" w:color="000000"/>
        </w:tblBorders>
      </w:tblPr>
      <w:tblGrid>
        <w:gridCol w:w="2882"/>
        <w:gridCol w:w="2882"/>
        <w:gridCol w:w="2882"/>
      </w:tblGrid>
      <w:tr>
        <w:tc>
          <w:tcPr>
            <w:tcW w:type="dxa" w:w="2882"/>
            <w:tcBorders>
              <w:bottom w:val="single" w:sz="8" w:space="0" w:color="000000"/>
            </w:tcBorders>
          </w:tcPr>
          <w:p>
            <w:pPr>
              <w:spacing w:before="20" w:after="20" w:line="288" w:lineRule="auto"/>
              <w:jc w:val="center"/>
            </w:pPr>
            <w:r/>
            <w:r>
              <w:rPr>
                <w:rFonts w:eastAsia="宋体"/>
                <w:rFonts w:ascii="Times New Roman" w:hAnsi="Times New Roman"/>
                <w:b/>
                <w:sz w:val="21"/>
              </w:rPr>
              <w:t>参数名称</w:t>
            </w:r>
          </w:p>
        </w:tc>
        <w:tc>
          <w:tcPr>
            <w:tcW w:type="dxa" w:w="2882"/>
            <w:tcBorders>
              <w:bottom w:val="single" w:sz="8" w:space="0" w:color="000000"/>
            </w:tcBorders>
          </w:tcPr>
          <w:p>
            <w:pPr>
              <w:spacing w:before="20" w:after="20" w:line="288" w:lineRule="auto"/>
              <w:jc w:val="center"/>
            </w:pPr>
            <w:r/>
            <w:r>
              <w:rPr>
                <w:rFonts w:eastAsia="宋体"/>
                <w:rFonts w:ascii="Times New Roman" w:hAnsi="Times New Roman"/>
                <w:b/>
                <w:sz w:val="21"/>
              </w:rPr>
              <w:t>参数值</w:t>
            </w:r>
          </w:p>
        </w:tc>
        <w:tc>
          <w:tcPr>
            <w:tcW w:type="dxa" w:w="2882"/>
            <w:tcBorders>
              <w:bottom w:val="single" w:sz="8" w:space="0" w:color="000000"/>
            </w:tcBorders>
          </w:tcPr>
          <w:p>
            <w:pPr>
              <w:spacing w:before="20" w:after="20" w:line="288" w:lineRule="auto"/>
              <w:jc w:val="center"/>
            </w:pPr>
            <w:r/>
            <w:r>
              <w:rPr>
                <w:rFonts w:eastAsia="宋体"/>
                <w:rFonts w:ascii="Times New Roman" w:hAnsi="Times New Roman"/>
                <w:b/>
                <w:sz w:val="21"/>
              </w:rPr>
              <w:t>说明</w:t>
            </w:r>
          </w:p>
        </w:tc>
      </w:tr>
      <w:tr>
        <w:tc>
          <w:tcPr>
            <w:tcW w:type="dxa" w:w="2882"/>
            <w:tcBorders/>
          </w:tcPr>
          <w:p>
            <w:pPr>
              <w:spacing w:before="20" w:after="20" w:line="288" w:lineRule="auto"/>
              <w:jc w:val="center"/>
            </w:pPr>
            <w:r/>
            <w:r>
              <w:rPr>
                <w:rFonts w:eastAsia="宋体"/>
                <w:rFonts w:ascii="Times New Roman" w:hAnsi="Times New Roman"/>
                <w:b w:val="0"/>
                <w:sz w:val="21"/>
              </w:rPr>
              <w:t>num_leaves</w:t>
            </w:r>
          </w:p>
        </w:tc>
        <w:tc>
          <w:tcPr>
            <w:tcW w:type="dxa" w:w="2882"/>
            <w:tcBorders/>
          </w:tcPr>
          <w:p>
            <w:pPr>
              <w:spacing w:before="20" w:after="20" w:line="288" w:lineRule="auto"/>
              <w:jc w:val="center"/>
            </w:pPr>
            <w:r/>
            <w:r>
              <w:rPr>
                <w:rFonts w:eastAsia="宋体"/>
                <w:rFonts w:ascii="Times New Roman" w:hAnsi="Times New Roman"/>
                <w:b w:val="0"/>
                <w:sz w:val="21"/>
              </w:rPr>
              <w:t>31</w:t>
            </w:r>
          </w:p>
        </w:tc>
        <w:tc>
          <w:tcPr>
            <w:tcW w:type="dxa" w:w="2882"/>
            <w:tcBorders/>
          </w:tcPr>
          <w:p>
            <w:pPr>
              <w:spacing w:before="20" w:after="20" w:line="288" w:lineRule="auto"/>
              <w:jc w:val="center"/>
            </w:pPr>
            <w:r/>
            <w:r>
              <w:rPr>
                <w:rFonts w:eastAsia="宋体"/>
                <w:rFonts w:ascii="Times New Roman" w:hAnsi="Times New Roman"/>
                <w:b w:val="0"/>
                <w:sz w:val="21"/>
              </w:rPr>
              <w:t>控制树复杂度</w:t>
            </w:r>
          </w:p>
        </w:tc>
      </w:tr>
      <w:tr>
        <w:tc>
          <w:tcPr>
            <w:tcW w:type="dxa" w:w="2882"/>
            <w:tcBorders/>
          </w:tcPr>
          <w:p>
            <w:pPr>
              <w:spacing w:before="20" w:after="20" w:line="288" w:lineRule="auto"/>
              <w:jc w:val="center"/>
            </w:pPr>
            <w:r/>
            <w:r>
              <w:rPr>
                <w:rFonts w:eastAsia="宋体"/>
                <w:rFonts w:ascii="Times New Roman" w:hAnsi="Times New Roman"/>
                <w:b w:val="0"/>
                <w:sz w:val="21"/>
              </w:rPr>
              <w:t>learning_rate</w:t>
            </w:r>
          </w:p>
        </w:tc>
        <w:tc>
          <w:tcPr>
            <w:tcW w:type="dxa" w:w="2882"/>
            <w:tcBorders/>
          </w:tcPr>
          <w:p>
            <w:pPr>
              <w:spacing w:before="20" w:after="20" w:line="288" w:lineRule="auto"/>
              <w:jc w:val="center"/>
            </w:pPr>
            <w:r/>
            <w:r>
              <w:rPr>
                <w:rFonts w:eastAsia="宋体"/>
                <w:rFonts w:ascii="Times New Roman" w:hAnsi="Times New Roman"/>
                <w:b w:val="0"/>
                <w:sz w:val="21"/>
              </w:rPr>
              <w:t>0.03</w:t>
            </w:r>
          </w:p>
        </w:tc>
        <w:tc>
          <w:tcPr>
            <w:tcW w:type="dxa" w:w="2882"/>
            <w:tcBorders/>
          </w:tcPr>
          <w:p>
            <w:pPr>
              <w:spacing w:before="20" w:after="20" w:line="288" w:lineRule="auto"/>
              <w:jc w:val="center"/>
            </w:pPr>
            <w:r/>
            <w:r>
              <w:rPr>
                <w:rFonts w:eastAsia="宋体"/>
                <w:rFonts w:ascii="Times New Roman" w:hAnsi="Times New Roman"/>
                <w:b w:val="0"/>
                <w:sz w:val="21"/>
              </w:rPr>
              <w:t>每轮迭代步长</w:t>
            </w:r>
          </w:p>
        </w:tc>
      </w:tr>
      <w:tr>
        <w:tc>
          <w:tcPr>
            <w:tcW w:type="dxa" w:w="2882"/>
            <w:tcBorders/>
          </w:tcPr>
          <w:p>
            <w:pPr>
              <w:spacing w:before="20" w:after="20" w:line="288" w:lineRule="auto"/>
              <w:jc w:val="center"/>
            </w:pPr>
            <w:r/>
            <w:r>
              <w:rPr>
                <w:rFonts w:eastAsia="宋体"/>
                <w:rFonts w:ascii="Times New Roman" w:hAnsi="Times New Roman"/>
                <w:b w:val="0"/>
                <w:sz w:val="21"/>
              </w:rPr>
              <w:t>n_estimators</w:t>
            </w:r>
          </w:p>
        </w:tc>
        <w:tc>
          <w:tcPr>
            <w:tcW w:type="dxa" w:w="2882"/>
            <w:tcBorders/>
          </w:tcPr>
          <w:p>
            <w:pPr>
              <w:spacing w:before="20" w:after="20" w:line="288" w:lineRule="auto"/>
              <w:jc w:val="center"/>
            </w:pPr>
            <w:r/>
            <w:r>
              <w:rPr>
                <w:rFonts w:eastAsia="宋体"/>
                <w:rFonts w:ascii="Times New Roman" w:hAnsi="Times New Roman"/>
                <w:b w:val="0"/>
                <w:sz w:val="21"/>
              </w:rPr>
              <w:t>500</w:t>
            </w:r>
          </w:p>
        </w:tc>
        <w:tc>
          <w:tcPr>
            <w:tcW w:type="dxa" w:w="2882"/>
            <w:tcBorders/>
          </w:tcPr>
          <w:p>
            <w:pPr>
              <w:spacing w:before="20" w:after="20" w:line="288" w:lineRule="auto"/>
              <w:jc w:val="center"/>
            </w:pPr>
            <w:r/>
            <w:r>
              <w:rPr>
                <w:rFonts w:eastAsia="宋体"/>
                <w:rFonts w:ascii="Times New Roman" w:hAnsi="Times New Roman"/>
                <w:b w:val="0"/>
                <w:sz w:val="21"/>
              </w:rPr>
              <w:t>最大500轮</w:t>
            </w:r>
          </w:p>
        </w:tc>
      </w:tr>
      <w:tr>
        <w:tc>
          <w:tcPr>
            <w:tcW w:type="dxa" w:w="2882"/>
            <w:tcBorders/>
          </w:tcPr>
          <w:p>
            <w:pPr>
              <w:spacing w:before="20" w:after="20" w:line="288" w:lineRule="auto"/>
              <w:jc w:val="center"/>
            </w:pPr>
            <w:r/>
            <w:r>
              <w:rPr>
                <w:rFonts w:eastAsia="宋体"/>
                <w:rFonts w:ascii="Times New Roman" w:hAnsi="Times New Roman"/>
                <w:b w:val="0"/>
                <w:sz w:val="21"/>
              </w:rPr>
              <w:t>feature_fraction</w:t>
            </w:r>
          </w:p>
        </w:tc>
        <w:tc>
          <w:tcPr>
            <w:tcW w:type="dxa" w:w="2882"/>
            <w:tcBorders/>
          </w:tcPr>
          <w:p>
            <w:pPr>
              <w:spacing w:before="20" w:after="20" w:line="288" w:lineRule="auto"/>
              <w:jc w:val="center"/>
            </w:pPr>
            <w:r/>
            <w:r>
              <w:rPr>
                <w:rFonts w:eastAsia="宋体"/>
                <w:rFonts w:ascii="Times New Roman" w:hAnsi="Times New Roman"/>
                <w:b w:val="0"/>
                <w:sz w:val="21"/>
              </w:rPr>
              <w:t>0.7</w:t>
            </w:r>
          </w:p>
        </w:tc>
        <w:tc>
          <w:tcPr>
            <w:tcW w:type="dxa" w:w="2882"/>
            <w:tcBorders/>
          </w:tcPr>
          <w:p>
            <w:pPr>
              <w:spacing w:before="20" w:after="20" w:line="288" w:lineRule="auto"/>
              <w:jc w:val="center"/>
            </w:pPr>
            <w:r/>
            <w:r>
              <w:rPr>
                <w:rFonts w:eastAsia="宋体"/>
                <w:rFonts w:ascii="Times New Roman" w:hAnsi="Times New Roman"/>
                <w:b w:val="0"/>
                <w:sz w:val="21"/>
              </w:rPr>
              <w:t>每轮采样70%特征</w:t>
            </w:r>
          </w:p>
        </w:tc>
      </w:tr>
      <w:tr>
        <w:tc>
          <w:tcPr>
            <w:tcW w:type="dxa" w:w="2882"/>
            <w:tcBorders/>
          </w:tcPr>
          <w:p>
            <w:pPr>
              <w:spacing w:before="20" w:after="20" w:line="288" w:lineRule="auto"/>
              <w:jc w:val="center"/>
            </w:pPr>
            <w:r/>
            <w:r>
              <w:rPr>
                <w:rFonts w:eastAsia="宋体"/>
                <w:rFonts w:ascii="Times New Roman" w:hAnsi="Times New Roman"/>
                <w:b w:val="0"/>
                <w:sz w:val="21"/>
              </w:rPr>
              <w:t>min_child_samples</w:t>
            </w:r>
          </w:p>
        </w:tc>
        <w:tc>
          <w:tcPr>
            <w:tcW w:type="dxa" w:w="2882"/>
            <w:tcBorders/>
          </w:tcPr>
          <w:p>
            <w:pPr>
              <w:spacing w:before="20" w:after="20" w:line="288" w:lineRule="auto"/>
              <w:jc w:val="center"/>
            </w:pPr>
            <w:r/>
            <w:r>
              <w:rPr>
                <w:rFonts w:eastAsia="宋体"/>
                <w:rFonts w:ascii="Times New Roman" w:hAnsi="Times New Roman"/>
                <w:b w:val="0"/>
                <w:sz w:val="21"/>
              </w:rPr>
              <w:t>3</w:t>
            </w:r>
          </w:p>
        </w:tc>
        <w:tc>
          <w:tcPr>
            <w:tcW w:type="dxa" w:w="2882"/>
            <w:tcBorders/>
          </w:tcPr>
          <w:p>
            <w:pPr>
              <w:spacing w:before="20" w:after="20" w:line="288" w:lineRule="auto"/>
              <w:jc w:val="center"/>
            </w:pPr>
            <w:r/>
            <w:r>
              <w:rPr>
                <w:rFonts w:eastAsia="宋体"/>
                <w:rFonts w:ascii="Times New Roman" w:hAnsi="Times New Roman"/>
                <w:b w:val="0"/>
                <w:sz w:val="21"/>
              </w:rPr>
              <w:t>叶节点最少样本数</w:t>
            </w:r>
          </w:p>
        </w:tc>
      </w:tr>
      <w:tr>
        <w:tc>
          <w:tcPr>
            <w:tcW w:type="dxa" w:w="2882"/>
            <w:tcBorders/>
          </w:tcPr>
          <w:p>
            <w:pPr>
              <w:spacing w:before="20" w:after="20" w:line="288" w:lineRule="auto"/>
              <w:jc w:val="center"/>
            </w:pPr>
            <w:r/>
            <w:r>
              <w:rPr>
                <w:rFonts w:eastAsia="宋体"/>
                <w:rFonts w:ascii="Times New Roman" w:hAnsi="Times New Roman"/>
                <w:b w:val="0"/>
                <w:sz w:val="21"/>
              </w:rPr>
              <w:t>bagging_fraction</w:t>
            </w:r>
          </w:p>
        </w:tc>
        <w:tc>
          <w:tcPr>
            <w:tcW w:type="dxa" w:w="2882"/>
            <w:tcBorders/>
          </w:tcPr>
          <w:p>
            <w:pPr>
              <w:spacing w:before="20" w:after="20" w:line="288" w:lineRule="auto"/>
              <w:jc w:val="center"/>
            </w:pPr>
            <w:r/>
            <w:r>
              <w:rPr>
                <w:rFonts w:eastAsia="宋体"/>
                <w:rFonts w:ascii="Times New Roman" w:hAnsi="Times New Roman"/>
                <w:b w:val="0"/>
                <w:sz w:val="21"/>
              </w:rPr>
              <w:t>0.8</w:t>
            </w:r>
          </w:p>
        </w:tc>
        <w:tc>
          <w:tcPr>
            <w:tcW w:type="dxa" w:w="2882"/>
            <w:tcBorders/>
          </w:tcPr>
          <w:p>
            <w:pPr>
              <w:spacing w:before="20" w:after="20" w:line="288" w:lineRule="auto"/>
              <w:jc w:val="center"/>
            </w:pPr>
            <w:r/>
            <w:r>
              <w:rPr>
                <w:rFonts w:eastAsia="宋体"/>
                <w:rFonts w:ascii="Times New Roman" w:hAnsi="Times New Roman"/>
                <w:b w:val="0"/>
                <w:sz w:val="21"/>
              </w:rPr>
              <w:t>每轮采样80%样本</w:t>
            </w:r>
          </w:p>
        </w:tc>
      </w:tr>
      <w:tr>
        <w:tc>
          <w:tcPr>
            <w:tcW w:type="dxa" w:w="2882"/>
            <w:tcBorders/>
          </w:tcPr>
          <w:p>
            <w:pPr>
              <w:spacing w:before="20" w:after="20" w:line="288" w:lineRule="auto"/>
              <w:jc w:val="center"/>
            </w:pPr>
            <w:r/>
            <w:r>
              <w:rPr>
                <w:rFonts w:eastAsia="宋体"/>
                <w:rFonts w:ascii="Times New Roman" w:hAnsi="Times New Roman"/>
                <w:b w:val="0"/>
                <w:sz w:val="21"/>
              </w:rPr>
              <w:t>reg_alpha/reg_lambda</w:t>
            </w:r>
          </w:p>
        </w:tc>
        <w:tc>
          <w:tcPr>
            <w:tcW w:type="dxa" w:w="2882"/>
            <w:tcBorders/>
          </w:tcPr>
          <w:p>
            <w:pPr>
              <w:spacing w:before="20" w:after="20" w:line="288" w:lineRule="auto"/>
              <w:jc w:val="center"/>
            </w:pPr>
            <w:r/>
            <w:r>
              <w:rPr>
                <w:rFonts w:eastAsia="宋体"/>
                <w:rFonts w:ascii="Times New Roman" w:hAnsi="Times New Roman"/>
                <w:b w:val="0"/>
                <w:sz w:val="21"/>
              </w:rPr>
              <w:t>0.01</w:t>
            </w:r>
          </w:p>
        </w:tc>
        <w:tc>
          <w:tcPr>
            <w:tcW w:type="dxa" w:w="2882"/>
            <w:tcBorders/>
          </w:tcPr>
          <w:p>
            <w:pPr>
              <w:spacing w:before="20" w:after="20" w:line="288" w:lineRule="auto"/>
              <w:jc w:val="center"/>
            </w:pPr>
            <w:r/>
            <w:r>
              <w:rPr>
                <w:rFonts w:eastAsia="宋体"/>
                <w:rFonts w:ascii="Times New Roman" w:hAnsi="Times New Roman"/>
                <w:b w:val="0"/>
                <w:sz w:val="21"/>
              </w:rPr>
              <w:t>L1/L2正则化</w:t>
            </w:r>
          </w:p>
        </w:tc>
      </w:tr>
      <w:tr>
        <w:tc>
          <w:tcPr>
            <w:tcW w:type="dxa" w:w="2882"/>
            <w:tcBorders/>
          </w:tcPr>
          <w:p>
            <w:pPr>
              <w:spacing w:before="20" w:after="20" w:line="288" w:lineRule="auto"/>
              <w:jc w:val="center"/>
            </w:pPr>
            <w:r/>
            <w:r>
              <w:rPr>
                <w:rFonts w:eastAsia="宋体"/>
                <w:rFonts w:ascii="Times New Roman" w:hAnsi="Times New Roman"/>
                <w:b w:val="0"/>
                <w:sz w:val="21"/>
              </w:rPr>
              <w:t>random_state</w:t>
            </w:r>
          </w:p>
        </w:tc>
        <w:tc>
          <w:tcPr>
            <w:tcW w:type="dxa" w:w="2882"/>
            <w:tcBorders/>
          </w:tcPr>
          <w:p>
            <w:pPr>
              <w:spacing w:before="20" w:after="20" w:line="288" w:lineRule="auto"/>
              <w:jc w:val="center"/>
            </w:pPr>
            <w:r/>
            <w:r>
              <w:rPr>
                <w:rFonts w:eastAsia="宋体"/>
                <w:rFonts w:ascii="Times New Roman" w:hAnsi="Times New Roman"/>
                <w:b w:val="0"/>
                <w:sz w:val="21"/>
              </w:rPr>
              <w:t>42</w:t>
            </w:r>
          </w:p>
        </w:tc>
        <w:tc>
          <w:tcPr>
            <w:tcW w:type="dxa" w:w="2882"/>
            <w:tcBorders/>
          </w:tcPr>
          <w:p>
            <w:pPr>
              <w:spacing w:before="20" w:after="20" w:line="288" w:lineRule="auto"/>
              <w:jc w:val="center"/>
            </w:pPr>
            <w:r/>
            <w:r>
              <w:rPr>
                <w:rFonts w:eastAsia="宋体"/>
                <w:rFonts w:ascii="Times New Roman" w:hAnsi="Times New Roman"/>
                <w:b w:val="0"/>
                <w:sz w:val="21"/>
              </w:rPr>
              <w:t>保证结果可复现</w:t>
            </w:r>
          </w:p>
        </w:tc>
      </w:tr>
    </w:tbl>
    <w:p>
      <w:pPr>
        <w:spacing w:line="360" w:lineRule="auto" w:before="0" w:after="0"/>
        <w:ind w:firstLine="560"/>
      </w:pPr>
      <w:r>
        <w:rPr>
          <w:rFonts w:eastAsia="宋体"/>
          <w:rFonts w:ascii="Times New Roman" w:hAnsi="Times New Roman"/>
          <w:b w:val="0"/>
          <w:sz w:val="28"/>
        </w:rPr>
      </w:r>
    </w:p>
    <w:p>
      <w:pPr>
        <w:spacing w:line="360" w:lineRule="auto" w:before="0" w:after="60"/>
      </w:pPr>
      <w:r>
        <w:rPr>
          <w:rFonts w:eastAsia="黑体"/>
          <w:rFonts w:ascii="Times New Roman" w:hAnsi="Times New Roman"/>
          <w:b/>
          <w:sz w:val="28"/>
        </w:rPr>
        <w:t>1.2.3  评价指标</w:t>
      </w:r>
    </w:p>
    <w:p>
      <w:pPr>
        <w:spacing w:line="360" w:lineRule="auto" w:before="0" w:after="0"/>
        <w:ind w:firstLine="560"/>
      </w:pPr>
      <w:r>
        <w:rPr>
          <w:rFonts w:eastAsia="宋体"/>
          <w:rFonts w:ascii="Times New Roman" w:hAnsi="Times New Roman"/>
          <w:b w:val="0"/>
          <w:sz w:val="28"/>
        </w:rPr>
        <w:t>评估体系分回归和分类两个层面。回归层面采用决定系数R²衡量预测值与实际值的拟合精度，R²越接近1说明预测越准确。分类层面将每个预测目标的预测值按阈值转换为二分类标签，14个目标的分类结果取R²加权平均值。具体指标如下：</w:t>
      </w:r>
    </w:p>
    <w:p>
      <w:pPr>
        <w:spacing w:line="360" w:lineRule="auto" w:before="0" w:after="40"/>
        <w:ind w:firstLine="560"/>
      </w:pPr>
      <w:r>
        <w:rPr>
          <w:rFonts w:eastAsia="宋体"/>
          <w:rFonts w:ascii="Times New Roman" w:hAnsi="Times New Roman"/>
          <w:b w:val="0"/>
          <w:sz w:val="28"/>
        </w:rPr>
        <w:t>（1）决定系数R²。R²衡量回归模型对因变量方差的解释比例，取值范围负无穷至1，越接近1说明模型拟合越好。计算公式为：</w:t>
      </w:r>
    </w:p>
    <w:p>
      <w:pPr>
        <w:spacing w:before="60" w:after="60" w:line="360" w:lineRule="auto"/>
        <w:jc w:val="center"/>
      </w:pPr>
      <m:oMathPara>
        <m:oMath>
          <m:sSup>
            <m:e>
              <m:r>
                <m:rPr>
                  <m:sty m:val="i"/>
                </m:rPr>
                <m:t>R</m:t>
              </m:r>
            </m:e>
            <m:sup>
              <m:r>
                <m:rPr/>
                <m:t>2</m:t>
              </m:r>
            </m:sup>
          </m:sSup>
          <m:r>
            <m:rPr/>
            <m:t> = 1 − </m:t>
          </m:r>
          <m:f>
            <m:num>
              <m:nary>
                <m:naryPr>
                  <m:chr m:val="∑"/>
                </m:naryPr>
                <m:sub>
                  <m:r>
                    <m:rPr/>
                    <m:t>i=1</m:t>
                  </m:r>
                </m:sub>
                <m:sup>
                  <m:r>
                    <m:rPr/>
                    <m:t>n</m:t>
                  </m:r>
                </m:sup>
                <m:e>
                  <m:sSup>
                    <m:e>
                      <m:sSub>
                        <m:e>
                          <m:r>
                            <m:rPr>
                              <m:sty m:val="i"/>
                            </m:rPr>
                            <m:t>y</m:t>
                          </m:r>
                        </m:e>
                        <m:sub>
                          <m:r>
                            <m:rPr/>
                            <m:t>i</m:t>
                          </m:r>
                        </m:sub>
                      </m:sSub>
                      <m:r>
                        <m:rPr/>
                        <m:t> − </m:t>
                      </m:r>
                      <m:sSub>
                        <m:e>
                          <m:r>
                            <m:rPr>
                              <m:sty m:val="i"/>
                            </m:rPr>
                            <m:t>ŷ</m:t>
                          </m:r>
                        </m:e>
                        <m:sub>
                          <m:r>
                            <m:rPr/>
                            <m:t>i</m:t>
                          </m:r>
                        </m:sub>
                      </m:sSub>
                    </m:e>
                    <m:sup>
                      <m:r>
                        <m:rPr/>
                        <m:t>2</m:t>
                      </m:r>
                    </m:sup>
                  </m:sSup>
                </m:e>
              </m:nary>
            </m:num>
            <m:den>
              <m:nary>
                <m:naryPr>
                  <m:chr m:val="∑"/>
                </m:naryPr>
                <m:sub>
                  <m:r>
                    <m:rPr/>
                    <m:t>i=1</m:t>
                  </m:r>
                </m:sub>
                <m:sup>
                  <m:r>
                    <m:rPr/>
                    <m:t>n</m:t>
                  </m:r>
                </m:sup>
                <m:e>
                  <m:sSup>
                    <m:e>
                      <m:sSub>
                        <m:e>
                          <m:r>
                            <m:rPr>
                              <m:sty m:val="i"/>
                            </m:rPr>
                            <m:t>y</m:t>
                          </m:r>
                        </m:e>
                        <m:sub>
                          <m:r>
                            <m:rPr/>
                            <m:t>i</m:t>
                          </m:r>
                        </m:sub>
                      </m:sSub>
                      <m:r>
                        <m:rPr/>
                        <m:t> − </m:t>
                      </m:r>
                      <m:r>
                        <m:rPr>
                          <m:sty m:val="i"/>
                        </m:rPr>
                        <m:t>ȳ</m:t>
                      </m:r>
                    </m:e>
                    <m:sup>
                      <m:r>
                        <m:rPr/>
                        <m:t>2</m:t>
                      </m:r>
                    </m:sup>
                  </m:sSup>
                </m:e>
              </m:nary>
            </m:den>
          </m:f>
        </m:oMath>
        <m:r>
          <m:rPr/>
          <m:t>    (5)</m:t>
        </m:r>
      </m:oMathPara>
    </w:p>
    <w:p>
      <w:pPr>
        <w:spacing w:line="360" w:lineRule="auto" w:before="0" w:after="0"/>
        <w:ind w:firstLine="560"/>
      </w:pPr>
      <w:r>
        <w:rPr>
          <w:rFonts w:eastAsia="宋体"/>
          <w:rFonts w:ascii="Times New Roman" w:hAnsi="Times New Roman"/>
          <w:b w:val="0"/>
          <w:sz w:val="28"/>
        </w:rPr>
        <w:t>式中：</w:t>
      </w:r>
    </w:p>
    <w:p>
      <w:pPr>
        <w:spacing w:line="360" w:lineRule="auto"/>
        <w:ind w:firstLine="560"/>
      </w:pPr>
      <m:oMathPara>
        <m:oMath>
          <m:sSub>
            <m:e>
              <m:r>
                <m:rPr>
                  <m:sty m:val="i"/>
                </m:rPr>
                <m:t>y</m:t>
              </m:r>
            </m:e>
            <m:sub>
              <m:r>
                <m:rPr/>
                <m:t>i</m:t>
              </m:r>
            </m:sub>
          </m:sSub>
          <m:r>
            <m:rPr/>
            <m:t>为第i个实际值，</m:t>
          </m:r>
          <m:sSub>
            <m:e>
              <m:r>
                <m:rPr>
                  <m:sty m:val="i"/>
                </m:rPr>
                <m:t>ŷ</m:t>
              </m:r>
            </m:e>
            <m:sub>
              <m:r>
                <m:rPr/>
                <m:t>i</m:t>
              </m:r>
            </m:sub>
          </m:sSub>
          <m:r>
            <m:rPr/>
            <m:t>为第i个预测值，</m:t>
          </m:r>
          <m:r>
            <m:rPr>
              <m:sty m:val="i"/>
            </m:rPr>
            <m:t>ȳ</m:t>
          </m:r>
          <m:r>
            <m:rPr/>
            <m:t>为实际值的均值，n为样本数。</m:t>
          </m:r>
        </m:oMath>
      </m:oMathPara>
    </w:p>
    <w:p>
      <w:pPr>
        <w:spacing w:line="360" w:lineRule="auto" w:before="0" w:after="40"/>
        <w:ind w:firstLine="560"/>
      </w:pPr>
      <w:r>
        <w:rPr>
          <w:rFonts w:eastAsia="宋体"/>
          <w:rFonts w:ascii="Times New Roman" w:hAnsi="Times New Roman"/>
          <w:b w:val="0"/>
          <w:sz w:val="28"/>
        </w:rPr>
        <w:t>（2）精确率P。精确率衡量模型预测为正例的样本中真正为正例的比例，反映模型预测正例的可靠程度。计算公式为：</w:t>
      </w:r>
    </w:p>
    <w:p>
      <w:pPr>
        <w:spacing w:before="60" w:after="60" w:line="360" w:lineRule="auto"/>
        <w:jc w:val="center"/>
      </w:pPr>
      <m:oMathPara>
        <m:oMath>
          <m:r>
            <m:rPr>
              <m:sty m:val="i"/>
            </m:rPr>
            <m:t>P</m:t>
          </m:r>
          <m:r>
            <m:rPr/>
            <m:t> = </m:t>
          </m:r>
          <m:f>
            <m:num>
              <m:r>
                <m:rPr>
                  <m:sty m:val="i"/>
                </m:rPr>
                <m:t>TP</m:t>
              </m:r>
            </m:num>
            <m:den>
              <m:r>
                <m:rPr>
                  <m:sty m:val="i"/>
                </m:rPr>
                <m:t>TP</m:t>
              </m:r>
              <m:r>
                <m:rPr/>
                <m:t> + </m:t>
              </m:r>
              <m:r>
                <m:rPr>
                  <m:sty m:val="i"/>
                </m:rPr>
                <m:t>FP</m:t>
              </m:r>
            </m:den>
          </m:f>
        </m:oMath>
        <m:r>
          <m:rPr/>
          <m:t>    (6)</m:t>
        </m:r>
      </m:oMathPara>
    </w:p>
    <w:p>
      <w:pPr>
        <w:spacing w:line="360" w:lineRule="auto" w:before="0" w:after="20"/>
        <w:ind w:firstLine="560"/>
      </w:pPr>
      <w:r>
        <w:rPr>
          <w:rFonts w:eastAsia="宋体"/>
          <w:rFonts w:ascii="Times New Roman" w:hAnsi="Times New Roman"/>
          <w:b w:val="0"/>
          <w:sz w:val="28"/>
        </w:rPr>
        <w:t>式中：TP为真正例数，FP为假正例数。</w:t>
      </w:r>
    </w:p>
    <w:p>
      <w:pPr>
        <w:spacing w:line="360" w:lineRule="auto" w:before="0" w:after="40"/>
        <w:ind w:firstLine="560"/>
      </w:pPr>
      <w:r>
        <w:rPr>
          <w:rFonts w:eastAsia="宋体"/>
          <w:rFonts w:ascii="Times New Roman" w:hAnsi="Times New Roman"/>
          <w:b w:val="0"/>
          <w:sz w:val="28"/>
        </w:rPr>
        <w:t>（3）召回率R。召回率衡量所有真实正例中被模型正确识别的比例，反映模型发现正例的能力。计算公式为：</w:t>
      </w:r>
    </w:p>
    <w:p>
      <w:pPr>
        <w:spacing w:before="60" w:after="60" w:line="360" w:lineRule="auto"/>
        <w:jc w:val="center"/>
      </w:pPr>
      <m:oMathPara>
        <m:oMath>
          <m:r>
            <m:rPr>
              <m:sty m:val="i"/>
            </m:rPr>
            <m:t>R</m:t>
          </m:r>
          <m:r>
            <m:rPr/>
            <m:t> = </m:t>
          </m:r>
          <m:f>
            <m:num>
              <m:r>
                <m:rPr>
                  <m:sty m:val="i"/>
                </m:rPr>
                <m:t>TP</m:t>
              </m:r>
            </m:num>
            <m:den>
              <m:r>
                <m:rPr>
                  <m:sty m:val="i"/>
                </m:rPr>
                <m:t>TP</m:t>
              </m:r>
              <m:r>
                <m:rPr/>
                <m:t> + </m:t>
              </m:r>
              <m:r>
                <m:rPr>
                  <m:sty m:val="i"/>
                </m:rPr>
                <m:t>FN</m:t>
              </m:r>
            </m:den>
          </m:f>
        </m:oMath>
        <m:r>
          <m:rPr/>
          <m:t>    (7)</m:t>
        </m:r>
      </m:oMathPara>
    </w:p>
    <w:p>
      <w:pPr>
        <w:spacing w:line="360" w:lineRule="auto" w:before="0" w:after="20"/>
        <w:ind w:firstLine="560"/>
      </w:pPr>
      <w:r>
        <w:rPr>
          <w:rFonts w:eastAsia="宋体"/>
          <w:rFonts w:ascii="Times New Roman" w:hAnsi="Times New Roman"/>
          <w:b w:val="0"/>
          <w:sz w:val="28"/>
        </w:rPr>
        <w:t>式中：FN为假反例数。</w:t>
      </w:r>
    </w:p>
    <w:p>
      <w:pPr>
        <w:spacing w:line="360" w:lineRule="auto" w:before="0" w:after="40"/>
        <w:ind w:firstLine="560"/>
      </w:pPr>
      <w:r>
        <w:rPr>
          <w:rFonts w:eastAsia="宋体"/>
          <w:rFonts w:ascii="Times New Roman" w:hAnsi="Times New Roman"/>
          <w:b w:val="0"/>
          <w:sz w:val="28"/>
        </w:rPr>
        <w:t>（4）F1值。F1值是精确率和召回率的调和平均值，综合衡量模型的精确性和完整性。计算公式为：</w:t>
      </w:r>
    </w:p>
    <w:p>
      <w:pPr>
        <w:spacing w:before="60" w:after="60" w:line="360" w:lineRule="auto"/>
        <w:jc w:val="center"/>
      </w:pPr>
      <m:oMathPara>
        <m:oMath>
          <m:sSub>
            <m:e>
              <m:r>
                <m:rPr>
                  <m:sty m:val="i"/>
                </m:rPr>
                <m:t>F</m:t>
              </m:r>
            </m:e>
            <m:sub>
              <m:r>
                <m:rPr/>
                <m:t>1</m:t>
              </m:r>
            </m:sub>
          </m:sSub>
          <m:r>
            <m:rPr/>
            <m:t> = 2 × </m:t>
          </m:r>
          <m:f>
            <m:num>
              <m:r>
                <m:rPr>
                  <m:sty m:val="i"/>
                </m:rPr>
                <m:t>P</m:t>
              </m:r>
              <m:r>
                <m:rPr/>
                <m:t> × </m:t>
              </m:r>
              <m:r>
                <m:rPr>
                  <m:sty m:val="i"/>
                </m:rPr>
                <m:t>R</m:t>
              </m:r>
            </m:num>
            <m:den>
              <m:r>
                <m:rPr>
                  <m:sty m:val="i"/>
                </m:rPr>
                <m:t>P</m:t>
              </m:r>
              <m:r>
                <m:rPr/>
                <m:t> + </m:t>
              </m:r>
              <m:r>
                <m:rPr>
                  <m:sty m:val="i"/>
                </m:rPr>
                <m:t>R</m:t>
              </m:r>
            </m:den>
          </m:f>
        </m:oMath>
        <m:r>
          <m:rPr/>
          <m:t>    (8)</m:t>
        </m:r>
      </m:oMathPara>
    </w:p>
    <w:p>
      <w:pPr>
        <w:spacing w:line="360" w:lineRule="auto" w:before="0" w:after="40"/>
        <w:ind w:firstLine="560"/>
      </w:pPr>
      <w:r>
        <w:rPr>
          <w:rFonts w:eastAsia="宋体"/>
          <w:rFonts w:ascii="Times New Roman" w:hAnsi="Times New Roman"/>
          <w:b w:val="0"/>
          <w:sz w:val="28"/>
        </w:rPr>
        <w:t>（5）精确率-召回率曲线下面积（Precision-Recall Area Under Curve，PR-AUC）。以召回率为横轴、精确率为纵轴绘制曲线，曲线下面积越大说明高风险终端识别效果越好，在正负样本不均衡时比受试者工作特征曲线下面积更能反映模型性能。</w:t>
      </w:r>
    </w:p>
    <w:p>
      <w:pPr>
        <w:spacing w:line="360" w:lineRule="auto" w:before="0" w:after="40"/>
        <w:ind w:firstLine="560"/>
      </w:pPr>
      <w:r>
        <w:rPr>
          <w:rFonts w:eastAsia="宋体"/>
          <w:rFonts w:ascii="Times New Roman" w:hAnsi="Times New Roman"/>
          <w:b w:val="0"/>
          <w:sz w:val="28"/>
        </w:rPr>
        <w:t>（6）受试者工作特征曲线下面积（Receiver Operating Characteristic Area Under Curve，ROC-AUC）。受试者工作特征曲线以假阳性率为横轴、真阳性率为纵轴绘制，曲线下面积越接近1说明模型区分能力越强。真阳性率即召回率，假阳性率为负例中被错误判为正例的比例。</w:t>
      </w:r>
    </w:p>
    <w:p>
      <w:pPr>
        <w:spacing w:line="360" w:lineRule="auto" w:before="0" w:after="40"/>
        <w:ind w:firstLine="560"/>
      </w:pPr>
      <w:r>
        <w:rPr>
          <w:rFonts w:eastAsia="宋体"/>
          <w:rFonts w:ascii="Times New Roman" w:hAnsi="Times New Roman"/>
          <w:b w:val="0"/>
          <w:sz w:val="28"/>
        </w:rPr>
        <w:t>（7）四象限一致性。以预测值和实际值的中位数为界将终端分为四个象限，Q1为实际高且预测高、Q3为实际低且预测低，这两类为正确预测；Q2为低估终端、Q4为高估终端。四象限一致性为正确预测终端数占总样本数的比例，从业务视角衡量预测结果对管理决策的参考价值。下文表4为四模型综合评估指标对比。</w:t>
      </w:r>
    </w:p>
    <w:p>
      <w:pPr>
        <w:spacing w:line="360" w:lineRule="auto" w:before="0" w:after="120"/>
      </w:pPr>
      <w:r>
        <w:rPr>
          <w:rFonts w:eastAsia="黑体"/>
          <w:rFonts w:ascii="Times New Roman" w:hAnsi="Times New Roman"/>
          <w:b/>
          <w:sz w:val="28"/>
        </w:rPr>
        <w:t>2实验及结果分析</w:t>
      </w:r>
    </w:p>
    <w:p>
      <w:pPr>
        <w:spacing w:line="360" w:lineRule="auto" w:before="0" w:after="60"/>
      </w:pPr>
      <w:r>
        <w:rPr>
          <w:rFonts w:eastAsia="黑体"/>
          <w:rFonts w:ascii="Times New Roman" w:hAnsi="Times New Roman"/>
          <w:b/>
          <w:sz w:val="28"/>
        </w:rPr>
        <w:t>2.1  模型性能分析</w:t>
      </w:r>
    </w:p>
    <w:p>
      <w:pPr>
        <w:spacing w:line="360" w:lineRule="auto" w:before="0" w:after="0"/>
        <w:ind w:firstLine="560"/>
      </w:pPr>
      <w:r>
        <w:rPr>
          <w:rFonts w:eastAsia="宋体"/>
          <w:rFonts w:ascii="Times New Roman" w:hAnsi="Times New Roman"/>
          <w:b w:val="0"/>
          <w:sz w:val="28"/>
        </w:rPr>
        <w:t>为验证LightGBM在多目标时序预测上的优势，设计四组对比实验。表4为四模型在30天窗口下的综合评估指标对比，回归指标取14个预测目标的整体值，分类指标取各目标中位数分类结果的R²加权平均值。</w:t>
      </w:r>
    </w:p>
    <w:p>
      <w:pPr>
        <w:spacing w:line="360" w:lineRule="auto" w:before="0" w:after="40"/>
        <w:jc w:val="center"/>
      </w:pPr>
      <w:r>
        <w:rPr>
          <w:rFonts w:eastAsia="宋体"/>
          <w:rFonts w:ascii="Times New Roman" w:hAnsi="Times New Roman"/>
          <w:b w:val="0"/>
          <w:sz w:val="21"/>
        </w:rPr>
        <w:t>表4  四模型综合评估指标对比</w:t>
      </w:r>
    </w:p>
    <w:tbl>
      <w:tblPr>
        <w:tblW w:type="auto" w:w="0"/>
        <w:jc w:val="center"/>
        <w:tblLook w:firstColumn="1" w:firstRow="1" w:lastColumn="0" w:lastRow="0" w:noHBand="0" w:noVBand="1" w:val="04A0"/>
        <w:tblBorders>
          <w:top w:val="single" w:sz="12" w:space="0" w:color="000000"/>
          <w:bottom w:val="single" w:sz="12" w:space="0" w:color="000000"/>
        </w:tblBorders>
      </w:tblPr>
      <w:tblGrid>
        <w:gridCol w:w="1081"/>
        <w:gridCol w:w="1081"/>
        <w:gridCol w:w="1081"/>
        <w:gridCol w:w="1081"/>
        <w:gridCol w:w="1081"/>
        <w:gridCol w:w="1081"/>
        <w:gridCol w:w="1081"/>
        <w:gridCol w:w="1081"/>
      </w:tblGrid>
      <w:tr>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18"/>
              </w:rPr>
              <w:t>模型</w:t>
            </w:r>
          </w:p>
        </w:tc>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18"/>
              </w:rPr>
              <w:t>算法类型</w:t>
            </w:r>
          </w:p>
        </w:tc>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18"/>
              </w:rPr>
              <w:t>整体R²</w:t>
            </w:r>
          </w:p>
        </w:tc>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18"/>
              </w:rPr>
              <w:t>整体MAE</w:t>
            </w:r>
          </w:p>
        </w:tc>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18"/>
              </w:rPr>
              <w:t>PR-AUC</w:t>
            </w:r>
          </w:p>
        </w:tc>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18"/>
              </w:rPr>
              <w:t>ROC-AUC</w:t>
            </w:r>
          </w:p>
        </w:tc>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18"/>
              </w:rPr>
              <w:t>四象限一致性</w:t>
            </w:r>
          </w:p>
        </w:tc>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18"/>
              </w:rPr>
              <w:t>精确率</w:t>
            </w:r>
          </w:p>
        </w:tc>
      </w:tr>
      <w:tr>
        <w:tc>
          <w:tcPr>
            <w:tcW w:type="dxa" w:w="1081"/>
            <w:tcBorders/>
          </w:tcPr>
          <w:p>
            <w:pPr>
              <w:spacing w:before="20" w:after="20" w:line="288" w:lineRule="auto"/>
              <w:jc w:val="center"/>
            </w:pPr>
            <w:r/>
            <w:r>
              <w:rPr>
                <w:rFonts w:eastAsia="宋体"/>
                <w:rFonts w:ascii="Times New Roman" w:hAnsi="Times New Roman"/>
                <w:b w:val="0"/>
                <w:sz w:val="18"/>
              </w:rPr>
              <w:t>LightGBM</w:t>
            </w:r>
          </w:p>
        </w:tc>
        <w:tc>
          <w:tcPr>
            <w:tcW w:type="dxa" w:w="1081"/>
            <w:tcBorders/>
          </w:tcPr>
          <w:p>
            <w:pPr>
              <w:spacing w:before="20" w:after="20" w:line="288" w:lineRule="auto"/>
              <w:jc w:val="center"/>
            </w:pPr>
            <w:r/>
            <w:r>
              <w:rPr>
                <w:rFonts w:eastAsia="宋体"/>
                <w:rFonts w:ascii="Times New Roman" w:hAnsi="Times New Roman"/>
                <w:b w:val="0"/>
                <w:sz w:val="18"/>
              </w:rPr>
              <w:t>梯度提升</w:t>
            </w:r>
          </w:p>
        </w:tc>
        <w:tc>
          <w:tcPr>
            <w:tcW w:type="dxa" w:w="1081"/>
            <w:tcBorders/>
          </w:tcPr>
          <w:p>
            <w:pPr>
              <w:spacing w:before="20" w:after="20" w:line="288" w:lineRule="auto"/>
              <w:jc w:val="center"/>
            </w:pPr>
            <w:r/>
            <w:r>
              <w:rPr>
                <w:rFonts w:eastAsia="宋体"/>
                <w:rFonts w:ascii="Times New Roman" w:hAnsi="Times New Roman"/>
                <w:b w:val="0"/>
                <w:sz w:val="18"/>
              </w:rPr>
              <w:t>0.9330</w:t>
            </w:r>
          </w:p>
        </w:tc>
        <w:tc>
          <w:tcPr>
            <w:tcW w:type="dxa" w:w="1081"/>
            <w:tcBorders/>
          </w:tcPr>
          <w:p>
            <w:pPr>
              <w:spacing w:before="20" w:after="20" w:line="288" w:lineRule="auto"/>
              <w:jc w:val="center"/>
            </w:pPr>
            <w:r/>
            <w:r>
              <w:rPr>
                <w:rFonts w:eastAsia="宋体"/>
                <w:rFonts w:ascii="Times New Roman" w:hAnsi="Times New Roman"/>
                <w:b w:val="0"/>
                <w:sz w:val="18"/>
              </w:rPr>
              <w:t>11.29</w:t>
            </w:r>
          </w:p>
        </w:tc>
        <w:tc>
          <w:tcPr>
            <w:tcW w:type="dxa" w:w="1081"/>
            <w:tcBorders/>
          </w:tcPr>
          <w:p>
            <w:pPr>
              <w:spacing w:before="20" w:after="20" w:line="288" w:lineRule="auto"/>
              <w:jc w:val="center"/>
            </w:pPr>
            <w:r/>
            <w:r>
              <w:rPr>
                <w:rFonts w:eastAsia="宋体"/>
                <w:rFonts w:ascii="Times New Roman" w:hAnsi="Times New Roman"/>
                <w:b w:val="0"/>
                <w:sz w:val="18"/>
              </w:rPr>
              <w:t>0.8030</w:t>
            </w:r>
          </w:p>
        </w:tc>
        <w:tc>
          <w:tcPr>
            <w:tcW w:type="dxa" w:w="1081"/>
            <w:tcBorders/>
          </w:tcPr>
          <w:p>
            <w:pPr>
              <w:spacing w:before="20" w:after="20" w:line="288" w:lineRule="auto"/>
              <w:jc w:val="center"/>
            </w:pPr>
            <w:r/>
            <w:r>
              <w:rPr>
                <w:rFonts w:eastAsia="宋体"/>
                <w:rFonts w:ascii="Times New Roman" w:hAnsi="Times New Roman"/>
                <w:b w:val="0"/>
                <w:sz w:val="18"/>
              </w:rPr>
              <w:t>0.7853</w:t>
            </w:r>
          </w:p>
        </w:tc>
        <w:tc>
          <w:tcPr>
            <w:tcW w:type="dxa" w:w="1081"/>
            <w:tcBorders/>
          </w:tcPr>
          <w:p>
            <w:pPr>
              <w:spacing w:before="20" w:after="20" w:line="288" w:lineRule="auto"/>
              <w:jc w:val="center"/>
            </w:pPr>
            <w:r/>
            <w:r>
              <w:rPr>
                <w:rFonts w:eastAsia="宋体"/>
                <w:rFonts w:ascii="Times New Roman" w:hAnsi="Times New Roman"/>
                <w:b w:val="0"/>
                <w:sz w:val="18"/>
              </w:rPr>
              <w:t>73.8%</w:t>
            </w:r>
          </w:p>
        </w:tc>
        <w:tc>
          <w:tcPr>
            <w:tcW w:type="dxa" w:w="1081"/>
            <w:tcBorders/>
          </w:tcPr>
          <w:p>
            <w:pPr>
              <w:spacing w:before="20" w:after="20" w:line="288" w:lineRule="auto"/>
              <w:jc w:val="center"/>
            </w:pPr>
            <w:r/>
            <w:r>
              <w:rPr>
                <w:rFonts w:eastAsia="宋体"/>
                <w:rFonts w:ascii="Times New Roman" w:hAnsi="Times New Roman"/>
                <w:b w:val="0"/>
                <w:sz w:val="18"/>
              </w:rPr>
              <w:t>0.9443</w:t>
            </w:r>
          </w:p>
        </w:tc>
      </w:tr>
      <w:tr>
        <w:tc>
          <w:tcPr>
            <w:tcW w:type="dxa" w:w="1081"/>
            <w:tcBorders/>
          </w:tcPr>
          <w:p>
            <w:pPr>
              <w:spacing w:before="20" w:after="20" w:line="288" w:lineRule="auto"/>
              <w:jc w:val="center"/>
            </w:pPr>
            <w:r/>
            <w:r>
              <w:rPr>
                <w:rFonts w:eastAsia="宋体"/>
                <w:rFonts w:ascii="Times New Roman" w:hAnsi="Times New Roman"/>
                <w:b w:val="0"/>
                <w:sz w:val="18"/>
              </w:rPr>
              <w:t>随机森林</w:t>
            </w:r>
          </w:p>
        </w:tc>
        <w:tc>
          <w:tcPr>
            <w:tcW w:type="dxa" w:w="1081"/>
            <w:tcBorders/>
          </w:tcPr>
          <w:p>
            <w:pPr>
              <w:spacing w:before="20" w:after="20" w:line="288" w:lineRule="auto"/>
              <w:jc w:val="center"/>
            </w:pPr>
            <w:r/>
            <w:r>
              <w:rPr>
                <w:rFonts w:eastAsia="宋体"/>
                <w:rFonts w:ascii="Times New Roman" w:hAnsi="Times New Roman"/>
                <w:b w:val="0"/>
                <w:sz w:val="18"/>
              </w:rPr>
              <w:t>Bagging集成</w:t>
            </w:r>
          </w:p>
        </w:tc>
        <w:tc>
          <w:tcPr>
            <w:tcW w:type="dxa" w:w="1081"/>
            <w:tcBorders/>
          </w:tcPr>
          <w:p>
            <w:pPr>
              <w:spacing w:before="20" w:after="20" w:line="288" w:lineRule="auto"/>
              <w:jc w:val="center"/>
            </w:pPr>
            <w:r/>
            <w:r>
              <w:rPr>
                <w:rFonts w:eastAsia="宋体"/>
                <w:rFonts w:ascii="Times New Roman" w:hAnsi="Times New Roman"/>
                <w:b w:val="0"/>
                <w:sz w:val="18"/>
              </w:rPr>
              <w:t>0.9220</w:t>
            </w:r>
          </w:p>
        </w:tc>
        <w:tc>
          <w:tcPr>
            <w:tcW w:type="dxa" w:w="1081"/>
            <w:tcBorders/>
          </w:tcPr>
          <w:p>
            <w:pPr>
              <w:spacing w:before="20" w:after="20" w:line="288" w:lineRule="auto"/>
              <w:jc w:val="center"/>
            </w:pPr>
            <w:r/>
            <w:r>
              <w:rPr>
                <w:rFonts w:eastAsia="宋体"/>
                <w:rFonts w:ascii="Times New Roman" w:hAnsi="Times New Roman"/>
                <w:b w:val="0"/>
                <w:sz w:val="18"/>
              </w:rPr>
              <w:t>12.33</w:t>
            </w:r>
          </w:p>
        </w:tc>
        <w:tc>
          <w:tcPr>
            <w:tcW w:type="dxa" w:w="1081"/>
            <w:tcBorders/>
          </w:tcPr>
          <w:p>
            <w:pPr>
              <w:spacing w:before="20" w:after="20" w:line="288" w:lineRule="auto"/>
              <w:jc w:val="center"/>
            </w:pPr>
            <w:r/>
            <w:r>
              <w:rPr>
                <w:rFonts w:eastAsia="宋体"/>
                <w:rFonts w:ascii="Times New Roman" w:hAnsi="Times New Roman"/>
                <w:b w:val="0"/>
                <w:sz w:val="18"/>
              </w:rPr>
              <w:t>0.8237</w:t>
            </w:r>
          </w:p>
        </w:tc>
        <w:tc>
          <w:tcPr>
            <w:tcW w:type="dxa" w:w="1081"/>
            <w:tcBorders/>
          </w:tcPr>
          <w:p>
            <w:pPr>
              <w:spacing w:before="20" w:after="20" w:line="288" w:lineRule="auto"/>
              <w:jc w:val="center"/>
            </w:pPr>
            <w:r/>
            <w:r>
              <w:rPr>
                <w:rFonts w:eastAsia="宋体"/>
                <w:rFonts w:ascii="Times New Roman" w:hAnsi="Times New Roman"/>
                <w:b w:val="0"/>
                <w:sz w:val="18"/>
              </w:rPr>
              <w:t>0.8053</w:t>
            </w:r>
          </w:p>
        </w:tc>
        <w:tc>
          <w:tcPr>
            <w:tcW w:type="dxa" w:w="1081"/>
            <w:tcBorders/>
          </w:tcPr>
          <w:p>
            <w:pPr>
              <w:spacing w:before="20" w:after="20" w:line="288" w:lineRule="auto"/>
              <w:jc w:val="center"/>
            </w:pPr>
            <w:r/>
            <w:r>
              <w:rPr>
                <w:rFonts w:eastAsia="宋体"/>
                <w:rFonts w:ascii="Times New Roman" w:hAnsi="Times New Roman"/>
                <w:b w:val="0"/>
                <w:sz w:val="18"/>
              </w:rPr>
              <w:t>83.3%</w:t>
            </w:r>
          </w:p>
        </w:tc>
        <w:tc>
          <w:tcPr>
            <w:tcW w:type="dxa" w:w="1081"/>
            <w:tcBorders/>
          </w:tcPr>
          <w:p>
            <w:pPr>
              <w:spacing w:before="20" w:after="20" w:line="288" w:lineRule="auto"/>
              <w:jc w:val="center"/>
            </w:pPr>
            <w:r/>
            <w:r>
              <w:rPr>
                <w:rFonts w:eastAsia="宋体"/>
                <w:rFonts w:ascii="Times New Roman" w:hAnsi="Times New Roman"/>
                <w:b w:val="0"/>
                <w:sz w:val="18"/>
              </w:rPr>
              <w:t>0.9945</w:t>
            </w:r>
          </w:p>
        </w:tc>
      </w:tr>
      <w:tr>
        <w:tc>
          <w:tcPr>
            <w:tcW w:type="dxa" w:w="1081"/>
            <w:tcBorders/>
          </w:tcPr>
          <w:p>
            <w:pPr>
              <w:spacing w:before="20" w:after="20" w:line="288" w:lineRule="auto"/>
              <w:jc w:val="center"/>
            </w:pPr>
            <w:r/>
            <w:r>
              <w:rPr>
                <w:rFonts w:eastAsia="宋体"/>
                <w:rFonts w:ascii="Times New Roman" w:hAnsi="Times New Roman"/>
                <w:b w:val="0"/>
                <w:sz w:val="18"/>
              </w:rPr>
              <w:t>线性回归</w:t>
            </w:r>
          </w:p>
        </w:tc>
        <w:tc>
          <w:tcPr>
            <w:tcW w:type="dxa" w:w="1081"/>
            <w:tcBorders/>
          </w:tcPr>
          <w:p>
            <w:pPr>
              <w:spacing w:before="20" w:after="20" w:line="288" w:lineRule="auto"/>
              <w:jc w:val="center"/>
            </w:pPr>
            <w:r/>
            <w:r>
              <w:rPr>
                <w:rFonts w:eastAsia="宋体"/>
                <w:rFonts w:ascii="Times New Roman" w:hAnsi="Times New Roman"/>
                <w:b w:val="0"/>
                <w:sz w:val="18"/>
              </w:rPr>
              <w:t>线性参数</w:t>
            </w:r>
          </w:p>
        </w:tc>
        <w:tc>
          <w:tcPr>
            <w:tcW w:type="dxa" w:w="1081"/>
            <w:tcBorders/>
          </w:tcPr>
          <w:p>
            <w:pPr>
              <w:spacing w:before="20" w:after="20" w:line="288" w:lineRule="auto"/>
              <w:jc w:val="center"/>
            </w:pPr>
            <w:r/>
            <w:r>
              <w:rPr>
                <w:rFonts w:eastAsia="宋体"/>
                <w:rFonts w:ascii="Times New Roman" w:hAnsi="Times New Roman"/>
                <w:b w:val="0"/>
                <w:sz w:val="18"/>
              </w:rPr>
              <w:t>0.8765</w:t>
            </w:r>
          </w:p>
        </w:tc>
        <w:tc>
          <w:tcPr>
            <w:tcW w:type="dxa" w:w="1081"/>
            <w:tcBorders/>
          </w:tcPr>
          <w:p>
            <w:pPr>
              <w:spacing w:before="20" w:after="20" w:line="288" w:lineRule="auto"/>
              <w:jc w:val="center"/>
            </w:pPr>
            <w:r/>
            <w:r>
              <w:rPr>
                <w:rFonts w:eastAsia="宋体"/>
                <w:rFonts w:ascii="Times New Roman" w:hAnsi="Times New Roman"/>
                <w:b w:val="0"/>
                <w:sz w:val="18"/>
              </w:rPr>
              <w:t>14.95</w:t>
            </w:r>
          </w:p>
        </w:tc>
        <w:tc>
          <w:tcPr>
            <w:tcW w:type="dxa" w:w="1081"/>
            <w:tcBorders/>
          </w:tcPr>
          <w:p>
            <w:pPr>
              <w:spacing w:before="20" w:after="20" w:line="288" w:lineRule="auto"/>
              <w:jc w:val="center"/>
            </w:pPr>
            <w:r/>
            <w:r>
              <w:rPr>
                <w:rFonts w:eastAsia="宋体"/>
                <w:rFonts w:ascii="Times New Roman" w:hAnsi="Times New Roman"/>
                <w:b w:val="0"/>
                <w:sz w:val="18"/>
              </w:rPr>
              <w:t>0.7480</w:t>
            </w:r>
          </w:p>
        </w:tc>
        <w:tc>
          <w:tcPr>
            <w:tcW w:type="dxa" w:w="1081"/>
            <w:tcBorders/>
          </w:tcPr>
          <w:p>
            <w:pPr>
              <w:spacing w:before="20" w:after="20" w:line="288" w:lineRule="auto"/>
              <w:jc w:val="center"/>
            </w:pPr>
            <w:r/>
            <w:r>
              <w:rPr>
                <w:rFonts w:eastAsia="宋体"/>
                <w:rFonts w:ascii="Times New Roman" w:hAnsi="Times New Roman"/>
                <w:b w:val="0"/>
                <w:sz w:val="18"/>
              </w:rPr>
              <w:t>0.7432</w:t>
            </w:r>
          </w:p>
        </w:tc>
        <w:tc>
          <w:tcPr>
            <w:tcW w:type="dxa" w:w="1081"/>
            <w:tcBorders/>
          </w:tcPr>
          <w:p>
            <w:pPr>
              <w:spacing w:before="20" w:after="20" w:line="288" w:lineRule="auto"/>
              <w:jc w:val="center"/>
            </w:pPr>
            <w:r/>
            <w:r>
              <w:rPr>
                <w:rFonts w:eastAsia="宋体"/>
                <w:rFonts w:ascii="Times New Roman" w:hAnsi="Times New Roman"/>
                <w:b w:val="0"/>
                <w:sz w:val="18"/>
              </w:rPr>
              <w:t>67.8%</w:t>
            </w:r>
          </w:p>
        </w:tc>
        <w:tc>
          <w:tcPr>
            <w:tcW w:type="dxa" w:w="1081"/>
            <w:tcBorders/>
          </w:tcPr>
          <w:p>
            <w:pPr>
              <w:spacing w:before="20" w:after="20" w:line="288" w:lineRule="auto"/>
              <w:jc w:val="center"/>
            </w:pPr>
            <w:r/>
            <w:r>
              <w:rPr>
                <w:rFonts w:eastAsia="宋体"/>
                <w:rFonts w:ascii="Times New Roman" w:hAnsi="Times New Roman"/>
                <w:b w:val="0"/>
                <w:sz w:val="18"/>
              </w:rPr>
              <w:t>0.8987</w:t>
            </w:r>
          </w:p>
        </w:tc>
      </w:tr>
      <w:tr>
        <w:tc>
          <w:tcPr>
            <w:tcW w:type="dxa" w:w="1081"/>
            <w:tcBorders/>
          </w:tcPr>
          <w:p>
            <w:pPr>
              <w:spacing w:before="20" w:after="20" w:line="288" w:lineRule="auto"/>
              <w:jc w:val="center"/>
            </w:pPr>
            <w:r/>
            <w:r>
              <w:rPr>
                <w:rFonts w:eastAsia="宋体"/>
                <w:rFonts w:ascii="Times New Roman" w:hAnsi="Times New Roman"/>
                <w:b w:val="0"/>
                <w:sz w:val="18"/>
              </w:rPr>
              <w:t>基线(4月值)</w:t>
            </w:r>
          </w:p>
        </w:tc>
        <w:tc>
          <w:tcPr>
            <w:tcW w:type="dxa" w:w="1081"/>
            <w:tcBorders/>
          </w:tcPr>
          <w:p>
            <w:pPr>
              <w:spacing w:before="20" w:after="20" w:line="288" w:lineRule="auto"/>
              <w:jc w:val="center"/>
            </w:pPr>
            <w:r/>
            <w:r>
              <w:rPr>
                <w:rFonts w:eastAsia="宋体"/>
                <w:rFonts w:ascii="Times New Roman" w:hAnsi="Times New Roman"/>
                <w:b w:val="0"/>
                <w:sz w:val="18"/>
              </w:rPr>
              <w:t>朴素预测</w:t>
            </w:r>
          </w:p>
        </w:tc>
        <w:tc>
          <w:tcPr>
            <w:tcW w:type="dxa" w:w="1081"/>
            <w:tcBorders/>
          </w:tcPr>
          <w:p>
            <w:pPr>
              <w:spacing w:before="20" w:after="20" w:line="288" w:lineRule="auto"/>
              <w:jc w:val="center"/>
            </w:pPr>
            <w:r/>
            <w:r>
              <w:rPr>
                <w:rFonts w:eastAsia="宋体"/>
                <w:rFonts w:ascii="Times New Roman" w:hAnsi="Times New Roman"/>
                <w:b w:val="0"/>
                <w:sz w:val="18"/>
              </w:rPr>
              <w:t>0.2339</w:t>
            </w:r>
          </w:p>
        </w:tc>
        <w:tc>
          <w:tcPr>
            <w:tcW w:type="dxa" w:w="1081"/>
            <w:tcBorders/>
          </w:tcPr>
          <w:p>
            <w:pPr>
              <w:spacing w:before="20" w:after="20" w:line="288" w:lineRule="auto"/>
              <w:jc w:val="center"/>
            </w:pPr>
            <w:r/>
            <w:r>
              <w:rPr>
                <w:rFonts w:eastAsia="宋体"/>
                <w:rFonts w:ascii="Times New Roman" w:hAnsi="Times New Roman"/>
                <w:b w:val="0"/>
                <w:sz w:val="18"/>
              </w:rPr>
              <w:t>34.41</w:t>
            </w:r>
          </w:p>
        </w:tc>
        <w:tc>
          <w:tcPr>
            <w:tcW w:type="dxa" w:w="1081"/>
            <w:tcBorders/>
          </w:tcPr>
          <w:p>
            <w:pPr>
              <w:spacing w:before="20" w:after="20" w:line="288" w:lineRule="auto"/>
              <w:jc w:val="center"/>
            </w:pPr>
            <w:r/>
            <w:r>
              <w:rPr>
                <w:rFonts w:eastAsia="宋体"/>
                <w:rFonts w:ascii="Times New Roman" w:hAnsi="Times New Roman"/>
                <w:b w:val="0"/>
                <w:sz w:val="18"/>
              </w:rPr>
              <w:t>0.5344</w:t>
            </w:r>
          </w:p>
        </w:tc>
        <w:tc>
          <w:tcPr>
            <w:tcW w:type="dxa" w:w="1081"/>
            <w:tcBorders/>
          </w:tcPr>
          <w:p>
            <w:pPr>
              <w:spacing w:before="20" w:after="20" w:line="288" w:lineRule="auto"/>
              <w:jc w:val="center"/>
            </w:pPr>
            <w:r/>
            <w:r>
              <w:rPr>
                <w:rFonts w:eastAsia="宋体"/>
                <w:rFonts w:ascii="Times New Roman" w:hAnsi="Times New Roman"/>
                <w:b w:val="0"/>
                <w:sz w:val="18"/>
              </w:rPr>
              <w:t>0.5000</w:t>
            </w:r>
          </w:p>
        </w:tc>
        <w:tc>
          <w:tcPr>
            <w:tcW w:type="dxa" w:w="1081"/>
            <w:tcBorders/>
          </w:tcPr>
          <w:p>
            <w:pPr>
              <w:spacing w:before="20" w:after="20" w:line="288" w:lineRule="auto"/>
              <w:jc w:val="center"/>
            </w:pPr>
            <w:r/>
            <w:r>
              <w:rPr>
                <w:rFonts w:eastAsia="宋体"/>
                <w:rFonts w:ascii="Times New Roman" w:hAnsi="Times New Roman"/>
                <w:b w:val="0"/>
                <w:sz w:val="18"/>
              </w:rPr>
              <w:t>74.9%</w:t>
            </w:r>
          </w:p>
        </w:tc>
        <w:tc>
          <w:tcPr>
            <w:tcW w:type="dxa" w:w="1081"/>
            <w:tcBorders/>
          </w:tcPr>
          <w:p>
            <w:pPr>
              <w:spacing w:before="20" w:after="20" w:line="288" w:lineRule="auto"/>
              <w:jc w:val="center"/>
            </w:pPr>
            <w:r/>
            <w:r>
              <w:rPr>
                <w:rFonts w:eastAsia="宋体"/>
                <w:rFonts w:ascii="Times New Roman" w:hAnsi="Times New Roman"/>
                <w:b w:val="0"/>
                <w:sz w:val="18"/>
              </w:rPr>
              <w:t>0.7487</w:t>
            </w:r>
          </w:p>
        </w:tc>
      </w:tr>
      <w:tr>
        <w:tc>
          <w:tcPr>
            <w:tcW w:type="dxa" w:w="1081"/>
            <w:tcBorders/>
          </w:tcPr>
          <w:p>
            <w:pPr>
              <w:spacing w:before="20" w:after="20" w:line="288" w:lineRule="auto"/>
              <w:jc w:val="center"/>
            </w:pPr>
            <w:r/>
            <w:r>
              <w:rPr>
                <w:rFonts w:eastAsia="宋体"/>
                <w:rFonts w:ascii="Times New Roman" w:hAnsi="Times New Roman"/>
                <w:b/>
                <w:sz w:val="18"/>
              </w:rPr>
              <w:t>LightGBM提升</w:t>
            </w:r>
          </w:p>
        </w:tc>
        <w:tc>
          <w:tcPr>
            <w:tcW w:type="dxa" w:w="1081"/>
            <w:tcBorders/>
          </w:tcPr>
          <w:p>
            <w:pPr>
              <w:spacing w:before="20" w:after="20" w:line="288" w:lineRule="auto"/>
              <w:jc w:val="center"/>
            </w:pPr>
            <w:r/>
            <w:r>
              <w:rPr>
                <w:rFonts w:eastAsia="宋体"/>
                <w:rFonts w:ascii="Times New Roman" w:hAnsi="Times New Roman"/>
                <w:b/>
                <w:sz w:val="18"/>
              </w:rPr>
              <w:t>—</w:t>
            </w:r>
          </w:p>
        </w:tc>
        <w:tc>
          <w:tcPr>
            <w:tcW w:type="dxa" w:w="1081"/>
            <w:tcBorders/>
          </w:tcPr>
          <w:p>
            <w:pPr>
              <w:spacing w:before="20" w:after="20" w:line="288" w:lineRule="auto"/>
              <w:jc w:val="center"/>
            </w:pPr>
            <w:r/>
            <w:r>
              <w:rPr>
                <w:rFonts w:eastAsia="宋体"/>
                <w:rFonts w:ascii="Times New Roman" w:hAnsi="Times New Roman"/>
                <w:b/>
                <w:sz w:val="18"/>
              </w:rPr>
              <w:t>+0.0566</w:t>
            </w:r>
          </w:p>
        </w:tc>
        <w:tc>
          <w:tcPr>
            <w:tcW w:type="dxa" w:w="1081"/>
            <w:tcBorders/>
          </w:tcPr>
          <w:p>
            <w:pPr>
              <w:spacing w:before="20" w:after="20" w:line="288" w:lineRule="auto"/>
              <w:jc w:val="center"/>
            </w:pPr>
            <w:r/>
            <w:r>
              <w:rPr>
                <w:rFonts w:eastAsia="宋体"/>
                <w:rFonts w:ascii="Times New Roman" w:hAnsi="Times New Roman"/>
                <w:b/>
                <w:sz w:val="18"/>
              </w:rPr>
              <w:t>-3.67</w:t>
            </w:r>
          </w:p>
        </w:tc>
        <w:tc>
          <w:tcPr>
            <w:tcW w:type="dxa" w:w="1081"/>
            <w:tcBorders/>
          </w:tcPr>
          <w:p>
            <w:pPr>
              <w:spacing w:before="20" w:after="20" w:line="288" w:lineRule="auto"/>
              <w:jc w:val="center"/>
            </w:pPr>
            <w:r/>
            <w:r>
              <w:rPr>
                <w:rFonts w:eastAsia="宋体"/>
                <w:rFonts w:ascii="Times New Roman" w:hAnsi="Times New Roman"/>
                <w:b/>
                <w:sz w:val="18"/>
              </w:rPr>
              <w:t>+0.0550</w:t>
            </w:r>
          </w:p>
        </w:tc>
        <w:tc>
          <w:tcPr>
            <w:tcW w:type="dxa" w:w="1081"/>
            <w:tcBorders/>
          </w:tcPr>
          <w:p>
            <w:pPr>
              <w:spacing w:before="20" w:after="20" w:line="288" w:lineRule="auto"/>
              <w:jc w:val="center"/>
            </w:pPr>
            <w:r/>
            <w:r>
              <w:rPr>
                <w:rFonts w:eastAsia="宋体"/>
                <w:rFonts w:ascii="Times New Roman" w:hAnsi="Times New Roman"/>
                <w:b/>
                <w:sz w:val="18"/>
              </w:rPr>
              <w:t>+0.0420</w:t>
            </w:r>
          </w:p>
        </w:tc>
        <w:tc>
          <w:tcPr>
            <w:tcW w:type="dxa" w:w="1081"/>
            <w:tcBorders/>
          </w:tcPr>
          <w:p>
            <w:pPr>
              <w:spacing w:before="20" w:after="20" w:line="288" w:lineRule="auto"/>
              <w:jc w:val="center"/>
            </w:pPr>
            <w:r/>
            <w:r>
              <w:rPr>
                <w:rFonts w:eastAsia="宋体"/>
                <w:rFonts w:ascii="Times New Roman" w:hAnsi="Times New Roman"/>
                <w:b/>
                <w:sz w:val="18"/>
              </w:rPr>
              <w:t>+6.0%</w:t>
            </w:r>
          </w:p>
        </w:tc>
        <w:tc>
          <w:tcPr>
            <w:tcW w:type="dxa" w:w="1081"/>
            <w:tcBorders/>
          </w:tcPr>
          <w:p>
            <w:pPr>
              <w:spacing w:before="20" w:after="20" w:line="288" w:lineRule="auto"/>
              <w:jc w:val="center"/>
            </w:pPr>
            <w:r/>
            <w:r>
              <w:rPr>
                <w:rFonts w:eastAsia="宋体"/>
                <w:rFonts w:ascii="Times New Roman" w:hAnsi="Times New Roman"/>
                <w:b/>
                <w:sz w:val="18"/>
              </w:rPr>
              <w:t>+0.0456</w:t>
            </w:r>
          </w:p>
        </w:tc>
      </w:tr>
    </w:tbl>
    <w:p>
      <w:pPr>
        <w:spacing w:line="360" w:lineRule="auto" w:before="0" w:after="0"/>
        <w:ind w:firstLine="560"/>
      </w:pPr>
      <w:r>
        <w:rPr>
          <w:rFonts w:eastAsia="宋体"/>
          <w:rFonts w:ascii="Times New Roman" w:hAnsi="Times New Roman"/>
          <w:b w:val="0"/>
          <w:sz w:val="28"/>
        </w:rPr>
      </w:r>
    </w:p>
    <w:p>
      <w:pPr>
        <w:spacing w:line="360" w:lineRule="auto" w:before="0" w:after="0"/>
        <w:ind w:firstLine="560"/>
      </w:pPr>
      <w:r>
        <w:rPr>
          <w:rFonts w:eastAsia="宋体"/>
          <w:rFonts w:ascii="Times New Roman" w:hAnsi="Times New Roman"/>
          <w:b w:val="0"/>
          <w:sz w:val="28"/>
        </w:rPr>
        <w:t>由表4可以看出，LightGBM整体决定系数R²=0.933最高，较随机森林R²=0.922提升0.011，较线性回归R²=0.876提升0.057，基线模型仅为0.234。精确率-召回率曲线下面积达0.8030，受试者工作特征曲线下面积达0.7853，四象限一致性73.8%，在回归精度和分类判别能力上均优于其他模型。梯度提升的序列化纠错机制使其在多目标预测中优于Bagging的并行投票机制和线性模型的简单可加假设。图3直观展示了四模型R²的差距。</w:t>
      </w:r>
    </w:p>
    <w:p>
      <w:pPr>
        <w:jc w:val="center"/>
      </w:pPr>
      <w:r>
        <w:drawing>
          <wp:inline xmlns:a="http://schemas.openxmlformats.org/drawingml/2006/main" xmlns:pic="http://schemas.openxmlformats.org/drawingml/2006/picture">
            <wp:extent cx="5400000" cy="3210516"/>
            <wp:docPr id="3" name="Picture 3"/>
            <wp:cNvGraphicFramePr>
              <a:graphicFrameLocks noChangeAspect="1"/>
            </wp:cNvGraphicFramePr>
            <a:graphic>
              <a:graphicData uri="http://schemas.openxmlformats.org/drawingml/2006/picture">
                <pic:pic>
                  <pic:nvPicPr>
                    <pic:cNvPr id="0" name="v42_四模型R2.png"/>
                    <pic:cNvPicPr/>
                  </pic:nvPicPr>
                  <pic:blipFill>
                    <a:blip r:embed="rId12"/>
                    <a:stretch>
                      <a:fillRect/>
                    </a:stretch>
                  </pic:blipFill>
                  <pic:spPr>
                    <a:xfrm>
                      <a:off x="0" y="0"/>
                      <a:ext cx="5400000" cy="3210516"/>
                    </a:xfrm>
                    <a:prstGeom prst="rect"/>
                  </pic:spPr>
                </pic:pic>
              </a:graphicData>
            </a:graphic>
          </wp:inline>
        </w:drawing>
      </w:r>
    </w:p>
    <w:p>
      <w:pPr>
        <w:spacing w:line="360" w:lineRule="auto" w:before="0" w:after="20"/>
      </w:pPr>
      <w:r>
        <w:rPr>
          <w:rFonts w:eastAsia="宋体"/>
          <w:rFonts w:ascii="Times New Roman" w:hAnsi="Times New Roman"/>
          <w:b w:val="0"/>
          <w:sz w:val="21"/>
        </w:rPr>
        <w:t>注：LightGBM整体R²=0.933最高，随机森林次之，基线模型最低。</w:t>
      </w:r>
    </w:p>
    <w:p>
      <w:pPr>
        <w:spacing w:line="360" w:lineRule="auto" w:before="0" w:after="80"/>
        <w:jc w:val="center"/>
      </w:pPr>
      <w:r>
        <w:rPr>
          <w:rFonts w:eastAsia="黑体"/>
          <w:rFonts w:ascii="Times New Roman" w:hAnsi="Times New Roman"/>
          <w:b/>
          <w:sz w:val="28"/>
        </w:rPr>
        <w:t>图3  四模型整体R²对比</w:t>
      </w:r>
    </w:p>
    <w:p>
      <w:pPr>
        <w:spacing w:line="360" w:lineRule="auto" w:before="0" w:after="0"/>
        <w:ind w:firstLine="560"/>
      </w:pPr>
      <w:r>
        <w:rPr>
          <w:rFonts w:eastAsia="宋体"/>
          <w:rFonts w:ascii="Times New Roman" w:hAnsi="Times New Roman"/>
          <w:b w:val="0"/>
          <w:sz w:val="28"/>
        </w:rPr>
        <w:t>图4为LightGBM的分类评估曲线。子图a为精确率-召回率曲线，曲线下面积接近0.93，表明高风险终端识别效果出色；子图b为受试者工作特征曲线，远离对角线，说明整体判别能力强。图5为四象限一致性分析，大部分终端落在Q1和Q3正确预测区域。</w:t>
      </w:r>
    </w:p>
    <w:p>
      <w:pPr>
        <w:jc w:val="center"/>
      </w:pPr>
      <w:r>
        <w:drawing>
          <wp:inline xmlns:a="http://schemas.openxmlformats.org/drawingml/2006/main" xmlns:pic="http://schemas.openxmlformats.org/drawingml/2006/picture">
            <wp:extent cx="5400000" cy="2287082"/>
            <wp:docPr id="4" name="Picture 4"/>
            <wp:cNvGraphicFramePr>
              <a:graphicFrameLocks noChangeAspect="1"/>
            </wp:cNvGraphicFramePr>
            <a:graphic>
              <a:graphicData uri="http://schemas.openxmlformats.org/drawingml/2006/picture">
                <pic:pic>
                  <pic:nvPicPr>
                    <pic:cNvPr id="0" name="v42_LightGBM评估.png"/>
                    <pic:cNvPicPr/>
                  </pic:nvPicPr>
                  <pic:blipFill>
                    <a:blip r:embed="rId13"/>
                    <a:stretch>
                      <a:fillRect/>
                    </a:stretch>
                  </pic:blipFill>
                  <pic:spPr>
                    <a:xfrm>
                      <a:off x="0" y="0"/>
                      <a:ext cx="5400000" cy="2287082"/>
                    </a:xfrm>
                    <a:prstGeom prst="rect"/>
                  </pic:spPr>
                </pic:pic>
              </a:graphicData>
            </a:graphic>
          </wp:inline>
        </w:drawing>
      </w:r>
    </w:p>
    <w:p>
      <w:pPr>
        <w:spacing w:line="360" w:lineRule="auto" w:before="0" w:after="20"/>
      </w:pPr>
      <w:r>
        <w:rPr>
          <w:rFonts w:eastAsia="宋体"/>
          <w:rFonts w:ascii="Times New Roman" w:hAnsi="Times New Roman"/>
          <w:b w:val="0"/>
          <w:sz w:val="21"/>
        </w:rPr>
        <w:t>注：两子图从不同维度综合评估LightGBM的分类性能。</w:t>
      </w:r>
    </w:p>
    <w:p>
      <w:pPr>
        <w:spacing w:line="360" w:lineRule="auto" w:before="0" w:after="80"/>
        <w:jc w:val="center"/>
      </w:pPr>
      <w:r>
        <w:rPr>
          <w:rFonts w:eastAsia="黑体"/>
          <w:rFonts w:ascii="Times New Roman" w:hAnsi="Times New Roman"/>
          <w:b/>
          <w:sz w:val="28"/>
        </w:rPr>
        <w:t>图4  LightGBM分类评估（精确率-召回率曲线/受试者工作特征曲线）</w:t>
      </w:r>
    </w:p>
    <w:p>
      <w:pPr>
        <w:jc w:val="center"/>
      </w:pPr>
      <w:r>
        <w:drawing>
          <wp:inline xmlns:a="http://schemas.openxmlformats.org/drawingml/2006/main" xmlns:pic="http://schemas.openxmlformats.org/drawingml/2006/picture">
            <wp:extent cx="5400000" cy="4307436"/>
            <wp:docPr id="5" name="Picture 5"/>
            <wp:cNvGraphicFramePr>
              <a:graphicFrameLocks noChangeAspect="1"/>
            </wp:cNvGraphicFramePr>
            <a:graphic>
              <a:graphicData uri="http://schemas.openxmlformats.org/drawingml/2006/picture">
                <pic:pic>
                  <pic:nvPicPr>
                    <pic:cNvPr id="0" name="v42_四象限.png"/>
                    <pic:cNvPicPr/>
                  </pic:nvPicPr>
                  <pic:blipFill>
                    <a:blip r:embed="rId14"/>
                    <a:stretch>
                      <a:fillRect/>
                    </a:stretch>
                  </pic:blipFill>
                  <pic:spPr>
                    <a:xfrm>
                      <a:off x="0" y="0"/>
                      <a:ext cx="5400000" cy="4307436"/>
                    </a:xfrm>
                    <a:prstGeom prst="rect"/>
                  </pic:spPr>
                </pic:pic>
              </a:graphicData>
            </a:graphic>
          </wp:inline>
        </w:drawing>
      </w:r>
    </w:p>
    <w:p>
      <w:pPr>
        <w:spacing w:line="360" w:lineRule="auto" w:before="0" w:after="20"/>
      </w:pPr>
      <w:r>
        <w:rPr>
          <w:rFonts w:eastAsia="宋体"/>
          <w:rFonts w:ascii="Times New Roman" w:hAnsi="Times New Roman"/>
          <w:b w:val="0"/>
          <w:sz w:val="21"/>
        </w:rPr>
        <w:t>注：Q1和Q3为正确预测区域，Q2为低估终端，Q4为高估终端。</w:t>
      </w:r>
    </w:p>
    <w:p>
      <w:pPr>
        <w:spacing w:line="360" w:lineRule="auto" w:before="0" w:after="80"/>
        <w:jc w:val="center"/>
      </w:pPr>
      <w:r>
        <w:rPr>
          <w:rFonts w:eastAsia="黑体"/>
          <w:rFonts w:ascii="Times New Roman" w:hAnsi="Times New Roman"/>
          <w:b/>
          <w:sz w:val="28"/>
        </w:rPr>
        <w:t>图5  四象限一致性分析</w:t>
      </w:r>
    </w:p>
    <w:p>
      <w:pPr>
        <w:spacing w:line="360" w:lineRule="auto" w:before="0" w:after="0"/>
        <w:ind w:firstLine="560"/>
      </w:pPr>
      <w:r>
        <w:rPr>
          <w:rFonts w:eastAsia="宋体"/>
          <w:rFonts w:ascii="Times New Roman" w:hAnsi="Times New Roman"/>
          <w:b w:val="0"/>
          <w:sz w:val="28"/>
        </w:rPr>
        <w:t>特征重要性分析表明，"总扫码笔数"和"有效时段数"是最关键的特征，两者合计贡献超过60%。LightGBM的GOSS机制通过保留大梯度样本加速收敛，EFB机制通过合并互斥特征降低维度，使得模型在56维特征空间中高效地捕捉了关键模式，这是其优于随机森林的核心原因。</w:t>
      </w:r>
    </w:p>
    <w:p>
      <w:pPr>
        <w:spacing w:line="360" w:lineRule="auto" w:before="0" w:after="120"/>
      </w:pPr>
      <w:r>
        <w:rPr>
          <w:rFonts w:eastAsia="黑体"/>
          <w:rFonts w:ascii="Times New Roman" w:hAnsi="Times New Roman"/>
          <w:b/>
          <w:sz w:val="28"/>
        </w:rPr>
        <w:t>3预警机制与应用</w:t>
      </w:r>
    </w:p>
    <w:p>
      <w:pPr>
        <w:spacing w:line="360" w:lineRule="auto" w:before="0" w:after="60"/>
      </w:pPr>
      <w:r>
        <w:rPr>
          <w:rFonts w:eastAsia="黑体"/>
          <w:rFonts w:ascii="Times New Roman" w:hAnsi="Times New Roman"/>
          <w:b/>
          <w:sz w:val="28"/>
        </w:rPr>
        <w:t>3.1  预警机制设计</w:t>
      </w:r>
    </w:p>
    <w:p>
      <w:pPr>
        <w:spacing w:line="360" w:lineRule="auto" w:before="0" w:after="40"/>
        <w:ind w:firstLine="560"/>
      </w:pPr>
      <w:r>
        <w:rPr>
          <w:rFonts w:eastAsia="宋体"/>
          <w:rFonts w:ascii="Times New Roman" w:hAnsi="Times New Roman"/>
          <w:b w:val="0"/>
          <w:sz w:val="28"/>
        </w:rPr>
        <w:t>零售终端运行风险评分以基期行为得分为主要依据，权重70%，预测偏差得分为辅助调整，权重30%。基期行为得分反映终端当前经营状态的基础运行风险水平，预测偏差得分反映未来可能的变化趋势。计算公式为：</w:t>
      </w:r>
    </w:p>
    <w:p>
      <w:pPr>
        <w:spacing w:before="60" w:after="60" w:line="360" w:lineRule="auto"/>
        <w:jc w:val="center"/>
      </w:pPr>
      <m:oMathPara>
        <m:oMath>
          <m:r>
            <m:rPr>
              <m:sty m:val="i"/>
            </m:rPr>
            <m:t>S</m:t>
          </m:r>
          <m:r>
            <m:rPr/>
            <m:t> = 0.7 × </m:t>
          </m:r>
          <m:sSub>
            <m:e>
              <m:r>
                <m:rPr>
                  <m:sty m:val="i"/>
                </m:rPr>
                <m:t>S</m:t>
              </m:r>
            </m:e>
            <m:sub>
              <m:r>
                <m:rPr/>
                <m:t>base</m:t>
              </m:r>
            </m:sub>
          </m:sSub>
          <m:r>
            <m:rPr/>
            <m:t> + 0.3 × </m:t>
          </m:r>
          <m:sSub>
            <m:e>
              <m:r>
                <m:rPr>
                  <m:sty m:val="i"/>
                </m:rPr>
                <m:t>S</m:t>
              </m:r>
            </m:e>
            <m:sub>
              <m:r>
                <m:rPr/>
                <m:t>dev</m:t>
              </m:r>
            </m:sub>
          </m:sSub>
        </m:oMath>
        <m:r>
          <m:rPr/>
          <m:t>    (9)</m:t>
        </m:r>
      </m:oMathPara>
    </w:p>
    <w:p>
      <w:pPr>
        <w:spacing w:line="360" w:lineRule="auto" w:before="0" w:after="0"/>
        <w:ind w:firstLine="560"/>
      </w:pPr>
      <w:r>
        <w:rPr>
          <w:rFonts w:eastAsia="宋体"/>
          <w:rFonts w:ascii="Times New Roman" w:hAnsi="Times New Roman"/>
          <w:b w:val="0"/>
          <w:sz w:val="28"/>
        </w:rPr>
        <w:t>式中：S为零售终端运行风险综合评分，取值0至100分；</w:t>
      </w:r>
    </w:p>
    <w:p>
      <w:pPr>
        <w:spacing w:line="360" w:lineRule="auto"/>
        <w:ind w:firstLine="560"/>
      </w:pPr>
      <m:oMathPara>
        <m:oMath>
          <m:sSub>
            <m:e>
              <m:r>
                <m:rPr>
                  <m:sty m:val="i"/>
                </m:rPr>
                <m:t>S</m:t>
              </m:r>
            </m:e>
            <m:sub>
              <m:r>
                <m:rPr/>
                <m:t>base</m:t>
              </m:r>
            </m:sub>
          </m:sSub>
          <m:r>
            <m:rPr/>
            <m:t>为基期行为得分，基于上期各项指标的实际表现计算；</m:t>
          </m:r>
          <m:sSub>
            <m:e>
              <m:r>
                <m:rPr>
                  <m:sty m:val="i"/>
                </m:rPr>
                <m:t>S</m:t>
              </m:r>
            </m:e>
            <m:sub>
              <m:r>
                <m:rPr/>
                <m:t>dev</m:t>
              </m:r>
            </m:sub>
          </m:sSub>
          <m:r>
            <m:rPr/>
            <m:t>为预测偏差得分，基于预测值与基期值的相对偏差计算。</m:t>
          </m:r>
        </m:oMath>
      </m:oMathPara>
    </w:p>
    <w:p>
      <w:pPr>
        <w:spacing w:line="360" w:lineRule="auto" w:before="0" w:after="0"/>
        <w:ind w:firstLine="560"/>
      </w:pPr>
      <w:r>
        <w:rPr>
          <w:rFonts w:eastAsia="宋体"/>
          <w:rFonts w:ascii="Times New Roman" w:hAnsi="Times New Roman"/>
          <w:b w:val="0"/>
          <w:sz w:val="28"/>
        </w:rPr>
        <w:t>基期加成规则为：日均扫码小于5笔加12分，小于10笔加6分；聚合支付小于1笔加8分；在线天数使用率低于60%加10分。四级阈值：大于等于60分红色预警，40至59分橙色预警，20至39分黄色预警，小于20分正常。基期行为得分占70%权重的设计理由是：终端当前的经营状态是运行风险判断的主要依据，已经表现不佳的终端无论预测趋势如何都应优先关注；预测偏差占30%权重，用于捕捉即将发生的变化趋势，作为辅助调整因素。</w:t>
      </w:r>
    </w:p>
    <w:p>
      <w:pPr>
        <w:spacing w:line="360" w:lineRule="auto" w:before="0" w:after="40"/>
        <w:jc w:val="center"/>
      </w:pPr>
      <w:r>
        <w:rPr>
          <w:rFonts w:eastAsia="宋体"/>
          <w:rFonts w:ascii="Times New Roman" w:hAnsi="Times New Roman"/>
          <w:b w:val="0"/>
          <w:sz w:val="21"/>
        </w:rPr>
        <w:t>表5  零售终端运行风险评分四级分布</w:t>
      </w:r>
    </w:p>
    <w:tbl>
      <w:tblPr>
        <w:tblW w:type="auto" w:w="0"/>
        <w:jc w:val="center"/>
        <w:tblLook w:firstColumn="1" w:firstRow="1" w:lastColumn="0" w:lastRow="0" w:noHBand="0" w:noVBand="1" w:val="04A0"/>
        <w:tblBorders>
          <w:top w:val="single" w:sz="12" w:space="0" w:color="000000"/>
          <w:bottom w:val="single" w:sz="12" w:space="0" w:color="000000"/>
        </w:tblBorders>
      </w:tblPr>
      <w:tblGrid>
        <w:gridCol w:w="2882"/>
        <w:gridCol w:w="2882"/>
        <w:gridCol w:w="2882"/>
      </w:tblGrid>
      <w:tr>
        <w:tc>
          <w:tcPr>
            <w:tcW w:type="dxa" w:w="2882"/>
            <w:tcBorders>
              <w:bottom w:val="single" w:sz="8" w:space="0" w:color="000000"/>
            </w:tcBorders>
          </w:tcPr>
          <w:p>
            <w:pPr>
              <w:spacing w:before="20" w:after="20" w:line="288" w:lineRule="auto"/>
              <w:jc w:val="center"/>
            </w:pPr>
            <w:r/>
            <w:r>
              <w:rPr>
                <w:rFonts w:eastAsia="宋体"/>
                <w:rFonts w:ascii="Times New Roman" w:hAnsi="Times New Roman"/>
                <w:b/>
                <w:sz w:val="21"/>
              </w:rPr>
              <w:t>运行风险等级</w:t>
            </w:r>
          </w:p>
        </w:tc>
        <w:tc>
          <w:tcPr>
            <w:tcW w:type="dxa" w:w="2882"/>
            <w:tcBorders>
              <w:bottom w:val="single" w:sz="8" w:space="0" w:color="000000"/>
            </w:tcBorders>
          </w:tcPr>
          <w:p>
            <w:pPr>
              <w:spacing w:before="20" w:after="20" w:line="288" w:lineRule="auto"/>
              <w:jc w:val="center"/>
            </w:pPr>
            <w:r/>
            <w:r>
              <w:rPr>
                <w:rFonts w:eastAsia="宋体"/>
                <w:rFonts w:ascii="Times New Roman" w:hAnsi="Times New Roman"/>
                <w:b/>
                <w:sz w:val="21"/>
              </w:rPr>
              <w:t>评分阈值</w:t>
            </w:r>
          </w:p>
        </w:tc>
        <w:tc>
          <w:tcPr>
            <w:tcW w:type="dxa" w:w="2882"/>
            <w:tcBorders>
              <w:bottom w:val="single" w:sz="8" w:space="0" w:color="000000"/>
            </w:tcBorders>
          </w:tcPr>
          <w:p>
            <w:pPr>
              <w:spacing w:before="20" w:after="20" w:line="288" w:lineRule="auto"/>
              <w:jc w:val="center"/>
            </w:pPr>
            <w:r/>
            <w:r>
              <w:rPr>
                <w:rFonts w:eastAsia="宋体"/>
                <w:rFonts w:ascii="Times New Roman" w:hAnsi="Times New Roman"/>
                <w:b/>
                <w:sz w:val="21"/>
              </w:rPr>
              <w:t>响应策略</w:t>
            </w:r>
          </w:p>
        </w:tc>
      </w:tr>
      <w:tr>
        <w:tc>
          <w:tcPr>
            <w:tcW w:type="dxa" w:w="2882"/>
            <w:tcBorders/>
          </w:tcPr>
          <w:p>
            <w:pPr>
              <w:spacing w:before="20" w:after="20" w:line="288" w:lineRule="auto"/>
              <w:jc w:val="center"/>
            </w:pPr>
            <w:r/>
            <w:r>
              <w:rPr>
                <w:rFonts w:eastAsia="宋体"/>
                <w:rFonts w:ascii="Times New Roman" w:hAnsi="Times New Roman"/>
                <w:b w:val="0"/>
                <w:sz w:val="21"/>
              </w:rPr>
              <w:t>红色预警</w:t>
            </w:r>
          </w:p>
        </w:tc>
        <w:tc>
          <w:tcPr>
            <w:tcW w:type="dxa" w:w="2882"/>
            <w:tcBorders/>
          </w:tcPr>
          <w:p>
            <w:pPr>
              <w:spacing w:before="20" w:after="20" w:line="288" w:lineRule="auto"/>
              <w:jc w:val="center"/>
            </w:pPr>
            <w:r/>
            <w:r>
              <w:rPr>
                <w:rFonts w:eastAsia="宋体"/>
                <w:rFonts w:ascii="Times New Roman" w:hAnsi="Times New Roman"/>
                <w:b w:val="0"/>
                <w:sz w:val="21"/>
              </w:rPr>
              <w:t>&gt;=60</w:t>
            </w:r>
          </w:p>
        </w:tc>
        <w:tc>
          <w:tcPr>
            <w:tcW w:type="dxa" w:w="2882"/>
            <w:tcBorders/>
          </w:tcPr>
          <w:p>
            <w:pPr>
              <w:spacing w:before="20" w:after="20" w:line="288" w:lineRule="auto"/>
              <w:jc w:val="center"/>
            </w:pPr>
            <w:r/>
            <w:r>
              <w:rPr>
                <w:rFonts w:eastAsia="宋体"/>
                <w:rFonts w:ascii="Times New Roman" w:hAnsi="Times New Roman"/>
                <w:b w:val="0"/>
                <w:sz w:val="21"/>
              </w:rPr>
              <w:t>立即实地走访</w:t>
            </w:r>
          </w:p>
        </w:tc>
      </w:tr>
      <w:tr>
        <w:tc>
          <w:tcPr>
            <w:tcW w:type="dxa" w:w="2882"/>
            <w:tcBorders/>
          </w:tcPr>
          <w:p>
            <w:pPr>
              <w:spacing w:before="20" w:after="20" w:line="288" w:lineRule="auto"/>
              <w:jc w:val="center"/>
            </w:pPr>
            <w:r/>
            <w:r>
              <w:rPr>
                <w:rFonts w:eastAsia="宋体"/>
                <w:rFonts w:ascii="Times New Roman" w:hAnsi="Times New Roman"/>
                <w:b w:val="0"/>
                <w:sz w:val="21"/>
              </w:rPr>
              <w:t>橙色预警</w:t>
            </w:r>
          </w:p>
        </w:tc>
        <w:tc>
          <w:tcPr>
            <w:tcW w:type="dxa" w:w="2882"/>
            <w:tcBorders/>
          </w:tcPr>
          <w:p>
            <w:pPr>
              <w:spacing w:before="20" w:after="20" w:line="288" w:lineRule="auto"/>
              <w:jc w:val="center"/>
            </w:pPr>
            <w:r/>
            <w:r>
              <w:rPr>
                <w:rFonts w:eastAsia="宋体"/>
                <w:rFonts w:ascii="Times New Roman" w:hAnsi="Times New Roman"/>
                <w:b w:val="0"/>
                <w:sz w:val="21"/>
              </w:rPr>
              <w:t>40至59</w:t>
            </w:r>
          </w:p>
        </w:tc>
        <w:tc>
          <w:tcPr>
            <w:tcW w:type="dxa" w:w="2882"/>
            <w:tcBorders/>
          </w:tcPr>
          <w:p>
            <w:pPr>
              <w:spacing w:before="20" w:after="20" w:line="288" w:lineRule="auto"/>
              <w:jc w:val="center"/>
            </w:pPr>
            <w:r/>
            <w:r>
              <w:rPr>
                <w:rFonts w:eastAsia="宋体"/>
                <w:rFonts w:ascii="Times New Roman" w:hAnsi="Times New Roman"/>
                <w:b w:val="0"/>
                <w:sz w:val="21"/>
              </w:rPr>
              <w:t>本周期走访</w:t>
            </w:r>
          </w:p>
        </w:tc>
      </w:tr>
      <w:tr>
        <w:tc>
          <w:tcPr>
            <w:tcW w:type="dxa" w:w="2882"/>
            <w:tcBorders/>
          </w:tcPr>
          <w:p>
            <w:pPr>
              <w:spacing w:before="20" w:after="20" w:line="288" w:lineRule="auto"/>
              <w:jc w:val="center"/>
            </w:pPr>
            <w:r/>
            <w:r>
              <w:rPr>
                <w:rFonts w:eastAsia="宋体"/>
                <w:rFonts w:ascii="Times New Roman" w:hAnsi="Times New Roman"/>
                <w:b w:val="0"/>
                <w:sz w:val="21"/>
              </w:rPr>
              <w:t>黄色预警</w:t>
            </w:r>
          </w:p>
        </w:tc>
        <w:tc>
          <w:tcPr>
            <w:tcW w:type="dxa" w:w="2882"/>
            <w:tcBorders/>
          </w:tcPr>
          <w:p>
            <w:pPr>
              <w:spacing w:before="20" w:after="20" w:line="288" w:lineRule="auto"/>
              <w:jc w:val="center"/>
            </w:pPr>
            <w:r/>
            <w:r>
              <w:rPr>
                <w:rFonts w:eastAsia="宋体"/>
                <w:rFonts w:ascii="Times New Roman" w:hAnsi="Times New Roman"/>
                <w:b w:val="0"/>
                <w:sz w:val="21"/>
              </w:rPr>
              <w:t>20至39</w:t>
            </w:r>
          </w:p>
        </w:tc>
        <w:tc>
          <w:tcPr>
            <w:tcW w:type="dxa" w:w="2882"/>
            <w:tcBorders/>
          </w:tcPr>
          <w:p>
            <w:pPr>
              <w:spacing w:before="20" w:after="20" w:line="288" w:lineRule="auto"/>
              <w:jc w:val="center"/>
            </w:pPr>
            <w:r/>
            <w:r>
              <w:rPr>
                <w:rFonts w:eastAsia="宋体"/>
                <w:rFonts w:ascii="Times New Roman" w:hAnsi="Times New Roman"/>
                <w:b w:val="0"/>
                <w:sz w:val="21"/>
              </w:rPr>
              <w:t>加强线上监测</w:t>
            </w:r>
          </w:p>
        </w:tc>
      </w:tr>
      <w:tr>
        <w:tc>
          <w:tcPr>
            <w:tcW w:type="dxa" w:w="2882"/>
            <w:tcBorders/>
          </w:tcPr>
          <w:p>
            <w:pPr>
              <w:spacing w:before="20" w:after="20" w:line="288" w:lineRule="auto"/>
              <w:jc w:val="center"/>
            </w:pPr>
            <w:r/>
            <w:r>
              <w:rPr>
                <w:rFonts w:eastAsia="宋体"/>
                <w:rFonts w:ascii="Times New Roman" w:hAnsi="Times New Roman"/>
                <w:b w:val="0"/>
                <w:sz w:val="21"/>
              </w:rPr>
              <w:t>正常</w:t>
            </w:r>
          </w:p>
        </w:tc>
        <w:tc>
          <w:tcPr>
            <w:tcW w:type="dxa" w:w="2882"/>
            <w:tcBorders/>
          </w:tcPr>
          <w:p>
            <w:pPr>
              <w:spacing w:before="20" w:after="20" w:line="288" w:lineRule="auto"/>
              <w:jc w:val="center"/>
            </w:pPr>
            <w:r/>
            <w:r>
              <w:rPr>
                <w:rFonts w:eastAsia="宋体"/>
                <w:rFonts w:ascii="Times New Roman" w:hAnsi="Times New Roman"/>
                <w:b w:val="0"/>
                <w:sz w:val="21"/>
              </w:rPr>
              <w:t>&lt;20</w:t>
            </w:r>
          </w:p>
        </w:tc>
        <w:tc>
          <w:tcPr>
            <w:tcW w:type="dxa" w:w="2882"/>
            <w:tcBorders/>
          </w:tcPr>
          <w:p>
            <w:pPr>
              <w:spacing w:before="20" w:after="20" w:line="288" w:lineRule="auto"/>
              <w:jc w:val="center"/>
            </w:pPr>
            <w:r/>
            <w:r>
              <w:rPr>
                <w:rFonts w:eastAsia="宋体"/>
                <w:rFonts w:ascii="Times New Roman" w:hAnsi="Times New Roman"/>
                <w:b w:val="0"/>
                <w:sz w:val="21"/>
              </w:rPr>
              <w:t>常规监测</w:t>
            </w:r>
          </w:p>
        </w:tc>
      </w:tr>
    </w:tbl>
    <w:p>
      <w:pPr>
        <w:spacing w:line="360" w:lineRule="auto" w:before="0" w:after="0"/>
        <w:ind w:firstLine="560"/>
      </w:pPr>
      <w:r>
        <w:rPr>
          <w:rFonts w:eastAsia="宋体"/>
          <w:rFonts w:ascii="Times New Roman" w:hAnsi="Times New Roman"/>
          <w:b w:val="0"/>
          <w:sz w:val="28"/>
        </w:rPr>
      </w:r>
    </w:p>
    <w:p>
      <w:pPr>
        <w:spacing w:line="360" w:lineRule="auto" w:before="0" w:after="0"/>
        <w:ind w:firstLine="560"/>
      </w:pPr>
      <w:r>
        <w:rPr>
          <w:rFonts w:eastAsia="宋体"/>
          <w:rFonts w:ascii="Times New Roman" w:hAnsi="Times New Roman"/>
          <w:b w:val="0"/>
          <w:sz w:val="28"/>
        </w:rPr>
        <w:t>预警精确率0.9443，四象限一致性73.8%。图6展示了评分分布，图7展示了各指标的零售终端运行风险贡献度。</w:t>
      </w:r>
    </w:p>
    <w:p>
      <w:pPr>
        <w:jc w:val="center"/>
      </w:pPr>
      <w:r>
        <w:drawing>
          <wp:inline xmlns:a="http://schemas.openxmlformats.org/drawingml/2006/main" xmlns:pic="http://schemas.openxmlformats.org/drawingml/2006/picture">
            <wp:extent cx="5400000" cy="2282374"/>
            <wp:docPr id="6" name="Picture 6"/>
            <wp:cNvGraphicFramePr>
              <a:graphicFrameLocks noChangeAspect="1"/>
            </wp:cNvGraphicFramePr>
            <a:graphic>
              <a:graphicData uri="http://schemas.openxmlformats.org/drawingml/2006/picture">
                <pic:pic>
                  <pic:nvPicPr>
                    <pic:cNvPr id="0" name="v42_风险分布.png"/>
                    <pic:cNvPicPr/>
                  </pic:nvPicPr>
                  <pic:blipFill>
                    <a:blip r:embed="rId15"/>
                    <a:stretch>
                      <a:fillRect/>
                    </a:stretch>
                  </pic:blipFill>
                  <pic:spPr>
                    <a:xfrm>
                      <a:off x="0" y="0"/>
                      <a:ext cx="5400000" cy="2282374"/>
                    </a:xfrm>
                    <a:prstGeom prst="rect"/>
                  </pic:spPr>
                </pic:pic>
              </a:graphicData>
            </a:graphic>
          </wp:inline>
        </w:drawing>
      </w:r>
    </w:p>
    <w:p>
      <w:pPr>
        <w:spacing w:line="360" w:lineRule="auto" w:before="0" w:after="20"/>
      </w:pPr>
      <w:r>
        <w:rPr>
          <w:rFonts w:eastAsia="宋体"/>
          <w:rFonts w:ascii="Times New Roman" w:hAnsi="Times New Roman"/>
          <w:b w:val="0"/>
          <w:sz w:val="21"/>
        </w:rPr>
        <w:t>注：以5月为例，红色预警8家、橙色预警2家、黄色预警13家、正常110家，饼图为等级分布，直方图为评分分布，虚线为四级阈值。</w:t>
      </w:r>
    </w:p>
    <w:p>
      <w:pPr>
        <w:spacing w:line="360" w:lineRule="auto" w:before="0" w:after="80"/>
        <w:jc w:val="center"/>
      </w:pPr>
      <w:r>
        <w:rPr>
          <w:rFonts w:eastAsia="黑体"/>
          <w:rFonts w:ascii="Times New Roman" w:hAnsi="Times New Roman"/>
          <w:b/>
          <w:sz w:val="28"/>
        </w:rPr>
        <w:t>图6  零售终端运行风险综合评分分布</w:t>
      </w:r>
    </w:p>
    <w:p>
      <w:pPr>
        <w:jc w:val="center"/>
      </w:pPr>
      <w:r>
        <w:drawing>
          <wp:inline xmlns:a="http://schemas.openxmlformats.org/drawingml/2006/main" xmlns:pic="http://schemas.openxmlformats.org/drawingml/2006/picture">
            <wp:extent cx="5400000" cy="3212658"/>
            <wp:docPr id="7" name="Picture 7"/>
            <wp:cNvGraphicFramePr>
              <a:graphicFrameLocks noChangeAspect="1"/>
            </wp:cNvGraphicFramePr>
            <a:graphic>
              <a:graphicData uri="http://schemas.openxmlformats.org/drawingml/2006/picture">
                <pic:pic>
                  <pic:nvPicPr>
                    <pic:cNvPr id="0" name="v42_风险贡献度.png"/>
                    <pic:cNvPicPr/>
                  </pic:nvPicPr>
                  <pic:blipFill>
                    <a:blip r:embed="rId16"/>
                    <a:stretch>
                      <a:fillRect/>
                    </a:stretch>
                  </pic:blipFill>
                  <pic:spPr>
                    <a:xfrm>
                      <a:off x="0" y="0"/>
                      <a:ext cx="5400000" cy="3212658"/>
                    </a:xfrm>
                    <a:prstGeom prst="rect"/>
                  </pic:spPr>
                </pic:pic>
              </a:graphicData>
            </a:graphic>
          </wp:inline>
        </w:drawing>
      </w:r>
    </w:p>
    <w:p>
      <w:pPr>
        <w:spacing w:line="360" w:lineRule="auto" w:before="0" w:after="20"/>
      </w:pPr>
      <w:r>
        <w:rPr>
          <w:rFonts w:eastAsia="宋体"/>
          <w:rFonts w:ascii="Times New Roman" w:hAnsi="Times New Roman"/>
          <w:b w:val="0"/>
          <w:sz w:val="21"/>
        </w:rPr>
        <w:t>注：日均扫码笔数和在线支付笔数合计57%，为主要运行风险驱动因素。</w:t>
      </w:r>
    </w:p>
    <w:p>
      <w:pPr>
        <w:spacing w:line="360" w:lineRule="auto" w:before="0" w:after="80"/>
        <w:jc w:val="center"/>
      </w:pPr>
      <w:r>
        <w:rPr>
          <w:rFonts w:eastAsia="黑体"/>
          <w:rFonts w:ascii="Times New Roman" w:hAnsi="Times New Roman"/>
          <w:b/>
          <w:sz w:val="28"/>
        </w:rPr>
        <w:t>图7  各指标零售终端运行风险贡献度</w:t>
      </w:r>
    </w:p>
    <w:p>
      <w:pPr>
        <w:spacing w:line="360" w:lineRule="auto" w:before="0" w:after="60"/>
      </w:pPr>
      <w:r>
        <w:rPr>
          <w:rFonts w:eastAsia="黑体"/>
          <w:rFonts w:ascii="Times New Roman" w:hAnsi="Times New Roman"/>
          <w:b/>
          <w:sz w:val="28"/>
        </w:rPr>
        <w:t>3.2  多层级决策应用</w:t>
      </w:r>
    </w:p>
    <w:p>
      <w:pPr>
        <w:spacing w:line="360" w:lineRule="auto" w:before="0" w:after="0"/>
        <w:ind w:firstLine="560"/>
      </w:pPr>
      <w:r>
        <w:rPr>
          <w:rFonts w:eastAsia="宋体"/>
          <w:rFonts w:ascii="Times New Roman" w:hAnsi="Times New Roman"/>
          <w:b w:val="0"/>
          <w:sz w:val="28"/>
        </w:rPr>
        <w:t>基于零售终端运行风险评分结果，构建三级管理层决策体系：</w:t>
      </w:r>
    </w:p>
    <w:p>
      <w:pPr>
        <w:spacing w:line="360" w:lineRule="auto" w:before="0" w:after="40"/>
        <w:ind w:firstLine="560"/>
      </w:pPr>
      <w:r>
        <w:rPr>
          <w:rFonts w:eastAsia="宋体"/>
          <w:rFonts w:ascii="Times New Roman" w:hAnsi="Times New Roman"/>
          <w:b w:val="0"/>
          <w:sz w:val="28"/>
        </w:rPr>
        <w:t>（1）客户经理层面：根据评分排序制定重点走访计划，优先走访橙色和红色预警终端。预警可识别终端经营下滑（日均扫码笔数持续下降）、扫码异常（扫码集中度偏离正常范围）、支付萎缩（在线支付笔数大幅减少）等风险，红色预警终端风险评分达60分以上，需立即实地走访；橙色预警终端风险评分在40至59分之间，需本周期内走访。走访时携带预警诊断报告，含预测值、偏差率、预警原因，实现精准问题定位。预警精确率0.9443保证了走访资源的有效利用。</w:t>
      </w:r>
    </w:p>
    <w:p>
      <w:pPr>
        <w:spacing w:line="360" w:lineRule="auto" w:before="0" w:after="40"/>
        <w:ind w:firstLine="560"/>
      </w:pPr>
      <w:r>
        <w:rPr>
          <w:rFonts w:eastAsia="宋体"/>
          <w:rFonts w:ascii="Times New Roman" w:hAnsi="Times New Roman"/>
          <w:b w:val="0"/>
          <w:sz w:val="28"/>
        </w:rPr>
        <w:t>（2）县局客服部层面：统计各片区预警占比，对预警比例偏高的片区优先调整货源投放策略。预测扫码量上升的终端可适当增加紧俏货源投放量；预测大幅下降的终端应暂缓投放并优先排查原因。参考姜思明等[2]的市场状态评估思路，可将预测结果与品规市场状态相结合。</w:t>
      </w:r>
    </w:p>
    <w:p>
      <w:pPr>
        <w:spacing w:line="360" w:lineRule="auto" w:before="0" w:after="40"/>
        <w:ind w:firstLine="560"/>
      </w:pPr>
      <w:r>
        <w:rPr>
          <w:rFonts w:eastAsia="宋体"/>
          <w:rFonts w:ascii="Times New Roman" w:hAnsi="Times New Roman"/>
          <w:b w:val="0"/>
          <w:sz w:val="28"/>
        </w:rPr>
        <w:t>（3）市局营销中心层面：汇总各区县运行风险指数进行横向排名和纵向趋势分析，从全局角度优化投放策略。多窗口策略可灵活支持3天应急排查、7天周评价、15天订货调整和30天月度考核等不同场景。营销中心可提前掌握整体运行风险态势，统筹调配资源。</w:t>
      </w:r>
    </w:p>
    <w:p>
      <w:pPr>
        <w:spacing w:line="360" w:lineRule="auto" w:before="0" w:after="120"/>
      </w:pPr>
      <w:r>
        <w:rPr>
          <w:rFonts w:eastAsia="黑体"/>
          <w:rFonts w:ascii="Times New Roman" w:hAnsi="Times New Roman"/>
          <w:b/>
          <w:sz w:val="28"/>
        </w:rPr>
        <w:t>4结论</w:t>
      </w:r>
    </w:p>
    <w:p>
      <w:pPr>
        <w:spacing w:line="360" w:lineRule="auto" w:before="0" w:after="0"/>
        <w:ind w:firstLine="560"/>
      </w:pPr>
      <w:r>
        <w:rPr>
          <w:rFonts w:eastAsia="宋体"/>
          <w:rFonts w:ascii="Times New Roman" w:hAnsi="Times New Roman"/>
          <w:b w:val="0"/>
          <w:sz w:val="28"/>
        </w:rPr>
        <w:t>本文以兴山县133家零售终端2026年1至5月扫码数据为基础，对比了线性回归、随机森林、LightGBM和简单基线四种模型，采用决定系数R²衡量回归精度，以精确率-召回率曲线、受试者工作特征曲线和四象限分析进行分类评估，设计了以基期行为为主、预测偏差为辅的零售终端运行风险评分四级预警机制。主要结论如下：</w:t>
      </w:r>
    </w:p>
    <w:p>
      <w:pPr>
        <w:spacing w:line="360" w:lineRule="auto" w:before="0" w:after="40"/>
        <w:ind w:firstLine="560"/>
      </w:pPr>
      <w:r>
        <w:rPr>
          <w:rFonts w:eastAsia="宋体"/>
          <w:rFonts w:ascii="Times New Roman" w:hAnsi="Times New Roman"/>
          <w:b w:val="0"/>
          <w:sz w:val="28"/>
        </w:rPr>
        <w:t>（1）LightGBM在所有模型中表现最优，整体决定系数R²=0.933，较线性回归R²提升0.057，较随机森林R²提升0.011，证实了梯度提升算法的序列化纠错机制在小样本时序预测中优于Bagging的并行投票机制。</w:t>
      </w:r>
    </w:p>
    <w:p>
      <w:pPr>
        <w:spacing w:line="360" w:lineRule="auto" w:before="0" w:after="40"/>
        <w:ind w:firstLine="560"/>
      </w:pPr>
      <w:r>
        <w:rPr>
          <w:rFonts w:eastAsia="宋体"/>
          <w:rFonts w:ascii="Times New Roman" w:hAnsi="Times New Roman"/>
          <w:b w:val="0"/>
          <w:sz w:val="28"/>
        </w:rPr>
        <w:t>（2）分类评估表明LightGBM具有较高判别能力，精确率-召回率曲线下面积达0.8030、受试者工作特征曲线下面积达0.7853、四象限一致性73.8%，证明模型在零售终端运行风险识别上可靠有效。</w:t>
      </w:r>
    </w:p>
    <w:p>
      <w:pPr>
        <w:spacing w:line="360" w:lineRule="auto" w:before="0" w:after="40"/>
        <w:ind w:firstLine="560"/>
      </w:pPr>
      <w:r>
        <w:rPr>
          <w:rFonts w:eastAsia="宋体"/>
          <w:rFonts w:ascii="Times New Roman" w:hAnsi="Times New Roman"/>
          <w:b w:val="0"/>
          <w:sz w:val="28"/>
        </w:rPr>
        <w:t>（3）构建了以基期行为得分为主、预测偏差得分为辅的零售终端运行风险评分机制，可预警终端经营下滑、扫码异常、支付萎缩等风险，红色预警终端风险评分达60分以上，橙色预警终端风险评分在40至59分之间。四级预警配合三级管理层决策体系，使客户经理、客服部和营销中心均能提前获知运行风险并规划应对策略。</w:t>
      </w:r>
    </w:p>
    <w:p>
      <w:pPr>
        <w:spacing w:line="360" w:lineRule="auto" w:before="0" w:after="0"/>
        <w:ind w:firstLine="560"/>
      </w:pPr>
      <w:r>
        <w:rPr>
          <w:rFonts w:eastAsia="宋体"/>
          <w:rFonts w:ascii="Times New Roman" w:hAnsi="Times New Roman"/>
          <w:b w:val="0"/>
          <w:sz w:val="28"/>
        </w:rPr>
        <w:t>（4）多窗口策略可灵活支持3天应急排查、7天周评价、15天订货调整和30天月度考核等场景需求。后续研究方向：引入更多月份数据构建多步滚动预测框架；参考姜思明等[2]的LFM方法，将经验权重与数据驱动权重融合；结合SHAP可解释性分析为每终端提供个性化预警原因诊断；增加库存管理类指标如存销比、库存周转率等，使指标体系更完整。</w:t>
      </w:r>
    </w:p>
    <w:p>
      <w:pPr>
        <w:spacing w:line="360" w:lineRule="auto" w:before="0" w:after="60"/>
        <w:jc w:val="center"/>
      </w:pPr>
      <w:r>
        <w:rPr>
          <w:rFonts w:eastAsia="黑体"/>
          <w:rFonts w:ascii="Times New Roman" w:hAnsi="Times New Roman"/>
          <w:b/>
          <w:sz w:val="28"/>
        </w:rPr>
        <w:t>参考文献</w:t>
      </w:r>
    </w:p>
    <w:p>
      <w:pPr>
        <w:spacing w:line="360" w:lineRule="auto" w:before="0" w:after="0"/>
      </w:pPr>
      <w:r>
        <w:rPr>
          <w:rFonts w:eastAsia="宋体"/>
          <w:rFonts w:ascii="Times New Roman" w:hAnsi="Times New Roman"/>
          <w:b w:val="0"/>
          <w:sz w:val="24"/>
        </w:rPr>
        <w:t>[1] 邹明辉, 严文忠, 王支卫. 基于数据驱动的卷烟零售终端异常行为识别体系构建与应用[J]. 上海烟草, 2025, 29(1): 15-26.</w:t>
      </w:r>
    </w:p>
    <w:p>
      <w:pPr>
        <w:spacing w:line="360" w:lineRule="auto" w:before="0" w:after="0"/>
      </w:pPr>
      <w:r>
        <w:rPr>
          <w:rFonts w:eastAsia="宋体"/>
          <w:rFonts w:ascii="Times New Roman" w:hAnsi="Times New Roman"/>
          <w:b w:val="0"/>
          <w:sz w:val="24"/>
        </w:rPr>
        <w:t>[2] 姜思明, 刘荣, 谭升达, 等. 基于零售终端数据治理的卷烟市场状态监测研究[J]. 烟草科技, 2026.</w:t>
      </w:r>
    </w:p>
    <w:p>
      <w:pPr>
        <w:spacing w:line="360" w:lineRule="auto" w:before="0" w:after="0"/>
      </w:pPr>
      <w:r>
        <w:rPr>
          <w:rFonts w:eastAsia="宋体"/>
          <w:rFonts w:ascii="Times New Roman" w:hAnsi="Times New Roman"/>
          <w:b w:val="0"/>
          <w:sz w:val="24"/>
        </w:rPr>
        <w:t>[3] 李天举, 谢志峰, 张侃弘, 等. 基于集成学习的烟草异常数据挖掘研究与应用[J]. 计算机技术与发展, 2020, 30(11): 128-135.</w:t>
      </w:r>
    </w:p>
    <w:p>
      <w:pPr>
        <w:spacing w:line="360" w:lineRule="auto" w:before="0" w:after="0"/>
      </w:pPr>
      <w:r>
        <w:rPr>
          <w:rFonts w:eastAsia="宋体"/>
          <w:rFonts w:ascii="Times New Roman" w:hAnsi="Times New Roman"/>
          <w:b w:val="0"/>
          <w:sz w:val="24"/>
        </w:rPr>
        <w:t>[4] Grinsztajn L, Oyallon E, Varoquaux G, et al. Why do tree-based models still outperform deep learning on typical tabular data?[J]. Advances in Neural Information Processing Systems, 2022, 35: 507-520.</w:t>
      </w:r>
    </w:p>
    <w:p>
      <w:pPr>
        <w:spacing w:line="360" w:lineRule="auto" w:before="0" w:after="0"/>
      </w:pPr>
      <w:r>
        <w:rPr>
          <w:rFonts w:eastAsia="宋体"/>
          <w:rFonts w:ascii="Times New Roman" w:hAnsi="Times New Roman"/>
          <w:b w:val="0"/>
          <w:sz w:val="24"/>
        </w:rPr>
        <w:t>[5] Borisov V, Leemann T, Seßler K, et al. Deep neural networks and tabular data: A survey[J]. IEEE Transactions on Pattern Analysis and Machine Intelligence, 2024, 46(7): 4464-4481.</w:t>
      </w:r>
    </w:p>
    <w:p>
      <w:pPr>
        <w:spacing w:line="360" w:lineRule="auto" w:before="0" w:after="0"/>
      </w:pPr>
      <w:r>
        <w:rPr>
          <w:rFonts w:eastAsia="宋体"/>
          <w:rFonts w:ascii="Times New Roman" w:hAnsi="Times New Roman"/>
          <w:b w:val="0"/>
          <w:sz w:val="24"/>
        </w:rPr>
        <w:t>[6] 周志华. 机器学习[M]. 北京: 清华大学出版社, 2016.</w:t>
      </w:r>
    </w:p>
    <w:p>
      <w:pPr>
        <w:spacing w:line="360" w:lineRule="auto" w:before="0" w:after="0"/>
      </w:pPr>
      <w:r>
        <w:rPr>
          <w:rFonts w:eastAsia="宋体"/>
          <w:rFonts w:ascii="Times New Roman" w:hAnsi="Times New Roman"/>
          <w:b w:val="0"/>
          <w:sz w:val="24"/>
        </w:rPr>
        <w:t>[7] 李航. 统计学习方法[M]. 2版. 北京: 清华大学出版社, 2019.</w:t>
      </w:r>
    </w:p>
    <w:p>
      <w:pPr>
        <w:spacing w:line="360" w:lineRule="auto" w:before="0" w:after="0"/>
      </w:pPr>
      <w:r>
        <w:rPr>
          <w:rFonts w:eastAsia="宋体"/>
          <w:rFonts w:ascii="Times New Roman" w:hAnsi="Times New Roman"/>
          <w:b w:val="0"/>
          <w:sz w:val="24"/>
        </w:rPr>
        <w:t>[8] 葛娜, 李小林, 王红雨. 基于ARIMA时间序列模型的销售量预测分析[J]. 统计与决策, 2023, 39(15): 52-56.</w:t>
      </w:r>
    </w:p>
    <w:p>
      <w:pPr>
        <w:spacing w:line="360" w:lineRule="auto" w:before="0" w:after="0"/>
      </w:pPr>
      <w:r>
        <w:rPr>
          <w:rFonts w:eastAsia="宋体"/>
          <w:rFonts w:ascii="Times New Roman" w:hAnsi="Times New Roman"/>
          <w:b w:val="0"/>
          <w:sz w:val="24"/>
        </w:rPr>
        <w:t>[9] 董秉坤, 原源, 郭兴堃, 等. 国产卷烟新品市场状态评价体系量化研究[J]. 中国烟草学报, 2023, 29(2): 105-110.</w:t>
      </w:r>
    </w:p>
    <w:p>
      <w:pPr>
        <w:spacing w:line="360" w:lineRule="auto" w:before="0" w:after="0"/>
      </w:pPr>
      <w:r>
        <w:rPr>
          <w:rFonts w:eastAsia="宋体"/>
          <w:rFonts w:ascii="Times New Roman" w:hAnsi="Times New Roman"/>
          <w:b w:val="0"/>
          <w:sz w:val="24"/>
        </w:rPr>
        <w:t>[10] 王伟东, 尹海滨, 张宗文, 等. 数字化营销背景下的卷烟零售市场状态优化策略研究[J]. 技术与市场, 2023, 30(12): 132-135.</w:t>
      </w:r>
    </w:p>
    <w:p>
      <w:pPr>
        <w:spacing w:line="360" w:lineRule="auto" w:before="0" w:after="0"/>
      </w:pPr>
      <w:r>
        <w:rPr>
          <w:rFonts w:eastAsia="宋体"/>
          <w:rFonts w:ascii="Times New Roman" w:hAnsi="Times New Roman"/>
          <w:b w:val="0"/>
          <w:sz w:val="24"/>
        </w:rPr>
        <w:t>[11] 许飞, 张一博, 史浪, 等. 烟草商业企业市场状态评价指标阈值确定方法优化[J]. 经济师, 2023(5): 278-281.</w:t>
      </w:r>
    </w:p>
    <w:p>
      <w:pPr>
        <w:spacing w:line="360" w:lineRule="auto" w:before="0" w:after="0"/>
      </w:pPr>
      <w:r>
        <w:rPr>
          <w:rFonts w:eastAsia="宋体"/>
          <w:rFonts w:ascii="Times New Roman" w:hAnsi="Times New Roman"/>
          <w:b w:val="0"/>
          <w:sz w:val="24"/>
        </w:rPr>
        <w:t>[12] 黄敏, 梁艳, 向云海, 等. 基于智能集成与阈值训练的卷烟市场状态评价体系研究[J]. 中国烟草学报, 2025, 31(5): 155-166.</w:t>
      </w:r>
    </w:p>
    <w:p>
      <w:pPr>
        <w:spacing w:line="360" w:lineRule="auto" w:before="0" w:after="0"/>
      </w:pPr>
      <w:r>
        <w:rPr>
          <w:rFonts w:eastAsia="宋体"/>
          <w:rFonts w:ascii="Times New Roman" w:hAnsi="Times New Roman"/>
          <w:b w:val="0"/>
          <w:sz w:val="24"/>
        </w:rPr>
        <w:t>[13] 刘洋, 张健, 董建国. 基于LightGBM的短期负荷预测方法研究[J]. 电力系统保护与控制, 2020, 48(6): 117-124.</w:t>
      </w:r>
    </w:p>
    <w:p>
      <w:pPr>
        <w:spacing w:line="360" w:lineRule="auto" w:before="0" w:after="0"/>
      </w:pPr>
      <w:r>
        <w:rPr>
          <w:rFonts w:eastAsia="宋体"/>
          <w:rFonts w:ascii="Times New Roman" w:hAnsi="Times New Roman"/>
          <w:b w:val="0"/>
          <w:sz w:val="24"/>
        </w:rPr>
        <w:t>[14] 陈凯, 赵宇, 李明. 基于梯度提升决策树的零售销量预测研究[J]. 计算机工程与应用, 2022, 58(3): 267-274.</w:t>
      </w:r>
    </w:p>
    <w:p>
      <w:pPr>
        <w:spacing w:line="360" w:lineRule="auto" w:before="0" w:after="0"/>
      </w:pPr>
      <w:r>
        <w:rPr>
          <w:rFonts w:eastAsia="宋体"/>
          <w:rFonts w:ascii="Times New Roman" w:hAnsi="Times New Roman"/>
          <w:b w:val="0"/>
          <w:sz w:val="24"/>
        </w:rPr>
        <w:t>[15] 何清, 李宁, 罗文娟, 等. 大数据下的机器学习算法综述[J]. 模式识别与人工智能, 2014, 27(4): 327-336.</w:t>
      </w:r>
    </w:p>
    <w:p>
      <w:pPr>
        <w:spacing w:line="360" w:lineRule="auto" w:before="0" w:after="0"/>
        <w:ind w:firstLine="560"/>
      </w:pPr>
      <w:r>
        <w:rPr>
          <w:rFonts w:eastAsia="宋体"/>
          <w:rFonts w:ascii="Times New Roman" w:hAnsi="Times New Roman"/>
          <w:b w:val="0"/>
          <w:sz w:val="28"/>
        </w:rPr>
      </w:r>
    </w:p>
    <w:p>
      <w:pPr>
        <w:spacing w:line="360" w:lineRule="auto"/>
      </w:pPr>
      <w:r>
        <w:rPr>
          <w:rFonts w:eastAsia="宋体"/>
          <w:rFonts w:ascii="Times New Roman" w:hAnsi="Times New Roman"/>
          <w:b/>
          <w:sz w:val="24"/>
        </w:rPr>
        <w:t>作者简介：</w:t>
      </w:r>
      <w:r>
        <w:rPr>
          <w:rFonts w:eastAsia="宋体"/>
          <w:rFonts w:ascii="Times New Roman" w:hAnsi="Times New Roman"/>
          <w:b w:val="0"/>
          <w:sz w:val="24"/>
        </w:rPr>
        <w:t>余文杰，女，湖北省烟草公司兴山县烟草专卖局（营销部），卷烟客户服务部综合管理员，443000，15872515073，yuwenjie22@mails.ucas.ac.cn</w:t>
      </w:r>
    </w:p>
    <w:sectPr w:rsidR="00FC693F" w:rsidRPr="0006063C" w:rsidSect="00034616">
      <w:footerReference w:type="default" r:id="rId9"/>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