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黑体" w:hAnsi="黑体" w:eastAsia="黑体"/>
          <w:b/>
          <w:color w:val="000000"/>
          <w:sz w:val="30"/>
        </w:rPr>
        <w:t>数字化转型背景下烟草零售终端异常经营行为</w:t>
      </w:r>
    </w:p>
    <w:p>
      <w:pPr>
        <w:spacing w:after="120"/>
        <w:jc w:val="center"/>
      </w:pPr>
      <w:r>
        <w:rPr>
          <w:rFonts w:ascii="黑体" w:hAnsi="黑体" w:eastAsia="黑体"/>
          <w:b/>
          <w:color w:val="000000"/>
          <w:sz w:val="30"/>
        </w:rPr>
        <w:t>智能识别体系构建与应用研究</w:t>
      </w:r>
    </w:p>
    <w:p>
      <w:pPr>
        <w:spacing w:after="40"/>
        <w:jc w:val="center"/>
      </w:pPr>
      <w:r>
        <w:rPr>
          <w:rFonts w:ascii="楷体" w:hAnsi="楷体" w:eastAsia="楷体"/>
          <w:sz w:val="24"/>
        </w:rPr>
        <w:t>——以兴山县零售终端扫码数据为例</w:t>
      </w:r>
    </w:p>
    <w:p>
      <w:pPr>
        <w:spacing w:after="40"/>
        <w:jc w:val="center"/>
      </w:pPr>
      <w:r>
        <w:rPr>
          <w:rFonts w:ascii="仿宋" w:hAnsi="仿宋" w:eastAsia="仿宋"/>
          <w:sz w:val="24"/>
        </w:rPr>
        <w:t>谭羽婷</w:t>
      </w:r>
    </w:p>
    <w:p>
      <w:pPr>
        <w:spacing w:after="160"/>
        <w:jc w:val="center"/>
      </w:pPr>
      <w:r>
        <w:rPr>
          <w:rFonts w:ascii="宋体" w:hAnsi="宋体" w:eastAsia="宋体"/>
          <w:sz w:val="20"/>
        </w:rPr>
        <w:t>（湖北省宜昌市兴山县烟草专卖局（营销部），湖北 宜昌  443700）</w:t>
      </w:r>
    </w:p>
    <w:p>
      <w:pPr>
        <w:ind w:firstLine="420"/>
      </w:pPr>
      <w:r>
        <w:rPr>
          <w:rFonts w:ascii="黑体" w:hAnsi="黑体" w:eastAsia="黑体"/>
          <w:b/>
          <w:sz w:val="24"/>
        </w:rPr>
        <w:t>【摘  要】</w:t>
      </w:r>
      <w:r>
        <w:rPr>
          <w:rFonts w:ascii="宋体" w:hAnsi="宋体" w:eastAsia="宋体"/>
          <w:sz w:val="24"/>
        </w:rPr>
        <w:t>数字化转型背景下，烟草零售终端积累了海量运营数据，但异常经营行为的识别仍以人工经验判断为主，存在发现滞后、覆盖不全、标准不一等问题。本文以兴山县零售终端为研究对象，构建异常经营行为智能识别体系，实现从"被动响应"向"主动预警"的转变。基于多源数据融合理论，构建"三层次四维度"异常识别体系：数据采集层整合扫码、销售、支付、行为四类数据；异常识别层设计统计异常、模式异常、关联异常三类识别方法；预警响应层建立四级预警分级机制。从时间、空间、行为、关联四个维度构建异常识别指标体系，设计差异化预警阈值和响应措施。以兴山县95家零售终端2025年4-5月运营数据为实证对象，识别出异常终端24家（占比25.3%），其中统计异常7家、模式异常12家、关联异常5家，平均识别准确率88.3%，预警提前量8.7天。典型案例验证显示，某终端扫码量从21.3笔骤降至0.5笔（降幅97.5%），系统成功识别并触发红色预警。"三层次四维度"异常识别体系能够有效识别零售终端异常经营行为，四级预警机制为基层管理提供了差异化决策依据，具有在烟草商业系统中推广应用的实践价值。</w:t>
      </w:r>
    </w:p>
    <w:p>
      <w:pPr>
        <w:ind w:firstLine="420"/>
      </w:pPr>
      <w:r>
        <w:rPr>
          <w:rFonts w:ascii="黑体" w:hAnsi="黑体" w:eastAsia="黑体"/>
          <w:b/>
          <w:sz w:val="24"/>
        </w:rPr>
        <w:t>【关键词】</w:t>
      </w:r>
      <w:r>
        <w:rPr>
          <w:rFonts w:ascii="宋体" w:hAnsi="宋体" w:eastAsia="宋体"/>
          <w:sz w:val="24"/>
        </w:rPr>
        <w:t>数字化转型；异常经营行为；智能识别；零售终端；多源数据融合；预警机制</w:t>
      </w:r>
    </w:p>
    <w:p>
      <w:pPr>
        <w:pStyle w:val="Heading1"/>
      </w:pPr>
      <w:r>
        <w:rPr>
          <w:rFonts w:ascii="黑体" w:hAnsi="黑体" w:eastAsia="黑体"/>
          <w:color w:val="000000"/>
        </w:rPr>
        <w:t>一、引言</w:t>
      </w:r>
    </w:p>
    <w:p>
      <w:pPr>
        <w:pStyle w:val="Heading2"/>
      </w:pPr>
      <w:r>
        <w:rPr>
          <w:rFonts w:ascii="黑体" w:hAnsi="黑体" w:eastAsia="黑体"/>
          <w:color w:val="000000"/>
        </w:rPr>
        <w:t>（一）研究背景</w:t>
      </w:r>
    </w:p>
    <w:p>
      <w:pPr>
        <w:spacing w:line="360" w:lineRule="auto"/>
        <w:ind w:firstLine="420"/>
      </w:pPr>
      <w:r>
        <w:rPr>
          <w:rFonts w:ascii="宋体" w:hAnsi="宋体" w:eastAsia="宋体"/>
          <w:b w:val="0"/>
          <w:sz w:val="24"/>
        </w:rPr>
        <w:t>"十四五"以来，国家大力推进数字经济和实体经济深度融合，国务院印发《"十四五"数字经济发展规划》，明确提出"推动产业数字化转型，培育转型支撑服务生态"。2024年，国家数据局等十七部门联合印发《"数据要素×"三年行动计划（2024—2026年）》，将数据要素的价值释放提升至国家战略高度。在此背景下，烟草行业积极推进数字化转型战略，国家烟草专卖局印发《关于加快推进烟草行业数字化转型的指导意见》，明确要求"构建数据驱动、平台赋能、融合创新的数字化发展新格局"。</w:t>
      </w:r>
    </w:p>
    <w:p>
      <w:pPr>
        <w:spacing w:line="360" w:lineRule="auto"/>
        <w:ind w:firstLine="420"/>
      </w:pPr>
      <w:r>
        <w:rPr>
          <w:rFonts w:ascii="宋体" w:hAnsi="宋体" w:eastAsia="宋体"/>
          <w:b w:val="0"/>
          <w:sz w:val="24"/>
        </w:rPr>
        <w:t>湖北烟草积极响应行业数字化转型战略，在全省范围内部署"知音通"终端设备。截至2025年初，湖北烟草"知音通"终端已覆盖超过2830户零售终端，覆盖率达99.65%，使用率达82.41%，实现了零售终端扫码数据的实时采集与汇总。兴山县烟草专卖局（营销部）辖区内的108家零售终端已全面接入营销子系统，涵盖加盟终端、优质现代终端、标准现代终端和普通终端四种类型，每家终端每日产生扫码笔数、销售金额、在线时长等86个维度的运营数据，为市场监测与数据驱动决策提供了丰富的数据基础。</w:t>
      </w:r>
    </w:p>
    <w:p>
      <w:pPr>
        <w:spacing w:line="360" w:lineRule="auto"/>
        <w:ind w:firstLine="420"/>
      </w:pPr>
      <w:r>
        <w:rPr>
          <w:rFonts w:ascii="宋体" w:hAnsi="宋体" w:eastAsia="宋体"/>
          <w:b w:val="0"/>
          <w:sz w:val="24"/>
        </w:rPr>
        <w:t>然而，在实际工作中，异常经营行为的识别面临三个突出问题：一是发现滞后，传统人工排查方式下，异常终端的平均发现时间为异常发生后14.5天，部分剧烈波动要到月末统计汇总时才能发现，已错过最佳的市场干预时机；二是覆盖不全，人工排查覆盖面有限，难以实现全终端监控，存在监管盲区；三是标准不一，异常判断依赖个人经验，缺乏统一的识别标准，判断结果主观性强。这些问题制约了市场监管的精准性和有效性，亟需构建智能化的异常识别体系。</w:t>
      </w:r>
    </w:p>
    <w:p>
      <w:pPr>
        <w:pStyle w:val="Heading2"/>
      </w:pPr>
      <w:r>
        <w:rPr>
          <w:rFonts w:ascii="黑体" w:hAnsi="黑体" w:eastAsia="黑体"/>
          <w:color w:val="000000"/>
        </w:rPr>
        <w:t>（二）研究意义</w:t>
      </w:r>
    </w:p>
    <w:p>
      <w:pPr>
        <w:spacing w:line="360" w:lineRule="auto"/>
        <w:ind w:firstLine="420"/>
      </w:pPr>
      <w:r>
        <w:rPr>
          <w:rFonts w:ascii="宋体" w:hAnsi="宋体" w:eastAsia="宋体"/>
          <w:b w:val="0"/>
          <w:sz w:val="24"/>
        </w:rPr>
        <w:t>本研究的核心意义在于探索一套可复制、可推广的"数据驱动智能识别"方法论。在理论层面，将多源数据融合理论引入烟草零售终端异常识别领域，提出"三层次四维度"异常识别体系框架，丰富了智能监管理论在烟草行业的应用研究，为行业数字化转型提供了理论支撑。</w:t>
      </w:r>
    </w:p>
    <w:p>
      <w:pPr>
        <w:spacing w:line="360" w:lineRule="auto"/>
        <w:ind w:firstLine="420"/>
      </w:pPr>
      <w:r>
        <w:rPr>
          <w:rFonts w:ascii="宋体" w:hAnsi="宋体" w:eastAsia="宋体"/>
          <w:b w:val="0"/>
          <w:sz w:val="24"/>
        </w:rPr>
        <w:t>在实践层面，研究基于兴山县真实运营数据，构建的异常识别体系可直接嵌入现有营销子系统，为基层客户经理提供异常终端的自动识别和预警推送，改变传统"人工排查+经验判断"的监管模式，将异常发现从"事后补救"提前至"事前预警"，有效提升市场监管的主动性和精准性，降低人工监管成本，为精准化、差异化管理提供依据。</w:t>
      </w:r>
    </w:p>
    <w:p>
      <w:pPr>
        <w:pStyle w:val="Heading2"/>
      </w:pPr>
      <w:r>
        <w:rPr>
          <w:rFonts w:ascii="黑体" w:hAnsi="黑体" w:eastAsia="黑体"/>
          <w:color w:val="000000"/>
        </w:rPr>
        <w:t>（三）研究思路与方法</w:t>
      </w:r>
    </w:p>
    <w:p>
      <w:pPr>
        <w:spacing w:line="360" w:lineRule="auto"/>
        <w:ind w:firstLine="420"/>
      </w:pPr>
      <w:r>
        <w:rPr>
          <w:rFonts w:ascii="宋体" w:hAnsi="宋体" w:eastAsia="宋体"/>
          <w:b w:val="0"/>
          <w:sz w:val="24"/>
        </w:rPr>
        <w:t>本文采用"理论框架构建→现状问题诊断→识别体系设计→实证验证分析→应用路径规划"的研究逻辑。研究方法上，综合运用文献研究法、案例分析法、比较分析法、实证分析法等定性定量相结合的研究方法，注重理论框架与实践场景的深度融合，聚焦于管理体系、机制设计、流程标准的构建与优化。</w:t>
      </w:r>
    </w:p>
    <w:p>
      <w:pPr>
        <w:pStyle w:val="Heading1"/>
      </w:pPr>
      <w:r>
        <w:rPr>
          <w:rFonts w:ascii="黑体" w:hAnsi="黑体" w:eastAsia="黑体"/>
          <w:color w:val="000000"/>
        </w:rPr>
        <w:t>二、理论基础与文献综述</w:t>
      </w:r>
    </w:p>
    <w:p>
      <w:pPr>
        <w:pStyle w:val="Heading2"/>
      </w:pPr>
      <w:r>
        <w:rPr>
          <w:rFonts w:ascii="黑体" w:hAnsi="黑体" w:eastAsia="黑体"/>
          <w:color w:val="000000"/>
        </w:rPr>
        <w:t>（一）异常检测理论基础</w:t>
      </w:r>
    </w:p>
    <w:p>
      <w:pPr>
        <w:spacing w:line="360" w:lineRule="auto"/>
        <w:ind w:firstLine="420"/>
      </w:pPr>
      <w:r>
        <w:rPr>
          <w:rFonts w:ascii="宋体" w:hAnsi="宋体" w:eastAsia="宋体"/>
          <w:b w:val="0"/>
          <w:sz w:val="24"/>
        </w:rPr>
        <w:t>异常检测（Anomaly Detection）是指从数据中识别出与预期模式或行为显著不同的数据点或模式的过程。异常（Anomaly）通常指那些偏离正常范围、具有稀有性或可疑性的数据对象。异常检测方法主要包括三类：统计学方法基于数据分布特征识别离群点，如Z-score、IQR等方法；机器学习方法通过训练模型学习正常行为模式，识别偏离该模式的样本，包括监督学习、无监督学习等；深度学习方法利用神经网络学习数据的复杂表示，如自编码器、生成对抗网络等。异常检测在金融反欺诈、工业设备故障预测、网络入侵检测、零售异常交易识别等领域有广泛应用。</w:t>
      </w:r>
    </w:p>
    <w:p>
      <w:pPr>
        <w:pStyle w:val="Heading2"/>
      </w:pPr>
      <w:r>
        <w:rPr>
          <w:rFonts w:ascii="黑体" w:hAnsi="黑体" w:eastAsia="黑体"/>
          <w:color w:val="000000"/>
        </w:rPr>
        <w:t>（二）多源数据融合理论</w:t>
      </w:r>
    </w:p>
    <w:p>
      <w:pPr>
        <w:spacing w:line="360" w:lineRule="auto"/>
        <w:ind w:firstLine="420"/>
      </w:pPr>
      <w:r>
        <w:rPr>
          <w:rFonts w:ascii="宋体" w:hAnsi="宋体" w:eastAsia="宋体"/>
          <w:b w:val="0"/>
          <w:sz w:val="24"/>
        </w:rPr>
        <w:t>多源数据融合是指将来自不同数据源、不同格式、不同时间的数据进行整合，以获得比单一数据源更准确、更全面的信息。数据融合分为三个层次：数据级融合在原始数据层面进行整合，保留最完整的信息但计算复杂度高；特征级融合在特征提取后进行融合，平衡了信息保留和计算效率；决策级融合在各数据源独立分析后对结果进行融合，灵活性高但可能丢失信息。在烟草行业，数据融合可应用于营销数据与专卖数据融合、业务数据与地理数据融合、历史数据与实时数据融合等场景。</w:t>
      </w:r>
    </w:p>
    <w:p>
      <w:pPr>
        <w:pStyle w:val="Heading2"/>
      </w:pPr>
      <w:r>
        <w:rPr>
          <w:rFonts w:ascii="黑体" w:hAnsi="黑体" w:eastAsia="黑体"/>
          <w:color w:val="000000"/>
        </w:rPr>
        <w:t>（三）智能监管相关研究综述</w:t>
      </w:r>
    </w:p>
    <w:p>
      <w:pPr>
        <w:spacing w:line="360" w:lineRule="auto"/>
        <w:ind w:firstLine="420"/>
      </w:pPr>
      <w:r>
        <w:rPr>
          <w:rFonts w:ascii="宋体" w:hAnsi="宋体" w:eastAsia="宋体"/>
          <w:b w:val="0"/>
          <w:sz w:val="24"/>
        </w:rPr>
        <w:t>国内外学者在异常检测和智能监管领域开展了丰富研究。Chandola等（2020）系统综述了异常检测方法，提出了基于距离、基于密度、基于聚类等多种检测框架。Aggarwal（2017）在《Outlier Analysis》中深入分析了离群点检测的理论基础和应用场景。国内学者张涛等（2023）研究了多源数据融合的异常检测方法，提出了融合框架和优化策略。</w:t>
      </w:r>
    </w:p>
    <w:p>
      <w:pPr>
        <w:spacing w:line="360" w:lineRule="auto"/>
        <w:ind w:firstLine="420"/>
      </w:pPr>
      <w:r>
        <w:rPr>
          <w:rFonts w:ascii="宋体" w:hAnsi="宋体" w:eastAsia="宋体"/>
          <w:b w:val="0"/>
          <w:sz w:val="24"/>
        </w:rPr>
        <w:t>在烟草行业，刘源龙等（2025）构建了违法大户风险评估监管模型，实现了对违法经营行为的智能识别。贾姗（2025）基于多源数据构建了新品准入筛选漏斗模型，实现了精准筛选。江顺之等（2025）利用深度卷积神经网络研究企业内部威胁检测方法，为智能监管提供了技术支撑。这些研究为本文提供了重要的理论基础和方法借鉴，但将多源数据融合、多层次异常识别、分级预警机制进行系统性整合的研究尚属空白，难以直接指导基层营销部门的实践应用。</w:t>
      </w:r>
    </w:p>
    <w:p>
      <w:pPr>
        <w:pStyle w:val="Heading1"/>
      </w:pPr>
      <w:r>
        <w:rPr>
          <w:rFonts w:ascii="黑体" w:hAnsi="黑体" w:eastAsia="黑体"/>
          <w:color w:val="000000"/>
        </w:rPr>
        <w:t>三、现状分析与问题诊断</w:t>
      </w:r>
    </w:p>
    <w:p>
      <w:pPr>
        <w:pStyle w:val="Heading2"/>
      </w:pPr>
      <w:r>
        <w:rPr>
          <w:rFonts w:ascii="黑体" w:hAnsi="黑体" w:eastAsia="黑体"/>
          <w:color w:val="000000"/>
        </w:rPr>
        <w:t>（一）零售终端数据采集现状</w:t>
      </w:r>
    </w:p>
    <w:p>
      <w:pPr>
        <w:spacing w:line="360" w:lineRule="auto"/>
        <w:ind w:firstLine="420"/>
      </w:pPr>
      <w:r>
        <w:rPr>
          <w:rFonts w:ascii="宋体" w:hAnsi="宋体" w:eastAsia="宋体"/>
          <w:b w:val="0"/>
          <w:sz w:val="24"/>
        </w:rPr>
        <w:t>兴山县烟草专卖局（营销部）已建立较为完善的数据采集体系。"知音通"终端设备实现扫码数据的实时采集，营销子系统每日汇总销售数据，聚合支付系统记录支付行为数据，在线监测系统跟踪终端在线状态。截至2025年5月，全县108家零售终端已全面接入，数据采集覆盖率达100%。</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0"/>
              </w:rPr>
              <w:t>数据类型</w:t>
            </w:r>
          </w:p>
        </w:tc>
        <w:tc>
          <w:tcPr>
            <w:tcW w:type="dxa" w:w="1729"/>
          </w:tcPr>
          <w:p>
            <w:pPr>
              <w:jc w:val="center"/>
            </w:pPr>
            <w:r>
              <w:rPr>
                <w:rFonts w:ascii="宋体" w:hAnsi="宋体" w:eastAsia="宋体"/>
                <w:b/>
                <w:sz w:val="20"/>
              </w:rPr>
              <w:t>采集方式</w:t>
            </w:r>
          </w:p>
        </w:tc>
        <w:tc>
          <w:tcPr>
            <w:tcW w:type="dxa" w:w="1729"/>
          </w:tcPr>
          <w:p>
            <w:pPr>
              <w:jc w:val="center"/>
            </w:pPr>
            <w:r>
              <w:rPr>
                <w:rFonts w:ascii="宋体" w:hAnsi="宋体" w:eastAsia="宋体"/>
                <w:b/>
                <w:sz w:val="20"/>
              </w:rPr>
              <w:t>采集频率</w:t>
            </w:r>
          </w:p>
        </w:tc>
        <w:tc>
          <w:tcPr>
            <w:tcW w:type="dxa" w:w="1729"/>
          </w:tcPr>
          <w:p>
            <w:pPr>
              <w:jc w:val="center"/>
            </w:pPr>
            <w:r>
              <w:rPr>
                <w:rFonts w:ascii="宋体" w:hAnsi="宋体" w:eastAsia="宋体"/>
                <w:b/>
                <w:sz w:val="20"/>
              </w:rPr>
              <w:t>数据字段数</w:t>
            </w:r>
          </w:p>
        </w:tc>
        <w:tc>
          <w:tcPr>
            <w:tcW w:type="dxa" w:w="1729"/>
          </w:tcPr>
          <w:p>
            <w:pPr>
              <w:jc w:val="center"/>
            </w:pPr>
            <w:r>
              <w:rPr>
                <w:rFonts w:ascii="宋体" w:hAnsi="宋体" w:eastAsia="宋体"/>
                <w:b/>
                <w:sz w:val="20"/>
              </w:rPr>
              <w:t>覆盖终端数</w:t>
            </w:r>
          </w:p>
        </w:tc>
      </w:tr>
      <w:tr>
        <w:tc>
          <w:tcPr>
            <w:tcW w:type="dxa" w:w="1729"/>
          </w:tcPr>
          <w:p>
            <w:pPr>
              <w:jc w:val="center"/>
            </w:pPr>
            <w:r>
              <w:rPr>
                <w:rFonts w:ascii="宋体" w:hAnsi="宋体" w:eastAsia="宋体"/>
                <w:sz w:val="20"/>
              </w:rPr>
              <w:t>扫码数据</w:t>
            </w:r>
          </w:p>
        </w:tc>
        <w:tc>
          <w:tcPr>
            <w:tcW w:type="dxa" w:w="1729"/>
          </w:tcPr>
          <w:p>
            <w:pPr>
              <w:jc w:val="center"/>
            </w:pPr>
            <w:r>
              <w:rPr>
                <w:rFonts w:ascii="宋体" w:hAnsi="宋体" w:eastAsia="宋体"/>
                <w:sz w:val="20"/>
              </w:rPr>
              <w:t>知音通终端</w:t>
            </w:r>
          </w:p>
        </w:tc>
        <w:tc>
          <w:tcPr>
            <w:tcW w:type="dxa" w:w="1729"/>
          </w:tcPr>
          <w:p>
            <w:pPr>
              <w:jc w:val="center"/>
            </w:pPr>
            <w:r>
              <w:rPr>
                <w:rFonts w:ascii="宋体" w:hAnsi="宋体" w:eastAsia="宋体"/>
                <w:sz w:val="20"/>
              </w:rPr>
              <w:t>实时</w:t>
            </w:r>
          </w:p>
        </w:tc>
        <w:tc>
          <w:tcPr>
            <w:tcW w:type="dxa" w:w="1729"/>
          </w:tcPr>
          <w:p>
            <w:pPr>
              <w:jc w:val="center"/>
            </w:pPr>
            <w:r>
              <w:rPr>
                <w:rFonts w:ascii="宋体" w:hAnsi="宋体" w:eastAsia="宋体"/>
                <w:sz w:val="20"/>
              </w:rPr>
              <w:t>23个</w:t>
            </w:r>
          </w:p>
        </w:tc>
        <w:tc>
          <w:tcPr>
            <w:tcW w:type="dxa" w:w="1729"/>
          </w:tcPr>
          <w:p>
            <w:pPr>
              <w:jc w:val="center"/>
            </w:pPr>
            <w:r>
              <w:rPr>
                <w:rFonts w:ascii="宋体" w:hAnsi="宋体" w:eastAsia="宋体"/>
                <w:sz w:val="20"/>
              </w:rPr>
              <w:t>108家</w:t>
            </w:r>
          </w:p>
        </w:tc>
      </w:tr>
      <w:tr>
        <w:tc>
          <w:tcPr>
            <w:tcW w:type="dxa" w:w="1729"/>
          </w:tcPr>
          <w:p>
            <w:pPr>
              <w:jc w:val="center"/>
            </w:pPr>
            <w:r>
              <w:rPr>
                <w:rFonts w:ascii="宋体" w:hAnsi="宋体" w:eastAsia="宋体"/>
                <w:sz w:val="20"/>
              </w:rPr>
              <w:t>销售数据</w:t>
            </w:r>
          </w:p>
        </w:tc>
        <w:tc>
          <w:tcPr>
            <w:tcW w:type="dxa" w:w="1729"/>
          </w:tcPr>
          <w:p>
            <w:pPr>
              <w:jc w:val="center"/>
            </w:pPr>
            <w:r>
              <w:rPr>
                <w:rFonts w:ascii="宋体" w:hAnsi="宋体" w:eastAsia="宋体"/>
                <w:sz w:val="20"/>
              </w:rPr>
              <w:t>营销子系统</w:t>
            </w:r>
          </w:p>
        </w:tc>
        <w:tc>
          <w:tcPr>
            <w:tcW w:type="dxa" w:w="1729"/>
          </w:tcPr>
          <w:p>
            <w:pPr>
              <w:jc w:val="center"/>
            </w:pPr>
            <w:r>
              <w:rPr>
                <w:rFonts w:ascii="宋体" w:hAnsi="宋体" w:eastAsia="宋体"/>
                <w:sz w:val="20"/>
              </w:rPr>
              <w:t>每日汇总</w:t>
            </w:r>
          </w:p>
        </w:tc>
        <w:tc>
          <w:tcPr>
            <w:tcW w:type="dxa" w:w="1729"/>
          </w:tcPr>
          <w:p>
            <w:pPr>
              <w:jc w:val="center"/>
            </w:pPr>
            <w:r>
              <w:rPr>
                <w:rFonts w:ascii="宋体" w:hAnsi="宋体" w:eastAsia="宋体"/>
                <w:sz w:val="20"/>
              </w:rPr>
              <w:t>35个</w:t>
            </w:r>
          </w:p>
        </w:tc>
        <w:tc>
          <w:tcPr>
            <w:tcW w:type="dxa" w:w="1729"/>
          </w:tcPr>
          <w:p>
            <w:pPr>
              <w:jc w:val="center"/>
            </w:pPr>
            <w:r>
              <w:rPr>
                <w:rFonts w:ascii="宋体" w:hAnsi="宋体" w:eastAsia="宋体"/>
                <w:sz w:val="20"/>
              </w:rPr>
              <w:t>108家</w:t>
            </w:r>
          </w:p>
        </w:tc>
      </w:tr>
      <w:tr>
        <w:tc>
          <w:tcPr>
            <w:tcW w:type="dxa" w:w="1729"/>
          </w:tcPr>
          <w:p>
            <w:pPr>
              <w:jc w:val="center"/>
            </w:pPr>
            <w:r>
              <w:rPr>
                <w:rFonts w:ascii="宋体" w:hAnsi="宋体" w:eastAsia="宋体"/>
                <w:sz w:val="20"/>
              </w:rPr>
              <w:t>支付数据</w:t>
            </w:r>
          </w:p>
        </w:tc>
        <w:tc>
          <w:tcPr>
            <w:tcW w:type="dxa" w:w="1729"/>
          </w:tcPr>
          <w:p>
            <w:pPr>
              <w:jc w:val="center"/>
            </w:pPr>
            <w:r>
              <w:rPr>
                <w:rFonts w:ascii="宋体" w:hAnsi="宋体" w:eastAsia="宋体"/>
                <w:sz w:val="20"/>
              </w:rPr>
              <w:t>聚合支付系统</w:t>
            </w:r>
          </w:p>
        </w:tc>
        <w:tc>
          <w:tcPr>
            <w:tcW w:type="dxa" w:w="1729"/>
          </w:tcPr>
          <w:p>
            <w:pPr>
              <w:jc w:val="center"/>
            </w:pPr>
            <w:r>
              <w:rPr>
                <w:rFonts w:ascii="宋体" w:hAnsi="宋体" w:eastAsia="宋体"/>
                <w:sz w:val="20"/>
              </w:rPr>
              <w:t>实时</w:t>
            </w:r>
          </w:p>
        </w:tc>
        <w:tc>
          <w:tcPr>
            <w:tcW w:type="dxa" w:w="1729"/>
          </w:tcPr>
          <w:p>
            <w:pPr>
              <w:jc w:val="center"/>
            </w:pPr>
            <w:r>
              <w:rPr>
                <w:rFonts w:ascii="宋体" w:hAnsi="宋体" w:eastAsia="宋体"/>
                <w:sz w:val="20"/>
              </w:rPr>
              <w:t>12个</w:t>
            </w:r>
          </w:p>
        </w:tc>
        <w:tc>
          <w:tcPr>
            <w:tcW w:type="dxa" w:w="1729"/>
          </w:tcPr>
          <w:p>
            <w:pPr>
              <w:jc w:val="center"/>
            </w:pPr>
            <w:r>
              <w:rPr>
                <w:rFonts w:ascii="宋体" w:hAnsi="宋体" w:eastAsia="宋体"/>
                <w:sz w:val="20"/>
              </w:rPr>
              <w:t>108家</w:t>
            </w:r>
          </w:p>
        </w:tc>
      </w:tr>
      <w:tr>
        <w:tc>
          <w:tcPr>
            <w:tcW w:type="dxa" w:w="1729"/>
          </w:tcPr>
          <w:p>
            <w:pPr>
              <w:jc w:val="center"/>
            </w:pPr>
            <w:r>
              <w:rPr>
                <w:rFonts w:ascii="宋体" w:hAnsi="宋体" w:eastAsia="宋体"/>
                <w:sz w:val="20"/>
              </w:rPr>
              <w:t>行为数据</w:t>
            </w:r>
          </w:p>
        </w:tc>
        <w:tc>
          <w:tcPr>
            <w:tcW w:type="dxa" w:w="1729"/>
          </w:tcPr>
          <w:p>
            <w:pPr>
              <w:jc w:val="center"/>
            </w:pPr>
            <w:r>
              <w:rPr>
                <w:rFonts w:ascii="宋体" w:hAnsi="宋体" w:eastAsia="宋体"/>
                <w:sz w:val="20"/>
              </w:rPr>
              <w:t>在线监测系统</w:t>
            </w:r>
          </w:p>
        </w:tc>
        <w:tc>
          <w:tcPr>
            <w:tcW w:type="dxa" w:w="1729"/>
          </w:tcPr>
          <w:p>
            <w:pPr>
              <w:jc w:val="center"/>
            </w:pPr>
            <w:r>
              <w:rPr>
                <w:rFonts w:ascii="宋体" w:hAnsi="宋体" w:eastAsia="宋体"/>
                <w:sz w:val="20"/>
              </w:rPr>
              <w:t>每日汇总</w:t>
            </w:r>
          </w:p>
        </w:tc>
        <w:tc>
          <w:tcPr>
            <w:tcW w:type="dxa" w:w="1729"/>
          </w:tcPr>
          <w:p>
            <w:pPr>
              <w:jc w:val="center"/>
            </w:pPr>
            <w:r>
              <w:rPr>
                <w:rFonts w:ascii="宋体" w:hAnsi="宋体" w:eastAsia="宋体"/>
                <w:sz w:val="20"/>
              </w:rPr>
              <w:t>16个</w:t>
            </w:r>
          </w:p>
        </w:tc>
        <w:tc>
          <w:tcPr>
            <w:tcW w:type="dxa" w:w="1729"/>
          </w:tcPr>
          <w:p>
            <w:pPr>
              <w:jc w:val="center"/>
            </w:pPr>
            <w:r>
              <w:rPr>
                <w:rFonts w:ascii="宋体" w:hAnsi="宋体" w:eastAsia="宋体"/>
                <w:sz w:val="20"/>
              </w:rPr>
              <w:t>108家</w:t>
            </w:r>
          </w:p>
        </w:tc>
      </w:tr>
      <w:tr>
        <w:tc>
          <w:tcPr>
            <w:tcW w:type="dxa" w:w="1729"/>
          </w:tcPr>
          <w:p>
            <w:pPr>
              <w:jc w:val="center"/>
            </w:pPr>
            <w:r>
              <w:rPr>
                <w:rFonts w:ascii="宋体" w:hAnsi="宋体" w:eastAsia="宋体"/>
                <w:sz w:val="20"/>
              </w:rPr>
              <w:t>合计</w:t>
            </w:r>
          </w:p>
        </w:tc>
        <w:tc>
          <w:tcPr>
            <w:tcW w:type="dxa" w:w="1729"/>
          </w:tcPr>
          <w:p>
            <w:pPr>
              <w:jc w:val="center"/>
            </w:pPr>
            <w:r>
              <w:rPr>
                <w:rFonts w:ascii="宋体" w:hAnsi="宋体" w:eastAsia="宋体"/>
                <w:sz w:val="20"/>
              </w:rPr>
              <w:t>—</w:t>
            </w:r>
          </w:p>
        </w:tc>
        <w:tc>
          <w:tcPr>
            <w:tcW w:type="dxa" w:w="1729"/>
          </w:tcPr>
          <w:p>
            <w:pPr>
              <w:jc w:val="center"/>
            </w:pPr>
            <w:r>
              <w:rPr>
                <w:rFonts w:ascii="宋体" w:hAnsi="宋体" w:eastAsia="宋体"/>
                <w:sz w:val="20"/>
              </w:rPr>
              <w:t>—</w:t>
            </w:r>
          </w:p>
        </w:tc>
        <w:tc>
          <w:tcPr>
            <w:tcW w:type="dxa" w:w="1729"/>
          </w:tcPr>
          <w:p>
            <w:pPr>
              <w:jc w:val="center"/>
            </w:pPr>
            <w:r>
              <w:rPr>
                <w:rFonts w:ascii="宋体" w:hAnsi="宋体" w:eastAsia="宋体"/>
                <w:sz w:val="20"/>
              </w:rPr>
              <w:t>86个</w:t>
            </w:r>
          </w:p>
        </w:tc>
        <w:tc>
          <w:tcPr>
            <w:tcW w:type="dxa" w:w="1729"/>
          </w:tcPr>
          <w:p>
            <w:pPr>
              <w:jc w:val="center"/>
            </w:pPr>
            <w:r>
              <w:rPr>
                <w:rFonts w:ascii="宋体" w:hAnsi="宋体" w:eastAsia="宋体"/>
                <w:sz w:val="20"/>
              </w:rPr>
              <w:t>108家</w:t>
            </w:r>
          </w:p>
        </w:tc>
      </w:tr>
    </w:tbl>
    <w:p>
      <w:pPr>
        <w:spacing w:line="360" w:lineRule="auto"/>
      </w:pPr>
      <w:r>
        <w:rPr>
          <w:rFonts w:ascii="宋体" w:hAnsi="宋体" w:eastAsia="宋体"/>
          <w:b/>
          <w:sz w:val="24"/>
        </w:rPr>
        <w:t>表1  兴山县零售终端数据采集情况</w:t>
      </w:r>
    </w:p>
    <w:p>
      <w:pPr>
        <w:pStyle w:val="Heading2"/>
      </w:pPr>
      <w:r>
        <w:rPr>
          <w:rFonts w:ascii="黑体" w:hAnsi="黑体" w:eastAsia="黑体"/>
          <w:color w:val="000000"/>
        </w:rPr>
        <w:t>（二）异常经营行为类型分析</w:t>
      </w:r>
    </w:p>
    <w:p>
      <w:pPr>
        <w:spacing w:line="360" w:lineRule="auto"/>
        <w:ind w:firstLine="420"/>
      </w:pPr>
      <w:r>
        <w:rPr>
          <w:rFonts w:ascii="宋体" w:hAnsi="宋体" w:eastAsia="宋体"/>
          <w:b w:val="0"/>
          <w:sz w:val="24"/>
        </w:rPr>
        <w:t>通过对兴山县零售终端运营数据的分析，识别出四类典型异常经营行为：扫码量异常表现为扫码量骤增或骤减，可能存在虚假扫码、经营异常等风险；销售异常表现为销售额与扫码量背离，可能存在数据造假、串货嫌疑；行为异常表现为在线时长、销售天数异常，可能存在经营困难、终端闲置；关联异常表现为多指标协同异常，提示存在系统性风险。</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0"/>
              </w:rPr>
              <w:t>异常类型</w:t>
            </w:r>
          </w:p>
        </w:tc>
        <w:tc>
          <w:tcPr>
            <w:tcW w:type="dxa" w:w="2161"/>
          </w:tcPr>
          <w:p>
            <w:pPr>
              <w:jc w:val="center"/>
            </w:pPr>
            <w:r>
              <w:rPr>
                <w:rFonts w:ascii="宋体" w:hAnsi="宋体" w:eastAsia="宋体"/>
                <w:b/>
                <w:sz w:val="20"/>
              </w:rPr>
              <w:t>具体表现</w:t>
            </w:r>
          </w:p>
        </w:tc>
        <w:tc>
          <w:tcPr>
            <w:tcW w:type="dxa" w:w="2161"/>
          </w:tcPr>
          <w:p>
            <w:pPr>
              <w:jc w:val="center"/>
            </w:pPr>
            <w:r>
              <w:rPr>
                <w:rFonts w:ascii="宋体" w:hAnsi="宋体" w:eastAsia="宋体"/>
                <w:b/>
                <w:sz w:val="20"/>
              </w:rPr>
              <w:t>潜在风险</w:t>
            </w:r>
          </w:p>
        </w:tc>
        <w:tc>
          <w:tcPr>
            <w:tcW w:type="dxa" w:w="2161"/>
          </w:tcPr>
          <w:p>
            <w:pPr>
              <w:jc w:val="center"/>
            </w:pPr>
            <w:r>
              <w:rPr>
                <w:rFonts w:ascii="宋体" w:hAnsi="宋体" w:eastAsia="宋体"/>
                <w:b/>
                <w:sz w:val="20"/>
              </w:rPr>
              <w:t>典型案例</w:t>
            </w:r>
          </w:p>
        </w:tc>
      </w:tr>
      <w:tr>
        <w:tc>
          <w:tcPr>
            <w:tcW w:type="dxa" w:w="2161"/>
          </w:tcPr>
          <w:p>
            <w:pPr>
              <w:jc w:val="center"/>
            </w:pPr>
            <w:r>
              <w:rPr>
                <w:rFonts w:ascii="宋体" w:hAnsi="宋体" w:eastAsia="宋体"/>
                <w:sz w:val="20"/>
              </w:rPr>
              <w:t>扫码量异常</w:t>
            </w:r>
          </w:p>
        </w:tc>
        <w:tc>
          <w:tcPr>
            <w:tcW w:type="dxa" w:w="2161"/>
          </w:tcPr>
          <w:p>
            <w:pPr>
              <w:jc w:val="center"/>
            </w:pPr>
            <w:r>
              <w:rPr>
                <w:rFonts w:ascii="宋体" w:hAnsi="宋体" w:eastAsia="宋体"/>
                <w:sz w:val="20"/>
              </w:rPr>
              <w:t>扫码量骤增或骤减</w:t>
            </w:r>
          </w:p>
        </w:tc>
        <w:tc>
          <w:tcPr>
            <w:tcW w:type="dxa" w:w="2161"/>
          </w:tcPr>
          <w:p>
            <w:pPr>
              <w:jc w:val="center"/>
            </w:pPr>
            <w:r>
              <w:rPr>
                <w:rFonts w:ascii="宋体" w:hAnsi="宋体" w:eastAsia="宋体"/>
                <w:sz w:val="20"/>
              </w:rPr>
              <w:t>虚假扫码、经营异常</w:t>
            </w:r>
          </w:p>
        </w:tc>
        <w:tc>
          <w:tcPr>
            <w:tcW w:type="dxa" w:w="2161"/>
          </w:tcPr>
          <w:p>
            <w:pPr>
              <w:jc w:val="center"/>
            </w:pPr>
            <w:r>
              <w:rPr>
                <w:rFonts w:ascii="宋体" w:hAnsi="宋体" w:eastAsia="宋体"/>
                <w:sz w:val="20"/>
              </w:rPr>
              <w:t>某终端扫码从21.3笔降至0.5笔</w:t>
            </w:r>
          </w:p>
        </w:tc>
      </w:tr>
      <w:tr>
        <w:tc>
          <w:tcPr>
            <w:tcW w:type="dxa" w:w="2161"/>
          </w:tcPr>
          <w:p>
            <w:pPr>
              <w:jc w:val="center"/>
            </w:pPr>
            <w:r>
              <w:rPr>
                <w:rFonts w:ascii="宋体" w:hAnsi="宋体" w:eastAsia="宋体"/>
                <w:sz w:val="20"/>
              </w:rPr>
              <w:t>销售异常</w:t>
            </w:r>
          </w:p>
        </w:tc>
        <w:tc>
          <w:tcPr>
            <w:tcW w:type="dxa" w:w="2161"/>
          </w:tcPr>
          <w:p>
            <w:pPr>
              <w:jc w:val="center"/>
            </w:pPr>
            <w:r>
              <w:rPr>
                <w:rFonts w:ascii="宋体" w:hAnsi="宋体" w:eastAsia="宋体"/>
                <w:sz w:val="20"/>
              </w:rPr>
              <w:t>销售额与扫码量背离</w:t>
            </w:r>
          </w:p>
        </w:tc>
        <w:tc>
          <w:tcPr>
            <w:tcW w:type="dxa" w:w="2161"/>
          </w:tcPr>
          <w:p>
            <w:pPr>
              <w:jc w:val="center"/>
            </w:pPr>
            <w:r>
              <w:rPr>
                <w:rFonts w:ascii="宋体" w:hAnsi="宋体" w:eastAsia="宋体"/>
                <w:sz w:val="20"/>
              </w:rPr>
              <w:t>数据造假、串货嫌疑</w:t>
            </w:r>
          </w:p>
        </w:tc>
        <w:tc>
          <w:tcPr>
            <w:tcW w:type="dxa" w:w="2161"/>
          </w:tcPr>
          <w:p>
            <w:pPr>
              <w:jc w:val="center"/>
            </w:pPr>
            <w:r>
              <w:rPr>
                <w:rFonts w:ascii="宋体" w:hAnsi="宋体" w:eastAsia="宋体"/>
                <w:sz w:val="20"/>
              </w:rPr>
              <w:t>扫码增长但销售下降</w:t>
            </w:r>
          </w:p>
        </w:tc>
      </w:tr>
      <w:tr>
        <w:tc>
          <w:tcPr>
            <w:tcW w:type="dxa" w:w="2161"/>
          </w:tcPr>
          <w:p>
            <w:pPr>
              <w:jc w:val="center"/>
            </w:pPr>
            <w:r>
              <w:rPr>
                <w:rFonts w:ascii="宋体" w:hAnsi="宋体" w:eastAsia="宋体"/>
                <w:sz w:val="20"/>
              </w:rPr>
              <w:t>行为异常</w:t>
            </w:r>
          </w:p>
        </w:tc>
        <w:tc>
          <w:tcPr>
            <w:tcW w:type="dxa" w:w="2161"/>
          </w:tcPr>
          <w:p>
            <w:pPr>
              <w:jc w:val="center"/>
            </w:pPr>
            <w:r>
              <w:rPr>
                <w:rFonts w:ascii="宋体" w:hAnsi="宋体" w:eastAsia="宋体"/>
                <w:sz w:val="20"/>
              </w:rPr>
              <w:t>在线时长、销售天数异常</w:t>
            </w:r>
          </w:p>
        </w:tc>
        <w:tc>
          <w:tcPr>
            <w:tcW w:type="dxa" w:w="2161"/>
          </w:tcPr>
          <w:p>
            <w:pPr>
              <w:jc w:val="center"/>
            </w:pPr>
            <w:r>
              <w:rPr>
                <w:rFonts w:ascii="宋体" w:hAnsi="宋体" w:eastAsia="宋体"/>
                <w:sz w:val="20"/>
              </w:rPr>
              <w:t>经营困难、终端闲置</w:t>
            </w:r>
          </w:p>
        </w:tc>
        <w:tc>
          <w:tcPr>
            <w:tcW w:type="dxa" w:w="2161"/>
          </w:tcPr>
          <w:p>
            <w:pPr>
              <w:jc w:val="center"/>
            </w:pPr>
            <w:r>
              <w:rPr>
                <w:rFonts w:ascii="宋体" w:hAnsi="宋体" w:eastAsia="宋体"/>
                <w:sz w:val="20"/>
              </w:rPr>
              <w:t>连续多日无销售记录</w:t>
            </w:r>
          </w:p>
        </w:tc>
      </w:tr>
      <w:tr>
        <w:tc>
          <w:tcPr>
            <w:tcW w:type="dxa" w:w="2161"/>
          </w:tcPr>
          <w:p>
            <w:pPr>
              <w:jc w:val="center"/>
            </w:pPr>
            <w:r>
              <w:rPr>
                <w:rFonts w:ascii="宋体" w:hAnsi="宋体" w:eastAsia="宋体"/>
                <w:sz w:val="20"/>
              </w:rPr>
              <w:t>关联异常</w:t>
            </w:r>
          </w:p>
        </w:tc>
        <w:tc>
          <w:tcPr>
            <w:tcW w:type="dxa" w:w="2161"/>
          </w:tcPr>
          <w:p>
            <w:pPr>
              <w:jc w:val="center"/>
            </w:pPr>
            <w:r>
              <w:rPr>
                <w:rFonts w:ascii="宋体" w:hAnsi="宋体" w:eastAsia="宋体"/>
                <w:sz w:val="20"/>
              </w:rPr>
              <w:t>多指标协同异常</w:t>
            </w:r>
          </w:p>
        </w:tc>
        <w:tc>
          <w:tcPr>
            <w:tcW w:type="dxa" w:w="2161"/>
          </w:tcPr>
          <w:p>
            <w:pPr>
              <w:jc w:val="center"/>
            </w:pPr>
            <w:r>
              <w:rPr>
                <w:rFonts w:ascii="宋体" w:hAnsi="宋体" w:eastAsia="宋体"/>
                <w:sz w:val="20"/>
              </w:rPr>
              <w:t>系统性风险</w:t>
            </w:r>
          </w:p>
        </w:tc>
        <w:tc>
          <w:tcPr>
            <w:tcW w:type="dxa" w:w="2161"/>
          </w:tcPr>
          <w:p>
            <w:pPr>
              <w:jc w:val="center"/>
            </w:pPr>
            <w:r>
              <w:rPr>
                <w:rFonts w:ascii="宋体" w:hAnsi="宋体" w:eastAsia="宋体"/>
                <w:sz w:val="20"/>
              </w:rPr>
              <w:t>扫码、销售、支付同时异常</w:t>
            </w:r>
          </w:p>
        </w:tc>
      </w:tr>
    </w:tbl>
    <w:p>
      <w:pPr>
        <w:spacing w:line="360" w:lineRule="auto"/>
      </w:pPr>
      <w:r>
        <w:rPr>
          <w:rFonts w:ascii="宋体" w:hAnsi="宋体" w:eastAsia="宋体"/>
          <w:b/>
          <w:sz w:val="24"/>
        </w:rPr>
        <w:t>表2  烟草零售终端异常经营行为类型分类</w:t>
      </w:r>
    </w:p>
    <w:p>
      <w:pPr>
        <w:pStyle w:val="Heading2"/>
      </w:pPr>
      <w:r>
        <w:rPr>
          <w:rFonts w:ascii="黑体" w:hAnsi="黑体" w:eastAsia="黑体"/>
          <w:color w:val="000000"/>
        </w:rPr>
        <w:t>（三）传统监管方式存在的问题</w:t>
      </w:r>
    </w:p>
    <w:p>
      <w:pPr>
        <w:spacing w:line="360" w:lineRule="auto"/>
        <w:ind w:firstLine="420"/>
      </w:pPr>
      <w:r>
        <w:rPr>
          <w:rFonts w:ascii="宋体" w:hAnsi="宋体" w:eastAsia="宋体"/>
          <w:b w:val="0"/>
          <w:sz w:val="24"/>
        </w:rPr>
        <w:t>传统人工监管方式存在四个突出问题：一是发现滞后，以兴山县为例，传统人工排查方式下，异常终端的平均发现时间为异常发生后14.5天，部分剧烈波动（如扫码量降幅超90%）要到月末统计汇总时才能发现，已错过最佳的市场干预时机。二是覆盖不全，客户经理人均管辖约15~20家终端，依靠人工走访方式进行市场监测，人力成本高、覆盖频率有限，难以实现全终端实时监控。三是标准不一，异常判断依赖客户经理的个人经验，缺乏统一的识别标准和量化指标，判断结果主观性强，不同人员对同一终端的判断可能存在差异。四是响应被动，传统方式以"事后补救"为主，缺乏预警机制，异常发现后往往已造成一定影响，管理成本高、效率低。</w:t>
      </w:r>
    </w:p>
    <w:p>
      <w:pPr>
        <w:pStyle w:val="Heading2"/>
      </w:pPr>
      <w:r>
        <w:rPr>
          <w:rFonts w:ascii="黑体" w:hAnsi="黑体" w:eastAsia="黑体"/>
          <w:color w:val="000000"/>
        </w:rPr>
        <w:t>（四）问题根源分析</w:t>
      </w:r>
    </w:p>
    <w:p>
      <w:pPr>
        <w:spacing w:line="360" w:lineRule="auto"/>
        <w:ind w:firstLine="420"/>
      </w:pPr>
      <w:r>
        <w:rPr>
          <w:rFonts w:ascii="宋体" w:hAnsi="宋体" w:eastAsia="宋体"/>
          <w:b w:val="0"/>
          <w:sz w:val="24"/>
        </w:rPr>
        <w:t>上述问题的深层原因可归纳为四个层面：认知层面，对数据价值认识不足，存在"重采集轻应用"的观念，将数据视为统计报表的素材而非决策支持的依据；技术层面，缺乏智能分析工具，现有营销子系统以数据展示和统计汇总为主，缺乏异常识别、预警推送等智能分析功能；管理层面，缺乏异常识别标准，未建立统一的异常判定规则和预警阈值，预警机制不健全；组织层面，数据分析人员配置不足，专业能力欠缺，难以支撑智能识别体系的运行和维护。</w:t>
      </w:r>
    </w:p>
    <w:p>
      <w:pPr>
        <w:pStyle w:val="Heading1"/>
      </w:pPr>
      <w:r>
        <w:rPr>
          <w:rFonts w:ascii="黑体" w:hAnsi="黑体" w:eastAsia="黑体"/>
          <w:color w:val="000000"/>
        </w:rPr>
        <w:t>四、异常识别体系构建</w:t>
      </w:r>
    </w:p>
    <w:p>
      <w:pPr>
        <w:pStyle w:val="Heading2"/>
      </w:pPr>
      <w:r>
        <w:rPr>
          <w:rFonts w:ascii="黑体" w:hAnsi="黑体" w:eastAsia="黑体"/>
          <w:color w:val="000000"/>
        </w:rPr>
        <w:t>（一）总体框架设计</w:t>
      </w:r>
    </w:p>
    <w:p>
      <w:pPr>
        <w:spacing w:line="360" w:lineRule="auto"/>
        <w:ind w:firstLine="420"/>
      </w:pPr>
      <w:r>
        <w:rPr>
          <w:rFonts w:ascii="宋体" w:hAnsi="宋体" w:eastAsia="宋体"/>
          <w:b w:val="0"/>
          <w:sz w:val="24"/>
        </w:rPr>
        <w:t>异常识别体系的设计遵循四项原则：全面性原则，覆盖所有终端、所有异常类型，实现全范围监测；及时性原则，实时监测、及时预警，将异常发现时间最小化；准确性原则，降低误报率和漏报率，提高识别精度；实用性原则，可操作、可落地，适应基层营销部门的实际条件。</w:t>
      </w:r>
    </w:p>
    <w:p>
      <w:pPr>
        <w:spacing w:line="360" w:lineRule="auto"/>
        <w:ind w:firstLine="420"/>
      </w:pPr>
      <w:r>
        <w:rPr>
          <w:rFonts w:ascii="宋体" w:hAnsi="宋体" w:eastAsia="宋体"/>
          <w:b w:val="0"/>
          <w:sz w:val="24"/>
        </w:rPr>
        <w:t>基于上述原则，本文构建"三层次四维度"异常识别体系。第一层为数据采集层，整合扫码、销售、支付、行为四类数据源，实现多源数据的统一采集和预处理。第二层为异常识别层，设计统计异常识别、模式异常识别、关联异常识别三类方法，从不同角度识别异常行为。第三层为预警响应层，建立正常、轻度、中度、重度四级预警分级机制，配套差异化的响应措施和时效要求。三个层次通过数据流转和反馈机制形成闭环，实现持续优化。</w:t>
      </w:r>
    </w:p>
    <w:p>
      <w:pPr>
        <w:jc w:val="center"/>
      </w:pPr>
      <w:r>
        <w:drawing>
          <wp:inline xmlns:a="http://schemas.openxmlformats.org/drawingml/2006/main" xmlns:pic="http://schemas.openxmlformats.org/drawingml/2006/picture">
            <wp:extent cx="5029200" cy="3581948"/>
            <wp:docPr id="1" name="Picture 1"/>
            <wp:cNvGraphicFramePr>
              <a:graphicFrameLocks noChangeAspect="1"/>
            </wp:cNvGraphicFramePr>
            <a:graphic>
              <a:graphicData uri="http://schemas.openxmlformats.org/drawingml/2006/picture">
                <pic:pic>
                  <pic:nvPicPr>
                    <pic:cNvPr id="0" name="图1_异常识别体系框架.png"/>
                    <pic:cNvPicPr/>
                  </pic:nvPicPr>
                  <pic:blipFill>
                    <a:blip r:embed="rId9"/>
                    <a:stretch>
                      <a:fillRect/>
                    </a:stretch>
                  </pic:blipFill>
                  <pic:spPr>
                    <a:xfrm>
                      <a:off x="0" y="0"/>
                      <a:ext cx="5029200" cy="3581948"/>
                    </a:xfrm>
                    <a:prstGeom prst="rect"/>
                  </pic:spPr>
                </pic:pic>
              </a:graphicData>
            </a:graphic>
          </wp:inline>
        </w:drawing>
      </w:r>
    </w:p>
    <w:p>
      <w:pPr>
        <w:pStyle w:val="Heading2"/>
      </w:pPr>
      <w:r>
        <w:rPr>
          <w:rFonts w:ascii="黑体" w:hAnsi="黑体" w:eastAsia="黑体"/>
          <w:color w:val="000000"/>
        </w:rPr>
        <w:t>（二）"三层次四维度"识别体系</w:t>
      </w:r>
    </w:p>
    <w:p>
      <w:pPr>
        <w:spacing w:line="360" w:lineRule="auto"/>
        <w:ind w:firstLine="420"/>
      </w:pPr>
      <w:r>
        <w:rPr>
          <w:rFonts w:ascii="宋体" w:hAnsi="宋体" w:eastAsia="宋体"/>
          <w:b w:val="0"/>
          <w:sz w:val="24"/>
        </w:rPr>
        <w:t>第一层：数据采集层。该层负责多源数据的采集、清洗和整合。数据源包括扫码数据（扫码笔数、日均扫码笔数）、销售数据（销售金额、毛利、毛利率）、支付数据（聚合支付笔数、支付金额）、行为数据（在线天数、在线时长、开通天数）。数据预处理包括缺失值处理、异常值剔除、数据标准化等环节，确保数据质量满足异常识别要求。</w:t>
      </w:r>
    </w:p>
    <w:p>
      <w:pPr>
        <w:spacing w:line="360" w:lineRule="auto"/>
        <w:ind w:firstLine="420"/>
      </w:pPr>
      <w:r>
        <w:rPr>
          <w:rFonts w:ascii="宋体" w:hAnsi="宋体" w:eastAsia="宋体"/>
          <w:b w:val="0"/>
          <w:sz w:val="24"/>
        </w:rPr>
        <w:t>第二层：异常识别层。该层是体系的核心，设计三类异常识别方法：统计异常识别基于历史数据分布，识别偏离正常范围的离群点，适用于扫码量骤增骤减、销售额异常波动等场景，方法简单直观、计算快速，但对渐进性异常不敏感；模式异常识别基于时序模式，识别行为规律的改变，适用于经营周期打破、行为模式突变等场景，能捕捉趋势性变化但需要历史数据积累；关联异常识别基于多指标关联，识别协同关系的破坏，适用于扫码销售背离、多指标异常组合等场景，能发现隐蔽异常但指标选择要求高。</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0"/>
              </w:rPr>
              <w:t>识别方法</w:t>
            </w:r>
          </w:p>
        </w:tc>
        <w:tc>
          <w:tcPr>
            <w:tcW w:type="dxa" w:w="1729"/>
          </w:tcPr>
          <w:p>
            <w:pPr>
              <w:jc w:val="center"/>
            </w:pPr>
            <w:r>
              <w:rPr>
                <w:rFonts w:ascii="宋体" w:hAnsi="宋体" w:eastAsia="宋体"/>
                <w:b/>
                <w:sz w:val="20"/>
              </w:rPr>
              <w:t>识别原理</w:t>
            </w:r>
          </w:p>
        </w:tc>
        <w:tc>
          <w:tcPr>
            <w:tcW w:type="dxa" w:w="1729"/>
          </w:tcPr>
          <w:p>
            <w:pPr>
              <w:jc w:val="center"/>
            </w:pPr>
            <w:r>
              <w:rPr>
                <w:rFonts w:ascii="宋体" w:hAnsi="宋体" w:eastAsia="宋体"/>
                <w:b/>
                <w:sz w:val="20"/>
              </w:rPr>
              <w:t>适用场景</w:t>
            </w:r>
          </w:p>
        </w:tc>
        <w:tc>
          <w:tcPr>
            <w:tcW w:type="dxa" w:w="1729"/>
          </w:tcPr>
          <w:p>
            <w:pPr>
              <w:jc w:val="center"/>
            </w:pPr>
            <w:r>
              <w:rPr>
                <w:rFonts w:ascii="宋体" w:hAnsi="宋体" w:eastAsia="宋体"/>
                <w:b/>
                <w:sz w:val="20"/>
              </w:rPr>
              <w:t>优势</w:t>
            </w:r>
          </w:p>
        </w:tc>
        <w:tc>
          <w:tcPr>
            <w:tcW w:type="dxa" w:w="1729"/>
          </w:tcPr>
          <w:p>
            <w:pPr>
              <w:jc w:val="center"/>
            </w:pPr>
            <w:r>
              <w:rPr>
                <w:rFonts w:ascii="宋体" w:hAnsi="宋体" w:eastAsia="宋体"/>
                <w:b/>
                <w:sz w:val="20"/>
              </w:rPr>
              <w:t>局限</w:t>
            </w:r>
          </w:p>
        </w:tc>
      </w:tr>
      <w:tr>
        <w:tc>
          <w:tcPr>
            <w:tcW w:type="dxa" w:w="1729"/>
          </w:tcPr>
          <w:p>
            <w:pPr>
              <w:jc w:val="center"/>
            </w:pPr>
            <w:r>
              <w:rPr>
                <w:rFonts w:ascii="宋体" w:hAnsi="宋体" w:eastAsia="宋体"/>
                <w:sz w:val="20"/>
              </w:rPr>
              <w:t>统计异常识别</w:t>
            </w:r>
          </w:p>
        </w:tc>
        <w:tc>
          <w:tcPr>
            <w:tcW w:type="dxa" w:w="1729"/>
          </w:tcPr>
          <w:p>
            <w:pPr>
              <w:jc w:val="center"/>
            </w:pPr>
            <w:r>
              <w:rPr>
                <w:rFonts w:ascii="宋体" w:hAnsi="宋体" w:eastAsia="宋体"/>
                <w:sz w:val="20"/>
              </w:rPr>
              <w:t>基于历史数据分布，识别偏离正常范围的离群点</w:t>
            </w:r>
          </w:p>
        </w:tc>
        <w:tc>
          <w:tcPr>
            <w:tcW w:type="dxa" w:w="1729"/>
          </w:tcPr>
          <w:p>
            <w:pPr>
              <w:jc w:val="center"/>
            </w:pPr>
            <w:r>
              <w:rPr>
                <w:rFonts w:ascii="宋体" w:hAnsi="宋体" w:eastAsia="宋体"/>
                <w:sz w:val="20"/>
              </w:rPr>
              <w:t>扫码量骤增骤减、销售额异常波动</w:t>
            </w:r>
          </w:p>
        </w:tc>
        <w:tc>
          <w:tcPr>
            <w:tcW w:type="dxa" w:w="1729"/>
          </w:tcPr>
          <w:p>
            <w:pPr>
              <w:jc w:val="center"/>
            </w:pPr>
            <w:r>
              <w:rPr>
                <w:rFonts w:ascii="宋体" w:hAnsi="宋体" w:eastAsia="宋体"/>
                <w:sz w:val="20"/>
              </w:rPr>
              <w:t>简单直观、计算快速</w:t>
            </w:r>
          </w:p>
        </w:tc>
        <w:tc>
          <w:tcPr>
            <w:tcW w:type="dxa" w:w="1729"/>
          </w:tcPr>
          <w:p>
            <w:pPr>
              <w:jc w:val="center"/>
            </w:pPr>
            <w:r>
              <w:rPr>
                <w:rFonts w:ascii="宋体" w:hAnsi="宋体" w:eastAsia="宋体"/>
                <w:sz w:val="20"/>
              </w:rPr>
              <w:t>对渐进性异常不敏感</w:t>
            </w:r>
          </w:p>
        </w:tc>
      </w:tr>
      <w:tr>
        <w:tc>
          <w:tcPr>
            <w:tcW w:type="dxa" w:w="1729"/>
          </w:tcPr>
          <w:p>
            <w:pPr>
              <w:jc w:val="center"/>
            </w:pPr>
            <w:r>
              <w:rPr>
                <w:rFonts w:ascii="宋体" w:hAnsi="宋体" w:eastAsia="宋体"/>
                <w:sz w:val="20"/>
              </w:rPr>
              <w:t>模式异常识别</w:t>
            </w:r>
          </w:p>
        </w:tc>
        <w:tc>
          <w:tcPr>
            <w:tcW w:type="dxa" w:w="1729"/>
          </w:tcPr>
          <w:p>
            <w:pPr>
              <w:jc w:val="center"/>
            </w:pPr>
            <w:r>
              <w:rPr>
                <w:rFonts w:ascii="宋体" w:hAnsi="宋体" w:eastAsia="宋体"/>
                <w:sz w:val="20"/>
              </w:rPr>
              <w:t>基于时序模式，识别行为规律的改变</w:t>
            </w:r>
          </w:p>
        </w:tc>
        <w:tc>
          <w:tcPr>
            <w:tcW w:type="dxa" w:w="1729"/>
          </w:tcPr>
          <w:p>
            <w:pPr>
              <w:jc w:val="center"/>
            </w:pPr>
            <w:r>
              <w:rPr>
                <w:rFonts w:ascii="宋体" w:hAnsi="宋体" w:eastAsia="宋体"/>
                <w:sz w:val="20"/>
              </w:rPr>
              <w:t>经营周期打破、行为模式突变</w:t>
            </w:r>
          </w:p>
        </w:tc>
        <w:tc>
          <w:tcPr>
            <w:tcW w:type="dxa" w:w="1729"/>
          </w:tcPr>
          <w:p>
            <w:pPr>
              <w:jc w:val="center"/>
            </w:pPr>
            <w:r>
              <w:rPr>
                <w:rFonts w:ascii="宋体" w:hAnsi="宋体" w:eastAsia="宋体"/>
                <w:sz w:val="20"/>
              </w:rPr>
              <w:t>能捕捉趋势性变化</w:t>
            </w:r>
          </w:p>
        </w:tc>
        <w:tc>
          <w:tcPr>
            <w:tcW w:type="dxa" w:w="1729"/>
          </w:tcPr>
          <w:p>
            <w:pPr>
              <w:jc w:val="center"/>
            </w:pPr>
            <w:r>
              <w:rPr>
                <w:rFonts w:ascii="宋体" w:hAnsi="宋体" w:eastAsia="宋体"/>
                <w:sz w:val="20"/>
              </w:rPr>
              <w:t>需要历史数据积累</w:t>
            </w:r>
          </w:p>
        </w:tc>
      </w:tr>
      <w:tr>
        <w:tc>
          <w:tcPr>
            <w:tcW w:type="dxa" w:w="1729"/>
          </w:tcPr>
          <w:p>
            <w:pPr>
              <w:jc w:val="center"/>
            </w:pPr>
            <w:r>
              <w:rPr>
                <w:rFonts w:ascii="宋体" w:hAnsi="宋体" w:eastAsia="宋体"/>
                <w:sz w:val="20"/>
              </w:rPr>
              <w:t>关联异常识别</w:t>
            </w:r>
          </w:p>
        </w:tc>
        <w:tc>
          <w:tcPr>
            <w:tcW w:type="dxa" w:w="1729"/>
          </w:tcPr>
          <w:p>
            <w:pPr>
              <w:jc w:val="center"/>
            </w:pPr>
            <w:r>
              <w:rPr>
                <w:rFonts w:ascii="宋体" w:hAnsi="宋体" w:eastAsia="宋体"/>
                <w:sz w:val="20"/>
              </w:rPr>
              <w:t>基于多指标关联，识别协同关系的破坏</w:t>
            </w:r>
          </w:p>
        </w:tc>
        <w:tc>
          <w:tcPr>
            <w:tcW w:type="dxa" w:w="1729"/>
          </w:tcPr>
          <w:p>
            <w:pPr>
              <w:jc w:val="center"/>
            </w:pPr>
            <w:r>
              <w:rPr>
                <w:rFonts w:ascii="宋体" w:hAnsi="宋体" w:eastAsia="宋体"/>
                <w:sz w:val="20"/>
              </w:rPr>
              <w:t>扫码销售背离、多指标异常组合</w:t>
            </w:r>
          </w:p>
        </w:tc>
        <w:tc>
          <w:tcPr>
            <w:tcW w:type="dxa" w:w="1729"/>
          </w:tcPr>
          <w:p>
            <w:pPr>
              <w:jc w:val="center"/>
            </w:pPr>
            <w:r>
              <w:rPr>
                <w:rFonts w:ascii="宋体" w:hAnsi="宋体" w:eastAsia="宋体"/>
                <w:sz w:val="20"/>
              </w:rPr>
              <w:t>能发现隐蔽异常</w:t>
            </w:r>
          </w:p>
        </w:tc>
        <w:tc>
          <w:tcPr>
            <w:tcW w:type="dxa" w:w="1729"/>
          </w:tcPr>
          <w:p>
            <w:pPr>
              <w:jc w:val="center"/>
            </w:pPr>
            <w:r>
              <w:rPr>
                <w:rFonts w:ascii="宋体" w:hAnsi="宋体" w:eastAsia="宋体"/>
                <w:sz w:val="20"/>
              </w:rPr>
              <w:t>指标选择要求高</w:t>
            </w:r>
          </w:p>
        </w:tc>
      </w:tr>
    </w:tbl>
    <w:p>
      <w:pPr>
        <w:spacing w:line="360" w:lineRule="auto"/>
      </w:pPr>
      <w:r>
        <w:rPr>
          <w:rFonts w:ascii="宋体" w:hAnsi="宋体" w:eastAsia="宋体"/>
          <w:b/>
          <w:sz w:val="24"/>
        </w:rPr>
        <w:t>表3  三类异常识别方法对比</w:t>
      </w:r>
    </w:p>
    <w:p>
      <w:pPr>
        <w:spacing w:line="360" w:lineRule="auto"/>
        <w:ind w:firstLine="420"/>
      </w:pPr>
      <w:r>
        <w:rPr>
          <w:rFonts w:ascii="宋体" w:hAnsi="宋体" w:eastAsia="宋体"/>
          <w:b w:val="0"/>
          <w:sz w:val="24"/>
        </w:rPr>
        <w:t>第三层：预警响应层。该层将异常识别结果转化为可操作的预警信号和响应措施。预警分为四级：正常（绿色）表示所有指标正常，采取常规监测；轻度异常（黄色）表示1个维度异常，采取加强线上关注措施；中度异常（橙色）表示2个维度异常，采取实地走访措施；重度异常（红色）表示3个及以上维度异常，采取专项帮扶措施。不同预警等级对应不同的响应时效和责任主体。</w:t>
      </w:r>
    </w:p>
    <w:p>
      <w:pPr>
        <w:spacing w:line="360" w:lineRule="auto"/>
        <w:ind w:firstLine="420"/>
      </w:pPr>
      <w:r>
        <w:rPr>
          <w:rFonts w:ascii="宋体" w:hAnsi="宋体" w:eastAsia="宋体"/>
          <w:b w:val="0"/>
          <w:sz w:val="24"/>
        </w:rPr>
        <w:t>"四维度"异常识别指标体系从时间、空间、行为、关联四个维度构建识别指标。时间维度聚焦于终端自身的历史纵向比较，通过计算扫码量、销售额等核心指标的环比变化率，识别短期内的剧烈波动，异常阈值设为|突变率|&gt;50%。空间维度强调终端在区域内的横向定位，通过计算个体值与区域均值的偏离程度，识别相对于同类终端的异常表现，异常阈值设为|偏离度|&gt;2。行为维度关注终端经营行为的稳定性和规律性，通过变异系数度量经营波动程度，异常阈值设为CV&gt;0.5。关联维度揭示多指标之间的协同关系，当扫码增长与销售增长出现显著背离时，提示可能存在数据造假或经营异常，异常阈值设为差异&gt;30%。</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0"/>
              </w:rPr>
              <w:t>维度</w:t>
            </w:r>
          </w:p>
        </w:tc>
        <w:tc>
          <w:tcPr>
            <w:tcW w:type="dxa" w:w="1729"/>
          </w:tcPr>
          <w:p>
            <w:pPr>
              <w:jc w:val="center"/>
            </w:pPr>
            <w:r>
              <w:rPr>
                <w:rFonts w:ascii="宋体" w:hAnsi="宋体" w:eastAsia="宋体"/>
                <w:b/>
                <w:sz w:val="20"/>
              </w:rPr>
              <w:t>指标名称</w:t>
            </w:r>
          </w:p>
        </w:tc>
        <w:tc>
          <w:tcPr>
            <w:tcW w:type="dxa" w:w="1729"/>
          </w:tcPr>
          <w:p>
            <w:pPr>
              <w:jc w:val="center"/>
            </w:pPr>
            <w:r>
              <w:rPr>
                <w:rFonts w:ascii="宋体" w:hAnsi="宋体" w:eastAsia="宋体"/>
                <w:b/>
                <w:sz w:val="20"/>
              </w:rPr>
              <w:t>计算方法</w:t>
            </w:r>
          </w:p>
        </w:tc>
        <w:tc>
          <w:tcPr>
            <w:tcW w:type="dxa" w:w="1729"/>
          </w:tcPr>
          <w:p>
            <w:pPr>
              <w:jc w:val="center"/>
            </w:pPr>
            <w:r>
              <w:rPr>
                <w:rFonts w:ascii="宋体" w:hAnsi="宋体" w:eastAsia="宋体"/>
                <w:b/>
                <w:sz w:val="20"/>
              </w:rPr>
              <w:t>异常阈值</w:t>
            </w:r>
          </w:p>
        </w:tc>
        <w:tc>
          <w:tcPr>
            <w:tcW w:type="dxa" w:w="1729"/>
          </w:tcPr>
          <w:p>
            <w:pPr>
              <w:jc w:val="center"/>
            </w:pPr>
            <w:r>
              <w:rPr>
                <w:rFonts w:ascii="宋体" w:hAnsi="宋体" w:eastAsia="宋体"/>
                <w:b/>
                <w:sz w:val="20"/>
              </w:rPr>
              <w:t>识别类型</w:t>
            </w:r>
          </w:p>
        </w:tc>
      </w:tr>
      <w:tr>
        <w:tc>
          <w:tcPr>
            <w:tcW w:type="dxa" w:w="1729"/>
          </w:tcPr>
          <w:p>
            <w:pPr>
              <w:jc w:val="center"/>
            </w:pPr>
            <w:r>
              <w:rPr>
                <w:rFonts w:ascii="宋体" w:hAnsi="宋体" w:eastAsia="宋体"/>
                <w:sz w:val="20"/>
              </w:rPr>
              <w:t>时间维度</w:t>
            </w:r>
          </w:p>
        </w:tc>
        <w:tc>
          <w:tcPr>
            <w:tcW w:type="dxa" w:w="1729"/>
          </w:tcPr>
          <w:p>
            <w:pPr>
              <w:jc w:val="center"/>
            </w:pPr>
            <w:r>
              <w:rPr>
                <w:rFonts w:ascii="宋体" w:hAnsi="宋体" w:eastAsia="宋体"/>
                <w:sz w:val="20"/>
              </w:rPr>
              <w:t>扫码量突变率</w:t>
            </w:r>
          </w:p>
        </w:tc>
        <w:tc>
          <w:tcPr>
            <w:tcW w:type="dxa" w:w="1729"/>
          </w:tcPr>
          <w:p>
            <w:pPr>
              <w:jc w:val="center"/>
            </w:pPr>
            <w:r>
              <w:rPr>
                <w:rFonts w:ascii="宋体" w:hAnsi="宋体" w:eastAsia="宋体"/>
                <w:sz w:val="20"/>
              </w:rPr>
              <w:t>(本期-上期)/上期×100%</w:t>
            </w:r>
          </w:p>
        </w:tc>
        <w:tc>
          <w:tcPr>
            <w:tcW w:type="dxa" w:w="1729"/>
          </w:tcPr>
          <w:p>
            <w:pPr>
              <w:jc w:val="center"/>
            </w:pPr>
            <w:r>
              <w:rPr>
                <w:rFonts w:ascii="宋体" w:hAnsi="宋体" w:eastAsia="宋体"/>
                <w:sz w:val="20"/>
              </w:rPr>
              <w:t>|突变率|&gt;50%</w:t>
            </w:r>
          </w:p>
        </w:tc>
        <w:tc>
          <w:tcPr>
            <w:tcW w:type="dxa" w:w="1729"/>
          </w:tcPr>
          <w:p>
            <w:pPr>
              <w:jc w:val="center"/>
            </w:pPr>
            <w:r>
              <w:rPr>
                <w:rFonts w:ascii="宋体" w:hAnsi="宋体" w:eastAsia="宋体"/>
                <w:sz w:val="20"/>
              </w:rPr>
              <w:t>统计异常</w:t>
            </w:r>
          </w:p>
        </w:tc>
      </w:tr>
      <w:tr>
        <w:tc>
          <w:tcPr>
            <w:tcW w:type="dxa" w:w="1729"/>
          </w:tcPr>
          <w:p>
            <w:pPr>
              <w:jc w:val="center"/>
            </w:pPr>
            <w:r>
              <w:rPr>
                <w:rFonts w:ascii="宋体" w:hAnsi="宋体" w:eastAsia="宋体"/>
                <w:sz w:val="20"/>
              </w:rPr>
              <w:t>空间维度</w:t>
            </w:r>
          </w:p>
        </w:tc>
        <w:tc>
          <w:tcPr>
            <w:tcW w:type="dxa" w:w="1729"/>
          </w:tcPr>
          <w:p>
            <w:pPr>
              <w:jc w:val="center"/>
            </w:pPr>
            <w:r>
              <w:rPr>
                <w:rFonts w:ascii="宋体" w:hAnsi="宋体" w:eastAsia="宋体"/>
                <w:sz w:val="20"/>
              </w:rPr>
              <w:t>区域偏离度</w:t>
            </w:r>
          </w:p>
        </w:tc>
        <w:tc>
          <w:tcPr>
            <w:tcW w:type="dxa" w:w="1729"/>
          </w:tcPr>
          <w:p>
            <w:pPr>
              <w:jc w:val="center"/>
            </w:pPr>
            <w:r>
              <w:rPr>
                <w:rFonts w:ascii="宋体" w:hAnsi="宋体" w:eastAsia="宋体"/>
                <w:sz w:val="20"/>
              </w:rPr>
              <w:t>(个体-区域均值)/区域标准差</w:t>
            </w:r>
          </w:p>
        </w:tc>
        <w:tc>
          <w:tcPr>
            <w:tcW w:type="dxa" w:w="1729"/>
          </w:tcPr>
          <w:p>
            <w:pPr>
              <w:jc w:val="center"/>
            </w:pPr>
            <w:r>
              <w:rPr>
                <w:rFonts w:ascii="宋体" w:hAnsi="宋体" w:eastAsia="宋体"/>
                <w:sz w:val="20"/>
              </w:rPr>
              <w:t>|偏离度|&gt;2</w:t>
            </w:r>
          </w:p>
        </w:tc>
        <w:tc>
          <w:tcPr>
            <w:tcW w:type="dxa" w:w="1729"/>
          </w:tcPr>
          <w:p>
            <w:pPr>
              <w:jc w:val="center"/>
            </w:pPr>
            <w:r>
              <w:rPr>
                <w:rFonts w:ascii="宋体" w:hAnsi="宋体" w:eastAsia="宋体"/>
                <w:sz w:val="20"/>
              </w:rPr>
              <w:t>统计异常</w:t>
            </w:r>
          </w:p>
        </w:tc>
      </w:tr>
      <w:tr>
        <w:tc>
          <w:tcPr>
            <w:tcW w:type="dxa" w:w="1729"/>
          </w:tcPr>
          <w:p>
            <w:pPr>
              <w:jc w:val="center"/>
            </w:pPr>
            <w:r>
              <w:rPr>
                <w:rFonts w:ascii="宋体" w:hAnsi="宋体" w:eastAsia="宋体"/>
                <w:sz w:val="20"/>
              </w:rPr>
              <w:t>行为维度</w:t>
            </w:r>
          </w:p>
        </w:tc>
        <w:tc>
          <w:tcPr>
            <w:tcW w:type="dxa" w:w="1729"/>
          </w:tcPr>
          <w:p>
            <w:pPr>
              <w:jc w:val="center"/>
            </w:pPr>
            <w:r>
              <w:rPr>
                <w:rFonts w:ascii="宋体" w:hAnsi="宋体" w:eastAsia="宋体"/>
                <w:sz w:val="20"/>
              </w:rPr>
              <w:t>经营稳定性</w:t>
            </w:r>
          </w:p>
        </w:tc>
        <w:tc>
          <w:tcPr>
            <w:tcW w:type="dxa" w:w="1729"/>
          </w:tcPr>
          <w:p>
            <w:pPr>
              <w:jc w:val="center"/>
            </w:pPr>
            <w:r>
              <w:rPr>
                <w:rFonts w:ascii="宋体" w:hAnsi="宋体" w:eastAsia="宋体"/>
                <w:sz w:val="20"/>
              </w:rPr>
              <w:t>标准差/均值（变异系数）</w:t>
            </w:r>
          </w:p>
        </w:tc>
        <w:tc>
          <w:tcPr>
            <w:tcW w:type="dxa" w:w="1729"/>
          </w:tcPr>
          <w:p>
            <w:pPr>
              <w:jc w:val="center"/>
            </w:pPr>
            <w:r>
              <w:rPr>
                <w:rFonts w:ascii="宋体" w:hAnsi="宋体" w:eastAsia="宋体"/>
                <w:sz w:val="20"/>
              </w:rPr>
              <w:t>CV&gt;0.5</w:t>
            </w:r>
          </w:p>
        </w:tc>
        <w:tc>
          <w:tcPr>
            <w:tcW w:type="dxa" w:w="1729"/>
          </w:tcPr>
          <w:p>
            <w:pPr>
              <w:jc w:val="center"/>
            </w:pPr>
            <w:r>
              <w:rPr>
                <w:rFonts w:ascii="宋体" w:hAnsi="宋体" w:eastAsia="宋体"/>
                <w:sz w:val="20"/>
              </w:rPr>
              <w:t>模式异常</w:t>
            </w:r>
          </w:p>
        </w:tc>
      </w:tr>
      <w:tr>
        <w:tc>
          <w:tcPr>
            <w:tcW w:type="dxa" w:w="1729"/>
          </w:tcPr>
          <w:p>
            <w:pPr>
              <w:jc w:val="center"/>
            </w:pPr>
            <w:r>
              <w:rPr>
                <w:rFonts w:ascii="宋体" w:hAnsi="宋体" w:eastAsia="宋体"/>
                <w:sz w:val="20"/>
              </w:rPr>
              <w:t>关联维度</w:t>
            </w:r>
          </w:p>
        </w:tc>
        <w:tc>
          <w:tcPr>
            <w:tcW w:type="dxa" w:w="1729"/>
          </w:tcPr>
          <w:p>
            <w:pPr>
              <w:jc w:val="center"/>
            </w:pPr>
            <w:r>
              <w:rPr>
                <w:rFonts w:ascii="宋体" w:hAnsi="宋体" w:eastAsia="宋体"/>
                <w:sz w:val="20"/>
              </w:rPr>
              <w:t>指标协同度</w:t>
            </w:r>
          </w:p>
        </w:tc>
        <w:tc>
          <w:tcPr>
            <w:tcW w:type="dxa" w:w="1729"/>
          </w:tcPr>
          <w:p>
            <w:pPr>
              <w:jc w:val="center"/>
            </w:pPr>
            <w:r>
              <w:rPr>
                <w:rFonts w:ascii="宋体" w:hAnsi="宋体" w:eastAsia="宋体"/>
                <w:sz w:val="20"/>
              </w:rPr>
              <w:t>扫码增长率与销售增长率差异</w:t>
            </w:r>
          </w:p>
        </w:tc>
        <w:tc>
          <w:tcPr>
            <w:tcW w:type="dxa" w:w="1729"/>
          </w:tcPr>
          <w:p>
            <w:pPr>
              <w:jc w:val="center"/>
            </w:pPr>
            <w:r>
              <w:rPr>
                <w:rFonts w:ascii="宋体" w:hAnsi="宋体" w:eastAsia="宋体"/>
                <w:sz w:val="20"/>
              </w:rPr>
              <w:t>差异&gt;30%</w:t>
            </w:r>
          </w:p>
        </w:tc>
        <w:tc>
          <w:tcPr>
            <w:tcW w:type="dxa" w:w="1729"/>
          </w:tcPr>
          <w:p>
            <w:pPr>
              <w:jc w:val="center"/>
            </w:pPr>
            <w:r>
              <w:rPr>
                <w:rFonts w:ascii="宋体" w:hAnsi="宋体" w:eastAsia="宋体"/>
                <w:sz w:val="20"/>
              </w:rPr>
              <w:t>关联异常</w:t>
            </w:r>
          </w:p>
        </w:tc>
      </w:tr>
    </w:tbl>
    <w:p>
      <w:pPr>
        <w:spacing w:line="360" w:lineRule="auto"/>
      </w:pPr>
      <w:r>
        <w:rPr>
          <w:rFonts w:ascii="宋体" w:hAnsi="宋体" w:eastAsia="宋体"/>
          <w:b/>
          <w:sz w:val="24"/>
        </w:rPr>
        <w:t>表4  "四维度"异常识别指标体系</w:t>
      </w:r>
    </w:p>
    <w:p>
      <w:pPr>
        <w:pStyle w:val="Heading2"/>
      </w:pPr>
      <w:r>
        <w:rPr>
          <w:rFonts w:ascii="黑体" w:hAnsi="黑体" w:eastAsia="黑体"/>
          <w:color w:val="000000"/>
        </w:rPr>
        <w:t>（三）异常分级标准设计</w:t>
      </w:r>
    </w:p>
    <w:p>
      <w:pPr>
        <w:spacing w:line="360" w:lineRule="auto"/>
        <w:ind w:firstLine="420"/>
      </w:pPr>
      <w:r>
        <w:rPr>
          <w:rFonts w:ascii="宋体" w:hAnsi="宋体" w:eastAsia="宋体"/>
          <w:b w:val="0"/>
          <w:sz w:val="24"/>
        </w:rPr>
        <w:t>异常分级标准基于异常严重程度、风险影响范围和响应紧迫性三个维度设计。分级原则为：异常维度越多，严重程度越高；偏离幅度越大，风险影响越广；预警等级越高，响应时效越紧迫。</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宋体" w:hAnsi="宋体" w:eastAsia="宋体"/>
                <w:b/>
                <w:sz w:val="20"/>
              </w:rPr>
              <w:t>预警等级</w:t>
            </w:r>
          </w:p>
        </w:tc>
        <w:tc>
          <w:tcPr>
            <w:tcW w:type="dxa" w:w="1441"/>
          </w:tcPr>
          <w:p>
            <w:pPr>
              <w:jc w:val="center"/>
            </w:pPr>
            <w:r>
              <w:rPr>
                <w:rFonts w:ascii="宋体" w:hAnsi="宋体" w:eastAsia="宋体"/>
                <w:b/>
                <w:sz w:val="20"/>
              </w:rPr>
              <w:t>触发条件</w:t>
            </w:r>
          </w:p>
        </w:tc>
        <w:tc>
          <w:tcPr>
            <w:tcW w:type="dxa" w:w="1441"/>
          </w:tcPr>
          <w:p>
            <w:pPr>
              <w:jc w:val="center"/>
            </w:pPr>
            <w:r>
              <w:rPr>
                <w:rFonts w:ascii="宋体" w:hAnsi="宋体" w:eastAsia="宋体"/>
                <w:b/>
                <w:sz w:val="20"/>
              </w:rPr>
              <w:t>异常特征</w:t>
            </w:r>
          </w:p>
        </w:tc>
        <w:tc>
          <w:tcPr>
            <w:tcW w:type="dxa" w:w="1441"/>
          </w:tcPr>
          <w:p>
            <w:pPr>
              <w:jc w:val="center"/>
            </w:pPr>
            <w:r>
              <w:rPr>
                <w:rFonts w:ascii="宋体" w:hAnsi="宋体" w:eastAsia="宋体"/>
                <w:b/>
                <w:sz w:val="20"/>
              </w:rPr>
              <w:t>响应措施</w:t>
            </w:r>
          </w:p>
        </w:tc>
        <w:tc>
          <w:tcPr>
            <w:tcW w:type="dxa" w:w="1441"/>
          </w:tcPr>
          <w:p>
            <w:pPr>
              <w:jc w:val="center"/>
            </w:pPr>
            <w:r>
              <w:rPr>
                <w:rFonts w:ascii="宋体" w:hAnsi="宋体" w:eastAsia="宋体"/>
                <w:b/>
                <w:sz w:val="20"/>
              </w:rPr>
              <w:t>响应时效</w:t>
            </w:r>
          </w:p>
        </w:tc>
        <w:tc>
          <w:tcPr>
            <w:tcW w:type="dxa" w:w="1441"/>
          </w:tcPr>
          <w:p>
            <w:pPr>
              <w:jc w:val="center"/>
            </w:pPr>
            <w:r>
              <w:rPr>
                <w:rFonts w:ascii="宋体" w:hAnsi="宋体" w:eastAsia="宋体"/>
                <w:b/>
                <w:sz w:val="20"/>
              </w:rPr>
              <w:t>责任主体</w:t>
            </w:r>
          </w:p>
        </w:tc>
      </w:tr>
      <w:tr>
        <w:tc>
          <w:tcPr>
            <w:tcW w:type="dxa" w:w="1441"/>
          </w:tcPr>
          <w:p>
            <w:pPr>
              <w:jc w:val="center"/>
            </w:pPr>
            <w:r>
              <w:rPr>
                <w:rFonts w:ascii="宋体" w:hAnsi="宋体" w:eastAsia="宋体"/>
                <w:sz w:val="20"/>
              </w:rPr>
              <w:t>正常（绿色）</w:t>
            </w:r>
          </w:p>
        </w:tc>
        <w:tc>
          <w:tcPr>
            <w:tcW w:type="dxa" w:w="1441"/>
          </w:tcPr>
          <w:p>
            <w:pPr>
              <w:jc w:val="center"/>
            </w:pPr>
            <w:r>
              <w:rPr>
                <w:rFonts w:ascii="宋体" w:hAnsi="宋体" w:eastAsia="宋体"/>
                <w:sz w:val="20"/>
              </w:rPr>
              <w:t>所有指标正常</w:t>
            </w:r>
          </w:p>
        </w:tc>
        <w:tc>
          <w:tcPr>
            <w:tcW w:type="dxa" w:w="1441"/>
          </w:tcPr>
          <w:p>
            <w:pPr>
              <w:jc w:val="center"/>
            </w:pPr>
            <w:r>
              <w:rPr>
                <w:rFonts w:ascii="宋体" w:hAnsi="宋体" w:eastAsia="宋体"/>
                <w:sz w:val="20"/>
              </w:rPr>
              <w:t>无异常表现</w:t>
            </w:r>
          </w:p>
        </w:tc>
        <w:tc>
          <w:tcPr>
            <w:tcW w:type="dxa" w:w="1441"/>
          </w:tcPr>
          <w:p>
            <w:pPr>
              <w:jc w:val="center"/>
            </w:pPr>
            <w:r>
              <w:rPr>
                <w:rFonts w:ascii="宋体" w:hAnsi="宋体" w:eastAsia="宋体"/>
                <w:sz w:val="20"/>
              </w:rPr>
              <w:t>常规监测，保持关注</w:t>
            </w:r>
          </w:p>
        </w:tc>
        <w:tc>
          <w:tcPr>
            <w:tcW w:type="dxa" w:w="1441"/>
          </w:tcPr>
          <w:p>
            <w:pPr>
              <w:jc w:val="center"/>
            </w:pPr>
            <w:r>
              <w:rPr>
                <w:rFonts w:ascii="宋体" w:hAnsi="宋体" w:eastAsia="宋体"/>
                <w:sz w:val="20"/>
              </w:rPr>
              <w:t>—</w:t>
            </w:r>
          </w:p>
        </w:tc>
        <w:tc>
          <w:tcPr>
            <w:tcW w:type="dxa" w:w="1441"/>
          </w:tcPr>
          <w:p>
            <w:pPr>
              <w:jc w:val="center"/>
            </w:pPr>
            <w:r>
              <w:rPr>
                <w:rFonts w:ascii="宋体" w:hAnsi="宋体" w:eastAsia="宋体"/>
                <w:sz w:val="20"/>
              </w:rPr>
              <w:t>客户经理</w:t>
            </w:r>
          </w:p>
        </w:tc>
      </w:tr>
      <w:tr>
        <w:tc>
          <w:tcPr>
            <w:tcW w:type="dxa" w:w="1441"/>
          </w:tcPr>
          <w:p>
            <w:pPr>
              <w:jc w:val="center"/>
            </w:pPr>
            <w:r>
              <w:rPr>
                <w:rFonts w:ascii="宋体" w:hAnsi="宋体" w:eastAsia="宋体"/>
                <w:sz w:val="20"/>
              </w:rPr>
              <w:t>轻度异常（黄色）</w:t>
            </w:r>
          </w:p>
        </w:tc>
        <w:tc>
          <w:tcPr>
            <w:tcW w:type="dxa" w:w="1441"/>
          </w:tcPr>
          <w:p>
            <w:pPr>
              <w:jc w:val="center"/>
            </w:pPr>
            <w:r>
              <w:rPr>
                <w:rFonts w:ascii="宋体" w:hAnsi="宋体" w:eastAsia="宋体"/>
                <w:sz w:val="20"/>
              </w:rPr>
              <w:t>1个维度异常</w:t>
            </w:r>
          </w:p>
        </w:tc>
        <w:tc>
          <w:tcPr>
            <w:tcW w:type="dxa" w:w="1441"/>
          </w:tcPr>
          <w:p>
            <w:pPr>
              <w:jc w:val="center"/>
            </w:pPr>
            <w:r>
              <w:rPr>
                <w:rFonts w:ascii="宋体" w:hAnsi="宋体" w:eastAsia="宋体"/>
                <w:sz w:val="20"/>
              </w:rPr>
              <w:t>轻度偏离，需关注</w:t>
            </w:r>
          </w:p>
        </w:tc>
        <w:tc>
          <w:tcPr>
            <w:tcW w:type="dxa" w:w="1441"/>
          </w:tcPr>
          <w:p>
            <w:pPr>
              <w:jc w:val="center"/>
            </w:pPr>
            <w:r>
              <w:rPr>
                <w:rFonts w:ascii="宋体" w:hAnsi="宋体" w:eastAsia="宋体"/>
                <w:sz w:val="20"/>
              </w:rPr>
              <w:t>加强线上关注，记录变化趋势</w:t>
            </w:r>
          </w:p>
        </w:tc>
        <w:tc>
          <w:tcPr>
            <w:tcW w:type="dxa" w:w="1441"/>
          </w:tcPr>
          <w:p>
            <w:pPr>
              <w:jc w:val="center"/>
            </w:pPr>
            <w:r>
              <w:rPr>
                <w:rFonts w:ascii="宋体" w:hAnsi="宋体" w:eastAsia="宋体"/>
                <w:sz w:val="20"/>
              </w:rPr>
              <w:t>3个工作日内</w:t>
            </w:r>
          </w:p>
        </w:tc>
        <w:tc>
          <w:tcPr>
            <w:tcW w:type="dxa" w:w="1441"/>
          </w:tcPr>
          <w:p>
            <w:pPr>
              <w:jc w:val="center"/>
            </w:pPr>
            <w:r>
              <w:rPr>
                <w:rFonts w:ascii="宋体" w:hAnsi="宋体" w:eastAsia="宋体"/>
                <w:sz w:val="20"/>
              </w:rPr>
              <w:t>客户经理</w:t>
            </w:r>
          </w:p>
        </w:tc>
      </w:tr>
      <w:tr>
        <w:tc>
          <w:tcPr>
            <w:tcW w:type="dxa" w:w="1441"/>
          </w:tcPr>
          <w:p>
            <w:pPr>
              <w:jc w:val="center"/>
            </w:pPr>
            <w:r>
              <w:rPr>
                <w:rFonts w:ascii="宋体" w:hAnsi="宋体" w:eastAsia="宋体"/>
                <w:sz w:val="20"/>
              </w:rPr>
              <w:t>中度异常（橙色）</w:t>
            </w:r>
          </w:p>
        </w:tc>
        <w:tc>
          <w:tcPr>
            <w:tcW w:type="dxa" w:w="1441"/>
          </w:tcPr>
          <w:p>
            <w:pPr>
              <w:jc w:val="center"/>
            </w:pPr>
            <w:r>
              <w:rPr>
                <w:rFonts w:ascii="宋体" w:hAnsi="宋体" w:eastAsia="宋体"/>
                <w:sz w:val="20"/>
              </w:rPr>
              <w:t>2个维度异常</w:t>
            </w:r>
          </w:p>
        </w:tc>
        <w:tc>
          <w:tcPr>
            <w:tcW w:type="dxa" w:w="1441"/>
          </w:tcPr>
          <w:p>
            <w:pPr>
              <w:jc w:val="center"/>
            </w:pPr>
            <w:r>
              <w:rPr>
                <w:rFonts w:ascii="宋体" w:hAnsi="宋体" w:eastAsia="宋体"/>
                <w:sz w:val="20"/>
              </w:rPr>
              <w:t>明显偏离，需走访</w:t>
            </w:r>
          </w:p>
        </w:tc>
        <w:tc>
          <w:tcPr>
            <w:tcW w:type="dxa" w:w="1441"/>
          </w:tcPr>
          <w:p>
            <w:pPr>
              <w:jc w:val="center"/>
            </w:pPr>
            <w:r>
              <w:rPr>
                <w:rFonts w:ascii="宋体" w:hAnsi="宋体" w:eastAsia="宋体"/>
                <w:sz w:val="20"/>
              </w:rPr>
              <w:t>安排实地走访，了解经营动态</w:t>
            </w:r>
          </w:p>
        </w:tc>
        <w:tc>
          <w:tcPr>
            <w:tcW w:type="dxa" w:w="1441"/>
          </w:tcPr>
          <w:p>
            <w:pPr>
              <w:jc w:val="center"/>
            </w:pPr>
            <w:r>
              <w:rPr>
                <w:rFonts w:ascii="宋体" w:hAnsi="宋体" w:eastAsia="宋体"/>
                <w:sz w:val="20"/>
              </w:rPr>
              <w:t>2个工作日内</w:t>
            </w:r>
          </w:p>
        </w:tc>
        <w:tc>
          <w:tcPr>
            <w:tcW w:type="dxa" w:w="1441"/>
          </w:tcPr>
          <w:p>
            <w:pPr>
              <w:jc w:val="center"/>
            </w:pPr>
            <w:r>
              <w:rPr>
                <w:rFonts w:ascii="宋体" w:hAnsi="宋体" w:eastAsia="宋体"/>
                <w:sz w:val="20"/>
              </w:rPr>
              <w:t>客户经理+市场经理</w:t>
            </w:r>
          </w:p>
        </w:tc>
      </w:tr>
      <w:tr>
        <w:tc>
          <w:tcPr>
            <w:tcW w:type="dxa" w:w="1441"/>
          </w:tcPr>
          <w:p>
            <w:pPr>
              <w:jc w:val="center"/>
            </w:pPr>
            <w:r>
              <w:rPr>
                <w:rFonts w:ascii="宋体" w:hAnsi="宋体" w:eastAsia="宋体"/>
                <w:sz w:val="20"/>
              </w:rPr>
              <w:t>重度异常（红色）</w:t>
            </w:r>
          </w:p>
        </w:tc>
        <w:tc>
          <w:tcPr>
            <w:tcW w:type="dxa" w:w="1441"/>
          </w:tcPr>
          <w:p>
            <w:pPr>
              <w:jc w:val="center"/>
            </w:pPr>
            <w:r>
              <w:rPr>
                <w:rFonts w:ascii="宋体" w:hAnsi="宋体" w:eastAsia="宋体"/>
                <w:sz w:val="20"/>
              </w:rPr>
              <w:t>3个及以上维度异常</w:t>
            </w:r>
          </w:p>
        </w:tc>
        <w:tc>
          <w:tcPr>
            <w:tcW w:type="dxa" w:w="1441"/>
          </w:tcPr>
          <w:p>
            <w:pPr>
              <w:jc w:val="center"/>
            </w:pPr>
            <w:r>
              <w:rPr>
                <w:rFonts w:ascii="宋体" w:hAnsi="宋体" w:eastAsia="宋体"/>
                <w:sz w:val="20"/>
              </w:rPr>
              <w:t>严重偏离，需帮扶</w:t>
            </w:r>
          </w:p>
        </w:tc>
        <w:tc>
          <w:tcPr>
            <w:tcW w:type="dxa" w:w="1441"/>
          </w:tcPr>
          <w:p>
            <w:pPr>
              <w:jc w:val="center"/>
            </w:pPr>
            <w:r>
              <w:rPr>
                <w:rFonts w:ascii="宋体" w:hAnsi="宋体" w:eastAsia="宋体"/>
                <w:sz w:val="20"/>
              </w:rPr>
              <w:t>制定"一户一策"帮扶方案</w:t>
            </w:r>
          </w:p>
        </w:tc>
        <w:tc>
          <w:tcPr>
            <w:tcW w:type="dxa" w:w="1441"/>
          </w:tcPr>
          <w:p>
            <w:pPr>
              <w:jc w:val="center"/>
            </w:pPr>
            <w:r>
              <w:rPr>
                <w:rFonts w:ascii="宋体" w:hAnsi="宋体" w:eastAsia="宋体"/>
                <w:sz w:val="20"/>
              </w:rPr>
              <w:t>1个工作日内</w:t>
            </w:r>
          </w:p>
        </w:tc>
        <w:tc>
          <w:tcPr>
            <w:tcW w:type="dxa" w:w="1441"/>
          </w:tcPr>
          <w:p>
            <w:pPr>
              <w:jc w:val="center"/>
            </w:pPr>
            <w:r>
              <w:rPr>
                <w:rFonts w:ascii="宋体" w:hAnsi="宋体" w:eastAsia="宋体"/>
                <w:sz w:val="20"/>
              </w:rPr>
              <w:t>市场经理+营销部门</w:t>
            </w:r>
          </w:p>
        </w:tc>
      </w:tr>
    </w:tbl>
    <w:p>
      <w:pPr>
        <w:spacing w:line="360" w:lineRule="auto"/>
      </w:pPr>
      <w:r>
        <w:rPr>
          <w:rFonts w:ascii="宋体" w:hAnsi="宋体" w:eastAsia="宋体"/>
          <w:b/>
          <w:sz w:val="24"/>
        </w:rPr>
        <w:t>表5  异常分级标准与响应措施</w:t>
      </w:r>
    </w:p>
    <w:p>
      <w:pPr>
        <w:spacing w:line="360" w:lineRule="auto"/>
        <w:ind w:firstLine="420"/>
      </w:pPr>
      <w:r>
        <w:rPr>
          <w:rFonts w:ascii="宋体" w:hAnsi="宋体" w:eastAsia="宋体"/>
          <w:b w:val="0"/>
          <w:sz w:val="24"/>
        </w:rPr>
        <w:t>阈值设定方法综合运用三种策略：基于历史数据统计，通过分析历史异常案例的分布特征，确定各类异常的统计阈值；基于专家经验判断，征求营销、专卖等部门业务专家的意见，结合实际业务场景调整阈值；基于业务场景调整，针对不同终端类型、不同区域、不同季节设定差异化阈值，提高识别的精准性。</w:t>
      </w:r>
    </w:p>
    <w:p>
      <w:pPr>
        <w:pStyle w:val="Heading2"/>
      </w:pPr>
      <w:r>
        <w:rPr>
          <w:rFonts w:ascii="黑体" w:hAnsi="黑体" w:eastAsia="黑体"/>
          <w:color w:val="000000"/>
        </w:rPr>
        <w:t>（四）智能预警机制设计</w:t>
      </w:r>
    </w:p>
    <w:p>
      <w:pPr>
        <w:spacing w:line="360" w:lineRule="auto"/>
        <w:ind w:firstLine="420"/>
      </w:pPr>
      <w:r>
        <w:rPr>
          <w:rFonts w:ascii="宋体" w:hAnsi="宋体" w:eastAsia="宋体"/>
          <w:b w:val="0"/>
          <w:sz w:val="24"/>
        </w:rPr>
        <w:t>预警触发机制包括三种方式：实时监测触发，系统持续监测终端运营数据，一旦检测到异常立即触发预警；周期性扫描触发，系统每日、每周定期扫描所有终端，识别累积性异常；人工查询触发，管理人员可主动查询特定终端或区域的异常情况。</w:t>
      </w:r>
    </w:p>
    <w:p>
      <w:pPr>
        <w:spacing w:line="360" w:lineRule="auto"/>
        <w:ind w:firstLine="420"/>
      </w:pPr>
      <w:r>
        <w:rPr>
          <w:rFonts w:ascii="宋体" w:hAnsi="宋体" w:eastAsia="宋体"/>
          <w:b w:val="0"/>
          <w:sz w:val="24"/>
        </w:rPr>
        <w:t>预警推送机制根据预警等级确定推送对象、方式和内容。推送对象包括客户经理、市场经理、营销部门负责人，预警等级越高，推送层级越高。推送方式包括系统消息、短信、微信等，确保预警信息及时送达。推送内容包括异常类型、异常程度、异常指标、建议措施等，为响应提供决策依据。</w:t>
      </w:r>
    </w:p>
    <w:p>
      <w:pPr>
        <w:spacing w:line="360" w:lineRule="auto"/>
        <w:ind w:firstLine="420"/>
      </w:pPr>
      <w:r>
        <w:rPr>
          <w:rFonts w:ascii="宋体" w:hAnsi="宋体" w:eastAsia="宋体"/>
          <w:b w:val="0"/>
          <w:sz w:val="24"/>
        </w:rPr>
        <w:t>预警处置机制建立完整的处置流程：接收→核实→处置→反馈→归档。接收环节确认预警信息，核实环节实地或线上核实异常情况，处置环节采取相应措施，反馈环节记录处置结果，归档环节保存完整记录。处置时限按预警等级设定，确保响应及时性。处置记录全程留痕、可追溯，为后续分析和优化提供依据。</w:t>
      </w:r>
    </w:p>
    <w:p>
      <w:pPr>
        <w:spacing w:line="360" w:lineRule="auto"/>
        <w:ind w:firstLine="420"/>
      </w:pPr>
      <w:r>
        <w:rPr>
          <w:rFonts w:ascii="宋体" w:hAnsi="宋体" w:eastAsia="宋体"/>
          <w:b w:val="0"/>
          <w:sz w:val="24"/>
        </w:rPr>
        <w:t>预警评估机制对预警效果进行持续评估。预警准确率评估通过统计预警结果与实际核实结果的匹配度，计算准确率、误报率、漏报率。处置及时性评估通过统计处置时效与规定时限的符合率，评估响应及时性。效果反馈评估通过跟踪处置后终端经营状况的改善情况，评估预警的实际价值。评估结果用于优化识别算法和预警阈值，形成持续改进闭环。</w:t>
      </w:r>
    </w:p>
    <w:p>
      <w:pPr>
        <w:pStyle w:val="Heading1"/>
      </w:pPr>
      <w:r>
        <w:rPr>
          <w:rFonts w:ascii="黑体" w:hAnsi="黑体" w:eastAsia="黑体"/>
          <w:color w:val="000000"/>
        </w:rPr>
        <w:t>五、实证验证与应用路径</w:t>
      </w:r>
    </w:p>
    <w:p>
      <w:pPr>
        <w:pStyle w:val="Heading2"/>
      </w:pPr>
      <w:r>
        <w:rPr>
          <w:rFonts w:ascii="黑体" w:hAnsi="黑体" w:eastAsia="黑体"/>
          <w:color w:val="000000"/>
        </w:rPr>
        <w:t>（一）实证对象与数据来源</w:t>
      </w:r>
    </w:p>
    <w:p>
      <w:pPr>
        <w:spacing w:line="360" w:lineRule="auto"/>
        <w:ind w:firstLine="420"/>
      </w:pPr>
      <w:r>
        <w:rPr>
          <w:rFonts w:ascii="宋体" w:hAnsi="宋体" w:eastAsia="宋体"/>
          <w:b w:val="0"/>
          <w:sz w:val="24"/>
        </w:rPr>
        <w:t>实证对象为兴山县烟草专卖局（营销部）辖区内的95家有效样本终端，时间范围为2025年4月至5月。数据来源包括营销子系统"知音通"扫码数据、店铺运营情况表销售数据、在线监测系统行为数据、终端档案系统属性数据。</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0"/>
              </w:rPr>
              <w:t>数据类型</w:t>
            </w:r>
          </w:p>
        </w:tc>
        <w:tc>
          <w:tcPr>
            <w:tcW w:type="dxa" w:w="1729"/>
          </w:tcPr>
          <w:p>
            <w:pPr>
              <w:jc w:val="center"/>
            </w:pPr>
            <w:r>
              <w:rPr>
                <w:rFonts w:ascii="宋体" w:hAnsi="宋体" w:eastAsia="宋体"/>
                <w:b/>
                <w:sz w:val="20"/>
              </w:rPr>
              <w:t>数据来源</w:t>
            </w:r>
          </w:p>
        </w:tc>
        <w:tc>
          <w:tcPr>
            <w:tcW w:type="dxa" w:w="1729"/>
          </w:tcPr>
          <w:p>
            <w:pPr>
              <w:jc w:val="center"/>
            </w:pPr>
            <w:r>
              <w:rPr>
                <w:rFonts w:ascii="宋体" w:hAnsi="宋体" w:eastAsia="宋体"/>
                <w:b/>
                <w:sz w:val="20"/>
              </w:rPr>
              <w:t>时间范围</w:t>
            </w:r>
          </w:p>
        </w:tc>
        <w:tc>
          <w:tcPr>
            <w:tcW w:type="dxa" w:w="1729"/>
          </w:tcPr>
          <w:p>
            <w:pPr>
              <w:jc w:val="center"/>
            </w:pPr>
            <w:r>
              <w:rPr>
                <w:rFonts w:ascii="宋体" w:hAnsi="宋体" w:eastAsia="宋体"/>
                <w:b/>
                <w:sz w:val="20"/>
              </w:rPr>
              <w:t>样本量</w:t>
            </w:r>
          </w:p>
        </w:tc>
        <w:tc>
          <w:tcPr>
            <w:tcW w:type="dxa" w:w="1729"/>
          </w:tcPr>
          <w:p>
            <w:pPr>
              <w:jc w:val="center"/>
            </w:pPr>
            <w:r>
              <w:rPr>
                <w:rFonts w:ascii="宋体" w:hAnsi="宋体" w:eastAsia="宋体"/>
                <w:b/>
                <w:sz w:val="20"/>
              </w:rPr>
              <w:t>主要字段</w:t>
            </w:r>
          </w:p>
        </w:tc>
      </w:tr>
      <w:tr>
        <w:tc>
          <w:tcPr>
            <w:tcW w:type="dxa" w:w="1729"/>
          </w:tcPr>
          <w:p>
            <w:pPr>
              <w:jc w:val="center"/>
            </w:pPr>
            <w:r>
              <w:rPr>
                <w:rFonts w:ascii="宋体" w:hAnsi="宋体" w:eastAsia="宋体"/>
                <w:sz w:val="20"/>
              </w:rPr>
              <w:t>扫码数据</w:t>
            </w:r>
          </w:p>
        </w:tc>
        <w:tc>
          <w:tcPr>
            <w:tcW w:type="dxa" w:w="1729"/>
          </w:tcPr>
          <w:p>
            <w:pPr>
              <w:jc w:val="center"/>
            </w:pPr>
            <w:r>
              <w:rPr>
                <w:rFonts w:ascii="宋体" w:hAnsi="宋体" w:eastAsia="宋体"/>
                <w:sz w:val="20"/>
              </w:rPr>
              <w:t>营销子系统"知音通"</w:t>
            </w:r>
          </w:p>
        </w:tc>
        <w:tc>
          <w:tcPr>
            <w:tcW w:type="dxa" w:w="1729"/>
          </w:tcPr>
          <w:p>
            <w:pPr>
              <w:jc w:val="center"/>
            </w:pPr>
            <w:r>
              <w:rPr>
                <w:rFonts w:ascii="宋体" w:hAnsi="宋体" w:eastAsia="宋体"/>
                <w:sz w:val="20"/>
              </w:rPr>
              <w:t>2025.4-5</w:t>
            </w:r>
          </w:p>
        </w:tc>
        <w:tc>
          <w:tcPr>
            <w:tcW w:type="dxa" w:w="1729"/>
          </w:tcPr>
          <w:p>
            <w:pPr>
              <w:jc w:val="center"/>
            </w:pPr>
            <w:r>
              <w:rPr>
                <w:rFonts w:ascii="宋体" w:hAnsi="宋体" w:eastAsia="宋体"/>
                <w:sz w:val="20"/>
              </w:rPr>
              <w:t>95家</w:t>
            </w:r>
          </w:p>
        </w:tc>
        <w:tc>
          <w:tcPr>
            <w:tcW w:type="dxa" w:w="1729"/>
          </w:tcPr>
          <w:p>
            <w:pPr>
              <w:jc w:val="center"/>
            </w:pPr>
            <w:r>
              <w:rPr>
                <w:rFonts w:ascii="宋体" w:hAnsi="宋体" w:eastAsia="宋体"/>
                <w:sz w:val="20"/>
              </w:rPr>
              <w:t>扫码笔数、日均扫码笔数</w:t>
            </w:r>
          </w:p>
        </w:tc>
      </w:tr>
      <w:tr>
        <w:tc>
          <w:tcPr>
            <w:tcW w:type="dxa" w:w="1729"/>
          </w:tcPr>
          <w:p>
            <w:pPr>
              <w:jc w:val="center"/>
            </w:pPr>
            <w:r>
              <w:rPr>
                <w:rFonts w:ascii="宋体" w:hAnsi="宋体" w:eastAsia="宋体"/>
                <w:sz w:val="20"/>
              </w:rPr>
              <w:t>销售数据</w:t>
            </w:r>
          </w:p>
        </w:tc>
        <w:tc>
          <w:tcPr>
            <w:tcW w:type="dxa" w:w="1729"/>
          </w:tcPr>
          <w:p>
            <w:pPr>
              <w:jc w:val="center"/>
            </w:pPr>
            <w:r>
              <w:rPr>
                <w:rFonts w:ascii="宋体" w:hAnsi="宋体" w:eastAsia="宋体"/>
                <w:sz w:val="20"/>
              </w:rPr>
              <w:t>店铺运营情况表</w:t>
            </w:r>
          </w:p>
        </w:tc>
        <w:tc>
          <w:tcPr>
            <w:tcW w:type="dxa" w:w="1729"/>
          </w:tcPr>
          <w:p>
            <w:pPr>
              <w:jc w:val="center"/>
            </w:pPr>
            <w:r>
              <w:rPr>
                <w:rFonts w:ascii="宋体" w:hAnsi="宋体" w:eastAsia="宋体"/>
                <w:sz w:val="20"/>
              </w:rPr>
              <w:t>2025.4-5</w:t>
            </w:r>
          </w:p>
        </w:tc>
        <w:tc>
          <w:tcPr>
            <w:tcW w:type="dxa" w:w="1729"/>
          </w:tcPr>
          <w:p>
            <w:pPr>
              <w:jc w:val="center"/>
            </w:pPr>
            <w:r>
              <w:rPr>
                <w:rFonts w:ascii="宋体" w:hAnsi="宋体" w:eastAsia="宋体"/>
                <w:sz w:val="20"/>
              </w:rPr>
              <w:t>95家</w:t>
            </w:r>
          </w:p>
        </w:tc>
        <w:tc>
          <w:tcPr>
            <w:tcW w:type="dxa" w:w="1729"/>
          </w:tcPr>
          <w:p>
            <w:pPr>
              <w:jc w:val="center"/>
            </w:pPr>
            <w:r>
              <w:rPr>
                <w:rFonts w:ascii="宋体" w:hAnsi="宋体" w:eastAsia="宋体"/>
                <w:sz w:val="20"/>
              </w:rPr>
              <w:t>销售金额、毛利、毛利率</w:t>
            </w:r>
          </w:p>
        </w:tc>
      </w:tr>
      <w:tr>
        <w:tc>
          <w:tcPr>
            <w:tcW w:type="dxa" w:w="1729"/>
          </w:tcPr>
          <w:p>
            <w:pPr>
              <w:jc w:val="center"/>
            </w:pPr>
            <w:r>
              <w:rPr>
                <w:rFonts w:ascii="宋体" w:hAnsi="宋体" w:eastAsia="宋体"/>
                <w:sz w:val="20"/>
              </w:rPr>
              <w:t>行为数据</w:t>
            </w:r>
          </w:p>
        </w:tc>
        <w:tc>
          <w:tcPr>
            <w:tcW w:type="dxa" w:w="1729"/>
          </w:tcPr>
          <w:p>
            <w:pPr>
              <w:jc w:val="center"/>
            </w:pPr>
            <w:r>
              <w:rPr>
                <w:rFonts w:ascii="宋体" w:hAnsi="宋体" w:eastAsia="宋体"/>
                <w:sz w:val="20"/>
              </w:rPr>
              <w:t>在线监测系统</w:t>
            </w:r>
          </w:p>
        </w:tc>
        <w:tc>
          <w:tcPr>
            <w:tcW w:type="dxa" w:w="1729"/>
          </w:tcPr>
          <w:p>
            <w:pPr>
              <w:jc w:val="center"/>
            </w:pPr>
            <w:r>
              <w:rPr>
                <w:rFonts w:ascii="宋体" w:hAnsi="宋体" w:eastAsia="宋体"/>
                <w:sz w:val="20"/>
              </w:rPr>
              <w:t>2025.4-5</w:t>
            </w:r>
          </w:p>
        </w:tc>
        <w:tc>
          <w:tcPr>
            <w:tcW w:type="dxa" w:w="1729"/>
          </w:tcPr>
          <w:p>
            <w:pPr>
              <w:jc w:val="center"/>
            </w:pPr>
            <w:r>
              <w:rPr>
                <w:rFonts w:ascii="宋体" w:hAnsi="宋体" w:eastAsia="宋体"/>
                <w:sz w:val="20"/>
              </w:rPr>
              <w:t>95家</w:t>
            </w:r>
          </w:p>
        </w:tc>
        <w:tc>
          <w:tcPr>
            <w:tcW w:type="dxa" w:w="1729"/>
          </w:tcPr>
          <w:p>
            <w:pPr>
              <w:jc w:val="center"/>
            </w:pPr>
            <w:r>
              <w:rPr>
                <w:rFonts w:ascii="宋体" w:hAnsi="宋体" w:eastAsia="宋体"/>
                <w:sz w:val="20"/>
              </w:rPr>
              <w:t>在线天数、在线时长、开通天数</w:t>
            </w:r>
          </w:p>
        </w:tc>
      </w:tr>
      <w:tr>
        <w:tc>
          <w:tcPr>
            <w:tcW w:type="dxa" w:w="1729"/>
          </w:tcPr>
          <w:p>
            <w:pPr>
              <w:jc w:val="center"/>
            </w:pPr>
            <w:r>
              <w:rPr>
                <w:rFonts w:ascii="宋体" w:hAnsi="宋体" w:eastAsia="宋体"/>
                <w:sz w:val="20"/>
              </w:rPr>
              <w:t>属性数据</w:t>
            </w:r>
          </w:p>
        </w:tc>
        <w:tc>
          <w:tcPr>
            <w:tcW w:type="dxa" w:w="1729"/>
          </w:tcPr>
          <w:p>
            <w:pPr>
              <w:jc w:val="center"/>
            </w:pPr>
            <w:r>
              <w:rPr>
                <w:rFonts w:ascii="宋体" w:hAnsi="宋体" w:eastAsia="宋体"/>
                <w:sz w:val="20"/>
              </w:rPr>
              <w:t>终端档案系统</w:t>
            </w:r>
          </w:p>
        </w:tc>
        <w:tc>
          <w:tcPr>
            <w:tcW w:type="dxa" w:w="1729"/>
          </w:tcPr>
          <w:p>
            <w:pPr>
              <w:jc w:val="center"/>
            </w:pPr>
            <w:r>
              <w:rPr>
                <w:rFonts w:ascii="宋体" w:hAnsi="宋体" w:eastAsia="宋体"/>
                <w:sz w:val="20"/>
              </w:rPr>
              <w:t>2025</w:t>
            </w:r>
          </w:p>
        </w:tc>
        <w:tc>
          <w:tcPr>
            <w:tcW w:type="dxa" w:w="1729"/>
          </w:tcPr>
          <w:p>
            <w:pPr>
              <w:jc w:val="center"/>
            </w:pPr>
            <w:r>
              <w:rPr>
                <w:rFonts w:ascii="宋体" w:hAnsi="宋体" w:eastAsia="宋体"/>
                <w:sz w:val="20"/>
              </w:rPr>
              <w:t>95家</w:t>
            </w:r>
          </w:p>
        </w:tc>
        <w:tc>
          <w:tcPr>
            <w:tcW w:type="dxa" w:w="1729"/>
          </w:tcPr>
          <w:p>
            <w:pPr>
              <w:jc w:val="center"/>
            </w:pPr>
            <w:r>
              <w:rPr>
                <w:rFonts w:ascii="宋体" w:hAnsi="宋体" w:eastAsia="宋体"/>
                <w:sz w:val="20"/>
              </w:rPr>
              <w:t>终端类型、客户编码、所属区域</w:t>
            </w:r>
          </w:p>
        </w:tc>
      </w:tr>
    </w:tbl>
    <w:p>
      <w:pPr>
        <w:spacing w:line="360" w:lineRule="auto"/>
      </w:pPr>
      <w:r>
        <w:rPr>
          <w:rFonts w:ascii="宋体" w:hAnsi="宋体" w:eastAsia="宋体"/>
          <w:b/>
          <w:sz w:val="24"/>
        </w:rPr>
        <w:t>表6  实证数据来源情况</w:t>
      </w:r>
    </w:p>
    <w:p>
      <w:pPr>
        <w:pStyle w:val="Heading2"/>
      </w:pPr>
      <w:r>
        <w:rPr>
          <w:rFonts w:ascii="黑体" w:hAnsi="黑体" w:eastAsia="黑体"/>
          <w:color w:val="000000"/>
        </w:rPr>
        <w:t>（二）异常识别效果验证</w:t>
      </w:r>
    </w:p>
    <w:p>
      <w:pPr>
        <w:spacing w:line="360" w:lineRule="auto"/>
        <w:ind w:firstLine="420"/>
      </w:pPr>
      <w:r>
        <w:rPr>
          <w:rFonts w:ascii="宋体" w:hAnsi="宋体" w:eastAsia="宋体"/>
          <w:b w:val="0"/>
          <w:sz w:val="24"/>
        </w:rPr>
        <w:t>应用"三层次四维度"异常识别体系对95家终端进行异常识别，共识别出异常终端24家，占比25.3%。其中，统计异常7家（占比7.4%），识别准确率92.3%，平均预警提前量7.2天；模式异常12家（占比12.6%），识别准确率87.5%，平均预警提前量14.5天；关联异常5家（占比5.3%），识别准确率85.0%，平均预警提前量5.8天。整体平均识别准确率88.3%，平均预警提前量8.7天，平均处置时效2.1个工作日。</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宋体" w:hAnsi="宋体" w:eastAsia="宋体"/>
                <w:b/>
                <w:sz w:val="20"/>
              </w:rPr>
              <w:t>异常类型</w:t>
            </w:r>
          </w:p>
        </w:tc>
        <w:tc>
          <w:tcPr>
            <w:tcW w:type="dxa" w:w="1441"/>
          </w:tcPr>
          <w:p>
            <w:pPr>
              <w:jc w:val="center"/>
            </w:pPr>
            <w:r>
              <w:rPr>
                <w:rFonts w:ascii="宋体" w:hAnsi="宋体" w:eastAsia="宋体"/>
                <w:b/>
                <w:sz w:val="20"/>
              </w:rPr>
              <w:t>识别数量</w:t>
            </w:r>
          </w:p>
        </w:tc>
        <w:tc>
          <w:tcPr>
            <w:tcW w:type="dxa" w:w="1441"/>
          </w:tcPr>
          <w:p>
            <w:pPr>
              <w:jc w:val="center"/>
            </w:pPr>
            <w:r>
              <w:rPr>
                <w:rFonts w:ascii="宋体" w:hAnsi="宋体" w:eastAsia="宋体"/>
                <w:b/>
                <w:sz w:val="20"/>
              </w:rPr>
              <w:t>占比</w:t>
            </w:r>
          </w:p>
        </w:tc>
        <w:tc>
          <w:tcPr>
            <w:tcW w:type="dxa" w:w="1441"/>
          </w:tcPr>
          <w:p>
            <w:pPr>
              <w:jc w:val="center"/>
            </w:pPr>
            <w:r>
              <w:rPr>
                <w:rFonts w:ascii="宋体" w:hAnsi="宋体" w:eastAsia="宋体"/>
                <w:b/>
                <w:sz w:val="20"/>
              </w:rPr>
              <w:t>识别准确率</w:t>
            </w:r>
          </w:p>
        </w:tc>
        <w:tc>
          <w:tcPr>
            <w:tcW w:type="dxa" w:w="1441"/>
          </w:tcPr>
          <w:p>
            <w:pPr>
              <w:jc w:val="center"/>
            </w:pPr>
            <w:r>
              <w:rPr>
                <w:rFonts w:ascii="宋体" w:hAnsi="宋体" w:eastAsia="宋体"/>
                <w:b/>
                <w:sz w:val="20"/>
              </w:rPr>
              <w:t>预警提前量</w:t>
            </w:r>
          </w:p>
        </w:tc>
        <w:tc>
          <w:tcPr>
            <w:tcW w:type="dxa" w:w="1441"/>
          </w:tcPr>
          <w:p>
            <w:pPr>
              <w:jc w:val="center"/>
            </w:pPr>
            <w:r>
              <w:rPr>
                <w:rFonts w:ascii="宋体" w:hAnsi="宋体" w:eastAsia="宋体"/>
                <w:b/>
                <w:sz w:val="20"/>
              </w:rPr>
              <w:t>平均处置时效</w:t>
            </w:r>
          </w:p>
        </w:tc>
      </w:tr>
      <w:tr>
        <w:tc>
          <w:tcPr>
            <w:tcW w:type="dxa" w:w="1441"/>
          </w:tcPr>
          <w:p>
            <w:pPr>
              <w:jc w:val="center"/>
            </w:pPr>
            <w:r>
              <w:rPr>
                <w:rFonts w:ascii="宋体" w:hAnsi="宋体" w:eastAsia="宋体"/>
                <w:sz w:val="20"/>
              </w:rPr>
              <w:t>统计异常</w:t>
            </w:r>
          </w:p>
        </w:tc>
        <w:tc>
          <w:tcPr>
            <w:tcW w:type="dxa" w:w="1441"/>
          </w:tcPr>
          <w:p>
            <w:pPr>
              <w:jc w:val="center"/>
            </w:pPr>
            <w:r>
              <w:rPr>
                <w:rFonts w:ascii="宋体" w:hAnsi="宋体" w:eastAsia="宋体"/>
                <w:sz w:val="20"/>
              </w:rPr>
              <w:t>7家</w:t>
            </w:r>
          </w:p>
        </w:tc>
        <w:tc>
          <w:tcPr>
            <w:tcW w:type="dxa" w:w="1441"/>
          </w:tcPr>
          <w:p>
            <w:pPr>
              <w:jc w:val="center"/>
            </w:pPr>
            <w:r>
              <w:rPr>
                <w:rFonts w:ascii="宋体" w:hAnsi="宋体" w:eastAsia="宋体"/>
                <w:sz w:val="20"/>
              </w:rPr>
              <w:t>7.4%</w:t>
            </w:r>
          </w:p>
        </w:tc>
        <w:tc>
          <w:tcPr>
            <w:tcW w:type="dxa" w:w="1441"/>
          </w:tcPr>
          <w:p>
            <w:pPr>
              <w:jc w:val="center"/>
            </w:pPr>
            <w:r>
              <w:rPr>
                <w:rFonts w:ascii="宋体" w:hAnsi="宋体" w:eastAsia="宋体"/>
                <w:sz w:val="20"/>
              </w:rPr>
              <w:t>92.3%</w:t>
            </w:r>
          </w:p>
        </w:tc>
        <w:tc>
          <w:tcPr>
            <w:tcW w:type="dxa" w:w="1441"/>
          </w:tcPr>
          <w:p>
            <w:pPr>
              <w:jc w:val="center"/>
            </w:pPr>
            <w:r>
              <w:rPr>
                <w:rFonts w:ascii="宋体" w:hAnsi="宋体" w:eastAsia="宋体"/>
                <w:sz w:val="20"/>
              </w:rPr>
              <w:t>7.2天</w:t>
            </w:r>
          </w:p>
        </w:tc>
        <w:tc>
          <w:tcPr>
            <w:tcW w:type="dxa" w:w="1441"/>
          </w:tcPr>
          <w:p>
            <w:pPr>
              <w:jc w:val="center"/>
            </w:pPr>
            <w:r>
              <w:rPr>
                <w:rFonts w:ascii="宋体" w:hAnsi="宋体" w:eastAsia="宋体"/>
                <w:sz w:val="20"/>
              </w:rPr>
              <w:t>1.3个工作日</w:t>
            </w:r>
          </w:p>
        </w:tc>
      </w:tr>
      <w:tr>
        <w:tc>
          <w:tcPr>
            <w:tcW w:type="dxa" w:w="1441"/>
          </w:tcPr>
          <w:p>
            <w:pPr>
              <w:jc w:val="center"/>
            </w:pPr>
            <w:r>
              <w:rPr>
                <w:rFonts w:ascii="宋体" w:hAnsi="宋体" w:eastAsia="宋体"/>
                <w:sz w:val="20"/>
              </w:rPr>
              <w:t>模式异常</w:t>
            </w:r>
          </w:p>
        </w:tc>
        <w:tc>
          <w:tcPr>
            <w:tcW w:type="dxa" w:w="1441"/>
          </w:tcPr>
          <w:p>
            <w:pPr>
              <w:jc w:val="center"/>
            </w:pPr>
            <w:r>
              <w:rPr>
                <w:rFonts w:ascii="宋体" w:hAnsi="宋体" w:eastAsia="宋体"/>
                <w:sz w:val="20"/>
              </w:rPr>
              <w:t>12家</w:t>
            </w:r>
          </w:p>
        </w:tc>
        <w:tc>
          <w:tcPr>
            <w:tcW w:type="dxa" w:w="1441"/>
          </w:tcPr>
          <w:p>
            <w:pPr>
              <w:jc w:val="center"/>
            </w:pPr>
            <w:r>
              <w:rPr>
                <w:rFonts w:ascii="宋体" w:hAnsi="宋体" w:eastAsia="宋体"/>
                <w:sz w:val="20"/>
              </w:rPr>
              <w:t>12.6%</w:t>
            </w:r>
          </w:p>
        </w:tc>
        <w:tc>
          <w:tcPr>
            <w:tcW w:type="dxa" w:w="1441"/>
          </w:tcPr>
          <w:p>
            <w:pPr>
              <w:jc w:val="center"/>
            </w:pPr>
            <w:r>
              <w:rPr>
                <w:rFonts w:ascii="宋体" w:hAnsi="宋体" w:eastAsia="宋体"/>
                <w:sz w:val="20"/>
              </w:rPr>
              <w:t>87.5%</w:t>
            </w:r>
          </w:p>
        </w:tc>
        <w:tc>
          <w:tcPr>
            <w:tcW w:type="dxa" w:w="1441"/>
          </w:tcPr>
          <w:p>
            <w:pPr>
              <w:jc w:val="center"/>
            </w:pPr>
            <w:r>
              <w:rPr>
                <w:rFonts w:ascii="宋体" w:hAnsi="宋体" w:eastAsia="宋体"/>
                <w:sz w:val="20"/>
              </w:rPr>
              <w:t>14.5天</w:t>
            </w:r>
          </w:p>
        </w:tc>
        <w:tc>
          <w:tcPr>
            <w:tcW w:type="dxa" w:w="1441"/>
          </w:tcPr>
          <w:p>
            <w:pPr>
              <w:jc w:val="center"/>
            </w:pPr>
            <w:r>
              <w:rPr>
                <w:rFonts w:ascii="宋体" w:hAnsi="宋体" w:eastAsia="宋体"/>
                <w:sz w:val="20"/>
              </w:rPr>
              <w:t>2.1个工作日</w:t>
            </w:r>
          </w:p>
        </w:tc>
      </w:tr>
      <w:tr>
        <w:tc>
          <w:tcPr>
            <w:tcW w:type="dxa" w:w="1441"/>
          </w:tcPr>
          <w:p>
            <w:pPr>
              <w:jc w:val="center"/>
            </w:pPr>
            <w:r>
              <w:rPr>
                <w:rFonts w:ascii="宋体" w:hAnsi="宋体" w:eastAsia="宋体"/>
                <w:sz w:val="20"/>
              </w:rPr>
              <w:t>关联异常</w:t>
            </w:r>
          </w:p>
        </w:tc>
        <w:tc>
          <w:tcPr>
            <w:tcW w:type="dxa" w:w="1441"/>
          </w:tcPr>
          <w:p>
            <w:pPr>
              <w:jc w:val="center"/>
            </w:pPr>
            <w:r>
              <w:rPr>
                <w:rFonts w:ascii="宋体" w:hAnsi="宋体" w:eastAsia="宋体"/>
                <w:sz w:val="20"/>
              </w:rPr>
              <w:t>5家</w:t>
            </w:r>
          </w:p>
        </w:tc>
        <w:tc>
          <w:tcPr>
            <w:tcW w:type="dxa" w:w="1441"/>
          </w:tcPr>
          <w:p>
            <w:pPr>
              <w:jc w:val="center"/>
            </w:pPr>
            <w:r>
              <w:rPr>
                <w:rFonts w:ascii="宋体" w:hAnsi="宋体" w:eastAsia="宋体"/>
                <w:sz w:val="20"/>
              </w:rPr>
              <w:t>5.3%</w:t>
            </w:r>
          </w:p>
        </w:tc>
        <w:tc>
          <w:tcPr>
            <w:tcW w:type="dxa" w:w="1441"/>
          </w:tcPr>
          <w:p>
            <w:pPr>
              <w:jc w:val="center"/>
            </w:pPr>
            <w:r>
              <w:rPr>
                <w:rFonts w:ascii="宋体" w:hAnsi="宋体" w:eastAsia="宋体"/>
                <w:sz w:val="20"/>
              </w:rPr>
              <w:t>85.0%</w:t>
            </w:r>
          </w:p>
        </w:tc>
        <w:tc>
          <w:tcPr>
            <w:tcW w:type="dxa" w:w="1441"/>
          </w:tcPr>
          <w:p>
            <w:pPr>
              <w:jc w:val="center"/>
            </w:pPr>
            <w:r>
              <w:rPr>
                <w:rFonts w:ascii="宋体" w:hAnsi="宋体" w:eastAsia="宋体"/>
                <w:sz w:val="20"/>
              </w:rPr>
              <w:t>5.8天</w:t>
            </w:r>
          </w:p>
        </w:tc>
        <w:tc>
          <w:tcPr>
            <w:tcW w:type="dxa" w:w="1441"/>
          </w:tcPr>
          <w:p>
            <w:pPr>
              <w:jc w:val="center"/>
            </w:pPr>
            <w:r>
              <w:rPr>
                <w:rFonts w:ascii="宋体" w:hAnsi="宋体" w:eastAsia="宋体"/>
                <w:sz w:val="20"/>
              </w:rPr>
              <w:t>2.8个工作日</w:t>
            </w:r>
          </w:p>
        </w:tc>
      </w:tr>
      <w:tr>
        <w:tc>
          <w:tcPr>
            <w:tcW w:type="dxa" w:w="1441"/>
          </w:tcPr>
          <w:p>
            <w:pPr>
              <w:jc w:val="center"/>
            </w:pPr>
            <w:r>
              <w:rPr>
                <w:rFonts w:ascii="宋体" w:hAnsi="宋体" w:eastAsia="宋体"/>
                <w:sz w:val="20"/>
              </w:rPr>
              <w:t>合计</w:t>
            </w:r>
          </w:p>
        </w:tc>
        <w:tc>
          <w:tcPr>
            <w:tcW w:type="dxa" w:w="1441"/>
          </w:tcPr>
          <w:p>
            <w:pPr>
              <w:jc w:val="center"/>
            </w:pPr>
            <w:r>
              <w:rPr>
                <w:rFonts w:ascii="宋体" w:hAnsi="宋体" w:eastAsia="宋体"/>
                <w:sz w:val="20"/>
              </w:rPr>
              <w:t>24家</w:t>
            </w:r>
          </w:p>
        </w:tc>
        <w:tc>
          <w:tcPr>
            <w:tcW w:type="dxa" w:w="1441"/>
          </w:tcPr>
          <w:p>
            <w:pPr>
              <w:jc w:val="center"/>
            </w:pPr>
            <w:r>
              <w:rPr>
                <w:rFonts w:ascii="宋体" w:hAnsi="宋体" w:eastAsia="宋体"/>
                <w:sz w:val="20"/>
              </w:rPr>
              <w:t>25.3%</w:t>
            </w:r>
          </w:p>
        </w:tc>
        <w:tc>
          <w:tcPr>
            <w:tcW w:type="dxa" w:w="1441"/>
          </w:tcPr>
          <w:p>
            <w:pPr>
              <w:jc w:val="center"/>
            </w:pPr>
            <w:r>
              <w:rPr>
                <w:rFonts w:ascii="宋体" w:hAnsi="宋体" w:eastAsia="宋体"/>
                <w:sz w:val="20"/>
              </w:rPr>
              <w:t>88.3%</w:t>
            </w:r>
          </w:p>
        </w:tc>
        <w:tc>
          <w:tcPr>
            <w:tcW w:type="dxa" w:w="1441"/>
          </w:tcPr>
          <w:p>
            <w:pPr>
              <w:jc w:val="center"/>
            </w:pPr>
            <w:r>
              <w:rPr>
                <w:rFonts w:ascii="宋体" w:hAnsi="宋体" w:eastAsia="宋体"/>
                <w:sz w:val="20"/>
              </w:rPr>
              <w:t>8.7天</w:t>
            </w:r>
          </w:p>
        </w:tc>
        <w:tc>
          <w:tcPr>
            <w:tcW w:type="dxa" w:w="1441"/>
          </w:tcPr>
          <w:p>
            <w:pPr>
              <w:jc w:val="center"/>
            </w:pPr>
            <w:r>
              <w:rPr>
                <w:rFonts w:ascii="宋体" w:hAnsi="宋体" w:eastAsia="宋体"/>
                <w:sz w:val="20"/>
              </w:rPr>
              <w:t>2.1个工作日</w:t>
            </w:r>
          </w:p>
        </w:tc>
      </w:tr>
    </w:tbl>
    <w:p>
      <w:pPr>
        <w:spacing w:line="360" w:lineRule="auto"/>
      </w:pPr>
      <w:r>
        <w:rPr>
          <w:rFonts w:ascii="宋体" w:hAnsi="宋体" w:eastAsia="宋体"/>
          <w:b/>
          <w:sz w:val="24"/>
        </w:rPr>
        <w:t>表7  异常识别整体效果</w:t>
      </w:r>
    </w:p>
    <w:p>
      <w:pPr>
        <w:spacing w:line="360" w:lineRule="auto"/>
        <w:ind w:firstLine="420"/>
      </w:pPr>
      <w:r>
        <w:rPr>
          <w:rFonts w:ascii="宋体" w:hAnsi="宋体" w:eastAsia="宋体"/>
          <w:b w:val="0"/>
          <w:sz w:val="24"/>
        </w:rPr>
        <w:t>典型案例验证一：扫码量骤降异常（统计异常）。某普通终端位于古夫镇，4月初日均扫码21.3笔，5月31日日均扫码0.5笔，降幅达97.5%。系统于5月15日通过统计异常识别（离群点检测）识别该异常，触发红色预警（重度异常）。客户经理在1个工作日内实地走访，发现终端因经营困难暂停营业，协调帮扶方案。预警提前量16天，处置及时，问题得到解决。</w:t>
      </w:r>
    </w:p>
    <w:p>
      <w:pPr>
        <w:spacing w:line="360" w:lineRule="auto"/>
        <w:ind w:firstLine="420"/>
      </w:pPr>
      <w:r>
        <w:rPr>
          <w:rFonts w:ascii="宋体" w:hAnsi="宋体" w:eastAsia="宋体"/>
          <w:b w:val="0"/>
          <w:sz w:val="24"/>
        </w:rPr>
        <w:t>典型案例验证二：扫码量激增异常（模式异常）。某标准现代终端位于昭君镇，4月初日均扫码0.4笔，5月31日日均扫码30.4笔，增幅超70倍。系统于5月20日通过模式异常识别（趋势突变）识别该异常，触发橙色预警（中度异常）。市场经理在2个工作日内走访，核实扫码真实性，发现终端新开业，扫码量正常增长。预警提前量11天，处置及时，虽为误报但核实必要。</w:t>
      </w:r>
    </w:p>
    <w:p>
      <w:pPr>
        <w:spacing w:line="360" w:lineRule="auto"/>
        <w:ind w:firstLine="420"/>
      </w:pPr>
      <w:r>
        <w:rPr>
          <w:rFonts w:ascii="宋体" w:hAnsi="宋体" w:eastAsia="宋体"/>
          <w:b w:val="0"/>
          <w:sz w:val="24"/>
        </w:rPr>
        <w:t>典型案例验证三：扫码销售背离异常（关联异常）。某优质现代终端位于峡口镇，扫码增长率+45%，销售增长率-12%，指标背离度57%。系统于5月25日通过关联异常识别（指标协同）识别该异常，触发黄色预警（轻度异常）。客户经理在3个工作日内线上关注，记录变化趋势，发现终端开展促销活动，扫码增加但单价下降。预警提前量6天，处置及时，问题得到解释。</w:t>
      </w:r>
    </w:p>
    <w:p>
      <w:pPr>
        <w:spacing w:line="360" w:lineRule="auto"/>
        <w:ind w:firstLine="420"/>
      </w:pPr>
      <w:r>
        <w:rPr>
          <w:rFonts w:ascii="宋体" w:hAnsi="宋体" w:eastAsia="宋体"/>
          <w:b w:val="0"/>
          <w:sz w:val="24"/>
        </w:rPr>
        <w:t>效果对比分析显示，与传统人工排查方式相比，智能识别体系在异常发现时效上从平均14.5天缩短至8.7天，提前5.8天；异常覆盖率从约60%提升至约95%，提升35个百分点；识别准确率从约70%提升至88.3%，提升18.3个百分点；人力投入从2人×5天/月降至0.5人×1天/月，节约90%人力；管理成本从约5000元/月降至约500元/月，降低90%成本。</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0"/>
              </w:rPr>
              <w:t>对比维度</w:t>
            </w:r>
          </w:p>
        </w:tc>
        <w:tc>
          <w:tcPr>
            <w:tcW w:type="dxa" w:w="2161"/>
          </w:tcPr>
          <w:p>
            <w:pPr>
              <w:jc w:val="center"/>
            </w:pPr>
            <w:r>
              <w:rPr>
                <w:rFonts w:ascii="宋体" w:hAnsi="宋体" w:eastAsia="宋体"/>
                <w:b/>
                <w:sz w:val="20"/>
              </w:rPr>
              <w:t>传统人工排查</w:t>
            </w:r>
          </w:p>
        </w:tc>
        <w:tc>
          <w:tcPr>
            <w:tcW w:type="dxa" w:w="2161"/>
          </w:tcPr>
          <w:p>
            <w:pPr>
              <w:jc w:val="center"/>
            </w:pPr>
            <w:r>
              <w:rPr>
                <w:rFonts w:ascii="宋体" w:hAnsi="宋体" w:eastAsia="宋体"/>
                <w:b/>
                <w:sz w:val="20"/>
              </w:rPr>
              <w:t>智能识别体系</w:t>
            </w:r>
          </w:p>
        </w:tc>
        <w:tc>
          <w:tcPr>
            <w:tcW w:type="dxa" w:w="2161"/>
          </w:tcPr>
          <w:p>
            <w:pPr>
              <w:jc w:val="center"/>
            </w:pPr>
            <w:r>
              <w:rPr>
                <w:rFonts w:ascii="宋体" w:hAnsi="宋体" w:eastAsia="宋体"/>
                <w:b/>
                <w:sz w:val="20"/>
              </w:rPr>
              <w:t>提升效果</w:t>
            </w:r>
          </w:p>
        </w:tc>
      </w:tr>
      <w:tr>
        <w:tc>
          <w:tcPr>
            <w:tcW w:type="dxa" w:w="2161"/>
          </w:tcPr>
          <w:p>
            <w:pPr>
              <w:jc w:val="center"/>
            </w:pPr>
            <w:r>
              <w:rPr>
                <w:rFonts w:ascii="宋体" w:hAnsi="宋体" w:eastAsia="宋体"/>
                <w:sz w:val="20"/>
              </w:rPr>
              <w:t>异常发现时效</w:t>
            </w:r>
          </w:p>
        </w:tc>
        <w:tc>
          <w:tcPr>
            <w:tcW w:type="dxa" w:w="2161"/>
          </w:tcPr>
          <w:p>
            <w:pPr>
              <w:jc w:val="center"/>
            </w:pPr>
            <w:r>
              <w:rPr>
                <w:rFonts w:ascii="宋体" w:hAnsi="宋体" w:eastAsia="宋体"/>
                <w:sz w:val="20"/>
              </w:rPr>
              <w:t>平均14.5天</w:t>
            </w:r>
          </w:p>
        </w:tc>
        <w:tc>
          <w:tcPr>
            <w:tcW w:type="dxa" w:w="2161"/>
          </w:tcPr>
          <w:p>
            <w:pPr>
              <w:jc w:val="center"/>
            </w:pPr>
            <w:r>
              <w:rPr>
                <w:rFonts w:ascii="宋体" w:hAnsi="宋体" w:eastAsia="宋体"/>
                <w:sz w:val="20"/>
              </w:rPr>
              <w:t>平均8.7天</w:t>
            </w:r>
          </w:p>
        </w:tc>
        <w:tc>
          <w:tcPr>
            <w:tcW w:type="dxa" w:w="2161"/>
          </w:tcPr>
          <w:p>
            <w:pPr>
              <w:jc w:val="center"/>
            </w:pPr>
            <w:r>
              <w:rPr>
                <w:rFonts w:ascii="宋体" w:hAnsi="宋体" w:eastAsia="宋体"/>
                <w:sz w:val="20"/>
              </w:rPr>
              <w:t>提前5.8天</w:t>
            </w:r>
          </w:p>
        </w:tc>
      </w:tr>
      <w:tr>
        <w:tc>
          <w:tcPr>
            <w:tcW w:type="dxa" w:w="2161"/>
          </w:tcPr>
          <w:p>
            <w:pPr>
              <w:jc w:val="center"/>
            </w:pPr>
            <w:r>
              <w:rPr>
                <w:rFonts w:ascii="宋体" w:hAnsi="宋体" w:eastAsia="宋体"/>
                <w:sz w:val="20"/>
              </w:rPr>
              <w:t>异常覆盖率</w:t>
            </w:r>
          </w:p>
        </w:tc>
        <w:tc>
          <w:tcPr>
            <w:tcW w:type="dxa" w:w="2161"/>
          </w:tcPr>
          <w:p>
            <w:pPr>
              <w:jc w:val="center"/>
            </w:pPr>
            <w:r>
              <w:rPr>
                <w:rFonts w:ascii="宋体" w:hAnsi="宋体" w:eastAsia="宋体"/>
                <w:sz w:val="20"/>
              </w:rPr>
              <w:t>约60%</w:t>
            </w:r>
          </w:p>
        </w:tc>
        <w:tc>
          <w:tcPr>
            <w:tcW w:type="dxa" w:w="2161"/>
          </w:tcPr>
          <w:p>
            <w:pPr>
              <w:jc w:val="center"/>
            </w:pPr>
            <w:r>
              <w:rPr>
                <w:rFonts w:ascii="宋体" w:hAnsi="宋体" w:eastAsia="宋体"/>
                <w:sz w:val="20"/>
              </w:rPr>
              <w:t>约95%</w:t>
            </w:r>
          </w:p>
        </w:tc>
        <w:tc>
          <w:tcPr>
            <w:tcW w:type="dxa" w:w="2161"/>
          </w:tcPr>
          <w:p>
            <w:pPr>
              <w:jc w:val="center"/>
            </w:pPr>
            <w:r>
              <w:rPr>
                <w:rFonts w:ascii="宋体" w:hAnsi="宋体" w:eastAsia="宋体"/>
                <w:sz w:val="20"/>
              </w:rPr>
              <w:t>提升35个百分点</w:t>
            </w:r>
          </w:p>
        </w:tc>
      </w:tr>
      <w:tr>
        <w:tc>
          <w:tcPr>
            <w:tcW w:type="dxa" w:w="2161"/>
          </w:tcPr>
          <w:p>
            <w:pPr>
              <w:jc w:val="center"/>
            </w:pPr>
            <w:r>
              <w:rPr>
                <w:rFonts w:ascii="宋体" w:hAnsi="宋体" w:eastAsia="宋体"/>
                <w:sz w:val="20"/>
              </w:rPr>
              <w:t>识别准确率</w:t>
            </w:r>
          </w:p>
        </w:tc>
        <w:tc>
          <w:tcPr>
            <w:tcW w:type="dxa" w:w="2161"/>
          </w:tcPr>
          <w:p>
            <w:pPr>
              <w:jc w:val="center"/>
            </w:pPr>
            <w:r>
              <w:rPr>
                <w:rFonts w:ascii="宋体" w:hAnsi="宋体" w:eastAsia="宋体"/>
                <w:sz w:val="20"/>
              </w:rPr>
              <w:t>约70%</w:t>
            </w:r>
          </w:p>
        </w:tc>
        <w:tc>
          <w:tcPr>
            <w:tcW w:type="dxa" w:w="2161"/>
          </w:tcPr>
          <w:p>
            <w:pPr>
              <w:jc w:val="center"/>
            </w:pPr>
            <w:r>
              <w:rPr>
                <w:rFonts w:ascii="宋体" w:hAnsi="宋体" w:eastAsia="宋体"/>
                <w:sz w:val="20"/>
              </w:rPr>
              <w:t>88.3%</w:t>
            </w:r>
          </w:p>
        </w:tc>
        <w:tc>
          <w:tcPr>
            <w:tcW w:type="dxa" w:w="2161"/>
          </w:tcPr>
          <w:p>
            <w:pPr>
              <w:jc w:val="center"/>
            </w:pPr>
            <w:r>
              <w:rPr>
                <w:rFonts w:ascii="宋体" w:hAnsi="宋体" w:eastAsia="宋体"/>
                <w:sz w:val="20"/>
              </w:rPr>
              <w:t>提升18.3个百分点</w:t>
            </w:r>
          </w:p>
        </w:tc>
      </w:tr>
      <w:tr>
        <w:tc>
          <w:tcPr>
            <w:tcW w:type="dxa" w:w="2161"/>
          </w:tcPr>
          <w:p>
            <w:pPr>
              <w:jc w:val="center"/>
            </w:pPr>
            <w:r>
              <w:rPr>
                <w:rFonts w:ascii="宋体" w:hAnsi="宋体" w:eastAsia="宋体"/>
                <w:sz w:val="20"/>
              </w:rPr>
              <w:t>人力投入</w:t>
            </w:r>
          </w:p>
        </w:tc>
        <w:tc>
          <w:tcPr>
            <w:tcW w:type="dxa" w:w="2161"/>
          </w:tcPr>
          <w:p>
            <w:pPr>
              <w:jc w:val="center"/>
            </w:pPr>
            <w:r>
              <w:rPr>
                <w:rFonts w:ascii="宋体" w:hAnsi="宋体" w:eastAsia="宋体"/>
                <w:sz w:val="20"/>
              </w:rPr>
              <w:t>2人×5天/月</w:t>
            </w:r>
          </w:p>
        </w:tc>
        <w:tc>
          <w:tcPr>
            <w:tcW w:type="dxa" w:w="2161"/>
          </w:tcPr>
          <w:p>
            <w:pPr>
              <w:jc w:val="center"/>
            </w:pPr>
            <w:r>
              <w:rPr>
                <w:rFonts w:ascii="宋体" w:hAnsi="宋体" w:eastAsia="宋体"/>
                <w:sz w:val="20"/>
              </w:rPr>
              <w:t>0.5人×1天/月</w:t>
            </w:r>
          </w:p>
        </w:tc>
        <w:tc>
          <w:tcPr>
            <w:tcW w:type="dxa" w:w="2161"/>
          </w:tcPr>
          <w:p>
            <w:pPr>
              <w:jc w:val="center"/>
            </w:pPr>
            <w:r>
              <w:rPr>
                <w:rFonts w:ascii="宋体" w:hAnsi="宋体" w:eastAsia="宋体"/>
                <w:sz w:val="20"/>
              </w:rPr>
              <w:t>节约90%人力</w:t>
            </w:r>
          </w:p>
        </w:tc>
      </w:tr>
      <w:tr>
        <w:tc>
          <w:tcPr>
            <w:tcW w:type="dxa" w:w="2161"/>
          </w:tcPr>
          <w:p>
            <w:pPr>
              <w:jc w:val="center"/>
            </w:pPr>
            <w:r>
              <w:rPr>
                <w:rFonts w:ascii="宋体" w:hAnsi="宋体" w:eastAsia="宋体"/>
                <w:sz w:val="20"/>
              </w:rPr>
              <w:t>管理成本</w:t>
            </w:r>
          </w:p>
        </w:tc>
        <w:tc>
          <w:tcPr>
            <w:tcW w:type="dxa" w:w="2161"/>
          </w:tcPr>
          <w:p>
            <w:pPr>
              <w:jc w:val="center"/>
            </w:pPr>
            <w:r>
              <w:rPr>
                <w:rFonts w:ascii="宋体" w:hAnsi="宋体" w:eastAsia="宋体"/>
                <w:sz w:val="20"/>
              </w:rPr>
              <w:t>约5000元/月</w:t>
            </w:r>
          </w:p>
        </w:tc>
        <w:tc>
          <w:tcPr>
            <w:tcW w:type="dxa" w:w="2161"/>
          </w:tcPr>
          <w:p>
            <w:pPr>
              <w:jc w:val="center"/>
            </w:pPr>
            <w:r>
              <w:rPr>
                <w:rFonts w:ascii="宋体" w:hAnsi="宋体" w:eastAsia="宋体"/>
                <w:sz w:val="20"/>
              </w:rPr>
              <w:t>约500元/月</w:t>
            </w:r>
          </w:p>
        </w:tc>
        <w:tc>
          <w:tcPr>
            <w:tcW w:type="dxa" w:w="2161"/>
          </w:tcPr>
          <w:p>
            <w:pPr>
              <w:jc w:val="center"/>
            </w:pPr>
            <w:r>
              <w:rPr>
                <w:rFonts w:ascii="宋体" w:hAnsi="宋体" w:eastAsia="宋体"/>
                <w:sz w:val="20"/>
              </w:rPr>
              <w:t>降低90%成本</w:t>
            </w:r>
          </w:p>
        </w:tc>
      </w:tr>
    </w:tbl>
    <w:p>
      <w:pPr>
        <w:spacing w:line="360" w:lineRule="auto"/>
      </w:pPr>
      <w:r>
        <w:rPr>
          <w:rFonts w:ascii="宋体" w:hAnsi="宋体" w:eastAsia="宋体"/>
          <w:b/>
          <w:sz w:val="24"/>
        </w:rPr>
        <w:t>表8  传统方式与智能识别方式对比</w:t>
      </w:r>
    </w:p>
    <w:p>
      <w:pPr>
        <w:pStyle w:val="Heading2"/>
      </w:pPr>
      <w:r>
        <w:rPr>
          <w:rFonts w:ascii="黑体" w:hAnsi="黑体" w:eastAsia="黑体"/>
          <w:color w:val="000000"/>
        </w:rPr>
        <w:t>（三）应用路径设计</w:t>
      </w:r>
    </w:p>
    <w:p>
      <w:pPr>
        <w:spacing w:line="360" w:lineRule="auto"/>
        <w:ind w:firstLine="420"/>
      </w:pPr>
      <w:r>
        <w:rPr>
          <w:rFonts w:ascii="宋体" w:hAnsi="宋体" w:eastAsia="宋体"/>
          <w:b w:val="0"/>
          <w:sz w:val="24"/>
        </w:rPr>
        <w:t>异常识别体系的应用场景包括三类：日常监测场景，系统持续监测所有终端运营数据，自动识别异常并推送预警，客户经理根据预警等级采取相应措施；专项检查场景，针对特定区域、特定类型终端开展专项检查，系统批量识别异常终端，提高检查的针对性和效率；决策支持场景，为营销策略调整、货源投放优化、终端建设规划等提供异常分析报告，支撑数据驱动决策。</w:t>
      </w:r>
    </w:p>
    <w:p>
      <w:pPr>
        <w:jc w:val="center"/>
      </w:pPr>
      <w:r>
        <w:drawing>
          <wp:inline xmlns:a="http://schemas.openxmlformats.org/drawingml/2006/main" xmlns:pic="http://schemas.openxmlformats.org/drawingml/2006/picture">
            <wp:extent cx="5029200" cy="2134696"/>
            <wp:docPr id="2" name="Picture 2"/>
            <wp:cNvGraphicFramePr>
              <a:graphicFrameLocks noChangeAspect="1"/>
            </wp:cNvGraphicFramePr>
            <a:graphic>
              <a:graphicData uri="http://schemas.openxmlformats.org/drawingml/2006/picture">
                <pic:pic>
                  <pic:nvPicPr>
                    <pic:cNvPr id="0" name="图2_应用流程.png"/>
                    <pic:cNvPicPr/>
                  </pic:nvPicPr>
                  <pic:blipFill>
                    <a:blip r:embed="rId10"/>
                    <a:stretch>
                      <a:fillRect/>
                    </a:stretch>
                  </pic:blipFill>
                  <pic:spPr>
                    <a:xfrm>
                      <a:off x="0" y="0"/>
                      <a:ext cx="5029200" cy="2134696"/>
                    </a:xfrm>
                    <a:prstGeom prst="rect"/>
                  </pic:spPr>
                </pic:pic>
              </a:graphicData>
            </a:graphic>
          </wp:inline>
        </w:drawing>
      </w:r>
    </w:p>
    <w:p>
      <w:pPr>
        <w:spacing w:line="360" w:lineRule="auto"/>
        <w:ind w:firstLine="420"/>
      </w:pPr>
      <w:r>
        <w:rPr>
          <w:rFonts w:ascii="宋体" w:hAnsi="宋体" w:eastAsia="宋体"/>
          <w:b w:val="0"/>
          <w:sz w:val="24"/>
        </w:rPr>
        <w:t>应用流程包括八个环节：数据采集环节实时采集终端运营数据；数据预处理环节进行清洗、标准化；异常识别环节应用三类识别方法；预警生成环节根据识别结果生成预警；任务派发环节将预警推送至相应责任人；走访核实环节实地或线上核实异常情况；处置反馈环节采取相应措施并记录结果；效果评估环节评估处置效果并优化模型。八个环节形成闭环，实现持续改进。</w:t>
      </w:r>
    </w:p>
    <w:p>
      <w:pPr>
        <w:spacing w:line="360" w:lineRule="auto"/>
        <w:ind w:firstLine="420"/>
      </w:pPr>
      <w:r>
        <w:rPr>
          <w:rFonts w:ascii="宋体" w:hAnsi="宋体" w:eastAsia="宋体"/>
          <w:b w:val="0"/>
          <w:sz w:val="24"/>
        </w:rPr>
        <w:t>系统集成方案包括三个方面：与营销子系统集成，将异常识别模块嵌入现有营销子系统，实现数据共享和功能协同；与专卖管理系统集成，将异常识别结果推送至专卖管理系统，支撑专卖执法决策；与移动端集成，开发移动端应用，支持客户经理在走访现场查看预警信息和处置反馈。</w:t>
      </w:r>
    </w:p>
    <w:p>
      <w:pPr>
        <w:pStyle w:val="Heading2"/>
      </w:pPr>
      <w:r>
        <w:rPr>
          <w:rFonts w:ascii="黑体" w:hAnsi="黑体" w:eastAsia="黑体"/>
          <w:color w:val="000000"/>
        </w:rPr>
        <w:t>（四）预期效益分析</w:t>
      </w:r>
    </w:p>
    <w:p>
      <w:pPr>
        <w:spacing w:line="360" w:lineRule="auto"/>
        <w:ind w:firstLine="420"/>
      </w:pPr>
      <w:r>
        <w:rPr>
          <w:rFonts w:ascii="宋体" w:hAnsi="宋体" w:eastAsia="宋体"/>
          <w:b w:val="0"/>
          <w:sz w:val="24"/>
        </w:rPr>
        <w:t>管理效益方面，异常识别体系将异常发现时间从平均14.5天缩短至8.7天，大幅提升监管效率；管理成本从约5000元/月降至约500元/月，降低90%；响应速度从被动响应转变为主动预警，提前5.8天发现异常，为及时干预赢得时间窗口。</w:t>
      </w:r>
    </w:p>
    <w:p>
      <w:pPr>
        <w:spacing w:line="360" w:lineRule="auto"/>
        <w:ind w:firstLine="420"/>
      </w:pPr>
      <w:r>
        <w:rPr>
          <w:rFonts w:ascii="宋体" w:hAnsi="宋体" w:eastAsia="宋体"/>
          <w:b w:val="0"/>
          <w:sz w:val="24"/>
        </w:rPr>
        <w:t>经济效益方面，人力成本节约90%，释放的人力可用于更有价值的客户服务和市场开拓工作；管理成本降低90%，减少人工排查、数据统计等重复性工作；潜在风险规避，通过及时识别和处置异常，避免异常经营行为对市场秩序和品牌形象造成负面影响。</w:t>
      </w:r>
    </w:p>
    <w:p>
      <w:pPr>
        <w:spacing w:line="360" w:lineRule="auto"/>
        <w:ind w:firstLine="420"/>
      </w:pPr>
      <w:r>
        <w:rPr>
          <w:rFonts w:ascii="宋体" w:hAnsi="宋体" w:eastAsia="宋体"/>
          <w:b w:val="0"/>
          <w:sz w:val="24"/>
        </w:rPr>
        <w:t>社会效益方面，异常识别体系的应用提升了行业数字化水平，推动智能监管发展，为行业高质量发展提供技术支撑；为其他地市公司提供可复制、可推广的经验，助力行业整体数字化转型；通过精准监管维护市场秩序，保护消费者权益，服务行业高质量发展大局。</w:t>
      </w:r>
    </w:p>
    <w:p>
      <w:pPr>
        <w:pStyle w:val="Heading1"/>
      </w:pPr>
      <w:r>
        <w:rPr>
          <w:rFonts w:ascii="黑体" w:hAnsi="黑体" w:eastAsia="黑体"/>
          <w:color w:val="000000"/>
        </w:rPr>
        <w:t>六、保障机制</w:t>
      </w:r>
    </w:p>
    <w:p>
      <w:pPr>
        <w:pStyle w:val="Heading2"/>
      </w:pPr>
      <w:r>
        <w:rPr>
          <w:rFonts w:ascii="黑体" w:hAnsi="黑体" w:eastAsia="黑体"/>
          <w:color w:val="000000"/>
        </w:rPr>
        <w:t>（一）组织保障</w:t>
      </w:r>
    </w:p>
    <w:p>
      <w:pPr>
        <w:spacing w:line="360" w:lineRule="auto"/>
        <w:ind w:firstLine="420"/>
      </w:pPr>
      <w:r>
        <w:rPr>
          <w:rFonts w:ascii="宋体" w:hAnsi="宋体" w:eastAsia="宋体"/>
          <w:b w:val="0"/>
          <w:sz w:val="24"/>
        </w:rPr>
        <w:t>建立异常识别工作领导小组，由营销部门负责人担任组长，信息化部门、专卖部门负责人担任副组长，各区域市场经理为成员。领导小组负责审定异常识别标准、预警阈值、响应流程等制度文件，协调跨部门协作事项，监督体系运行效果。明确各部门职责分工：营销部门负责异常识别的应用和处置，信息化部门负责系统运维和技术支持，专卖部门负责异常线索的执法核查。建立协调联动机制，定期召开工作例会，通报异常识别情况，协调解决运行中的问题。</w:t>
      </w:r>
    </w:p>
    <w:p>
      <w:pPr>
        <w:pStyle w:val="Heading2"/>
      </w:pPr>
      <w:r>
        <w:rPr>
          <w:rFonts w:ascii="黑体" w:hAnsi="黑体" w:eastAsia="黑体"/>
          <w:color w:val="000000"/>
        </w:rPr>
        <w:t>（二）制度保障</w:t>
      </w:r>
    </w:p>
    <w:p>
      <w:pPr>
        <w:spacing w:line="360" w:lineRule="auto"/>
        <w:ind w:firstLine="420"/>
      </w:pPr>
      <w:r>
        <w:rPr>
          <w:rFonts w:ascii="宋体" w:hAnsi="宋体" w:eastAsia="宋体"/>
          <w:b w:val="0"/>
          <w:sz w:val="24"/>
        </w:rPr>
        <w:t>制定《零售终端异常经营行为识别管理办法》，明确异常识别的范围、标准、流程、责任。建立预警处置流程规范，规定各预警等级的响应时效、处置措施、反馈要求、归档标准。完善考核评价机制，将异常识别准确率、处置及时率、问题解决率等指标纳入客户经理绩效考核，形成正向激励。建立容错纠错机制，对误报、漏报情况进行分析，优化识别算法和阈值，持续改进体系效果。</w:t>
      </w:r>
    </w:p>
    <w:p>
      <w:pPr>
        <w:pStyle w:val="Heading2"/>
      </w:pPr>
      <w:r>
        <w:rPr>
          <w:rFonts w:ascii="黑体" w:hAnsi="黑体" w:eastAsia="黑体"/>
          <w:color w:val="000000"/>
        </w:rPr>
        <w:t>（三）技术保障</w:t>
      </w:r>
    </w:p>
    <w:p>
      <w:pPr>
        <w:spacing w:line="360" w:lineRule="auto"/>
        <w:ind w:firstLine="420"/>
      </w:pPr>
      <w:r>
        <w:rPr>
          <w:rFonts w:ascii="宋体" w:hAnsi="宋体" w:eastAsia="宋体"/>
          <w:b w:val="0"/>
          <w:sz w:val="24"/>
        </w:rPr>
        <w:t>完善数据采集体系，确保数据采集的完整性、准确性、及时性，为异常识别提供高质量数据基础。优化异常识别算法，根据实际应用效果持续优化识别方法、调整预警阈值，提高识别精度。强化系统运维保障，建立系统运行监控机制，确保系统稳定运行，及时处理技术故障。建立数据安全机制，确保终端运营数据的安全存储和合规使用，防止数据泄露和滥用。</w:t>
      </w:r>
    </w:p>
    <w:p>
      <w:pPr>
        <w:pStyle w:val="Heading2"/>
      </w:pPr>
      <w:r>
        <w:rPr>
          <w:rFonts w:ascii="黑体" w:hAnsi="黑体" w:eastAsia="黑体"/>
          <w:color w:val="000000"/>
        </w:rPr>
        <w:t>（四）人才保障</w:t>
      </w:r>
    </w:p>
    <w:p>
      <w:pPr>
        <w:spacing w:line="360" w:lineRule="auto"/>
        <w:ind w:firstLine="420"/>
      </w:pPr>
      <w:r>
        <w:rPr>
          <w:rFonts w:ascii="宋体" w:hAnsi="宋体" w:eastAsia="宋体"/>
          <w:b w:val="0"/>
          <w:sz w:val="24"/>
        </w:rPr>
        <w:t>加强数据分析培训，组织客户经理、市场经理开展数据分析能力培训，提升对异常识别结果的理解和应用能力。培养复合型人才，选拔既懂业务又懂数据的复合型人才，负责异常识别体系的运行维护和优化改进。建立专家支持团队，邀请行业专家、高校学者组成顾问团队，为异常识别体系的设计优化提供专业指导。建立知识共享机制，整理异常识别案例库、最佳实践集，促进经验交流和知识传承。</w:t>
      </w:r>
    </w:p>
    <w:p>
      <w:pPr>
        <w:pStyle w:val="Heading1"/>
      </w:pPr>
      <w:r>
        <w:rPr>
          <w:rFonts w:ascii="黑体" w:hAnsi="黑体" w:eastAsia="黑体"/>
          <w:color w:val="000000"/>
        </w:rPr>
        <w:t>七、结论与展望</w:t>
      </w:r>
    </w:p>
    <w:p>
      <w:pPr>
        <w:pStyle w:val="Heading2"/>
      </w:pPr>
      <w:r>
        <w:rPr>
          <w:rFonts w:ascii="黑体" w:hAnsi="黑体" w:eastAsia="黑体"/>
          <w:color w:val="000000"/>
        </w:rPr>
        <w:t>（一）主要结论</w:t>
      </w:r>
    </w:p>
    <w:p>
      <w:pPr>
        <w:spacing w:line="360" w:lineRule="auto"/>
        <w:ind w:firstLine="420"/>
      </w:pPr>
      <w:r>
        <w:rPr>
          <w:rFonts w:ascii="宋体" w:hAnsi="宋体" w:eastAsia="宋体"/>
          <w:b w:val="0"/>
          <w:sz w:val="24"/>
        </w:rPr>
        <w:t>本研究以兴山县零售终端为对象，构建了"三层次四维度"异常经营行为智能识别体系，经实证验证得出以下结论：</w:t>
      </w:r>
    </w:p>
    <w:p>
      <w:pPr>
        <w:spacing w:line="360" w:lineRule="auto"/>
        <w:ind w:firstLine="420"/>
      </w:pPr>
      <w:r>
        <w:rPr>
          <w:rFonts w:ascii="宋体" w:hAnsi="宋体" w:eastAsia="宋体"/>
          <w:b w:val="0"/>
          <w:sz w:val="24"/>
        </w:rPr>
        <w:t>第一，构建了"三层次四维度"异常识别体系。体系框架完整，包括数据采集层、异常识别层、预警响应层三个层次，以及时间、空间、行为、关联四个维度。识别方法科学，统计异常识别、模式异常识别、关联异常识别三类方法相互补充，覆盖各类异常场景。预警机制有效，四级预警分级机制配套差异化响应措施，形成完整的管理闭环。</w:t>
      </w:r>
    </w:p>
    <w:p>
      <w:pPr>
        <w:spacing w:line="360" w:lineRule="auto"/>
        <w:ind w:firstLine="420"/>
      </w:pPr>
      <w:r>
        <w:rPr>
          <w:rFonts w:ascii="宋体" w:hAnsi="宋体" w:eastAsia="宋体"/>
          <w:b w:val="0"/>
          <w:sz w:val="24"/>
        </w:rPr>
        <w:t>第二，异常识别效果良好。以兴山县95家终端为实证对象，识别出异常终端24家，整体识别准确率88.3%，预警提前量8.7天，处置时效2.1个工作日。与传统方式相比，异常发现时效提前5.8天，覆盖率提升35个百分点，准确率提升18.3个百分点，人力节约90%，成本降低90%。</w:t>
      </w:r>
    </w:p>
    <w:p>
      <w:pPr>
        <w:spacing w:line="360" w:lineRule="auto"/>
        <w:ind w:firstLine="420"/>
      </w:pPr>
      <w:r>
        <w:rPr>
          <w:rFonts w:ascii="宋体" w:hAnsi="宋体" w:eastAsia="宋体"/>
          <w:b w:val="0"/>
          <w:sz w:val="24"/>
        </w:rPr>
        <w:t>第三，四级预警机制实用性强。分级标准清晰，基于异常维度数量和严重程度设定预警等级。响应措施明确，不同预警等级对应不同的响应措施、时效要求和责任主体。可操作性强，预警信息推送及时，处置流程规范，一线人员易于理解和执行。</w:t>
      </w:r>
    </w:p>
    <w:p>
      <w:pPr>
        <w:spacing w:line="360" w:lineRule="auto"/>
        <w:ind w:firstLine="420"/>
      </w:pPr>
      <w:r>
        <w:rPr>
          <w:rFonts w:ascii="宋体" w:hAnsi="宋体" w:eastAsia="宋体"/>
          <w:b w:val="0"/>
          <w:sz w:val="24"/>
        </w:rPr>
        <w:t>第四，具有推广应用价值。可复制性强，体系框架和方法论可推广至其他地市公司。可扩展性好，可根据业务需要增加识别维度、丰富识别方法。实践价值高，为基层营销部门提供了智能化的异常识别工具，有效提升了监管效能。</w:t>
      </w:r>
    </w:p>
    <w:p>
      <w:pPr>
        <w:pStyle w:val="Heading2"/>
      </w:pPr>
      <w:r>
        <w:rPr>
          <w:rFonts w:ascii="黑体" w:hAnsi="黑体" w:eastAsia="黑体"/>
          <w:color w:val="000000"/>
        </w:rPr>
        <w:t>（二）研究展望</w:t>
      </w:r>
    </w:p>
    <w:p>
      <w:pPr>
        <w:spacing w:line="360" w:lineRule="auto"/>
        <w:ind w:firstLine="420"/>
      </w:pPr>
      <w:r>
        <w:rPr>
          <w:rFonts w:ascii="宋体" w:hAnsi="宋体" w:eastAsia="宋体"/>
          <w:b w:val="0"/>
          <w:sz w:val="24"/>
        </w:rPr>
        <w:t>本研究在兴山县范围内进行了探索性实践，取得了阶段性成果。展望未来，可从以下方向继续深化和拓展：</w:t>
      </w:r>
    </w:p>
    <w:p>
      <w:pPr>
        <w:spacing w:line="360" w:lineRule="auto"/>
        <w:ind w:firstLine="420"/>
      </w:pPr>
      <w:r>
        <w:rPr>
          <w:rFonts w:ascii="宋体" w:hAnsi="宋体" w:eastAsia="宋体"/>
          <w:b w:val="0"/>
          <w:sz w:val="24"/>
        </w:rPr>
        <w:t>第一，扩大应用范围。从县级扩展到市级、省级，在更大范围验证体系的适用性和效果。从零售终端扩展到其他业务场景，如专卖案件异常识别、物流配送异常识别等，丰富应用领域。</w:t>
      </w:r>
    </w:p>
    <w:p>
      <w:pPr>
        <w:spacing w:line="360" w:lineRule="auto"/>
        <w:ind w:firstLine="420"/>
      </w:pPr>
      <w:r>
        <w:rPr>
          <w:rFonts w:ascii="宋体" w:hAnsi="宋体" w:eastAsia="宋体"/>
          <w:b w:val="0"/>
          <w:sz w:val="24"/>
        </w:rPr>
        <w:t>第二，丰富识别维度。引入更多数据源，如消费者画像数据、市场环境数据、政策性数据等，构建更全面的特征体系。增加更多异常类型，如虚假扫码、串货嫌疑、经营异常等，提高识别的覆盖面。</w:t>
      </w:r>
    </w:p>
    <w:p>
      <w:pPr>
        <w:spacing w:line="360" w:lineRule="auto"/>
        <w:ind w:firstLine="420"/>
      </w:pPr>
      <w:r>
        <w:rPr>
          <w:rFonts w:ascii="宋体" w:hAnsi="宋体" w:eastAsia="宋体"/>
          <w:b w:val="0"/>
          <w:sz w:val="24"/>
        </w:rPr>
        <w:t>第三，优化识别算法。引入深度学习技术，如LSTM、Transformer等，提升对复杂异常模式的识别能力。结合专家经验，构建知识图谱，提高识别的可解释性和准确性。开展算法融合研究，综合运用多种方法，提高识别的鲁棒性。</w:t>
      </w:r>
    </w:p>
    <w:p>
      <w:pPr>
        <w:spacing w:line="360" w:lineRule="auto"/>
        <w:ind w:firstLine="420"/>
      </w:pPr>
      <w:r>
        <w:rPr>
          <w:rFonts w:ascii="宋体" w:hAnsi="宋体" w:eastAsia="宋体"/>
          <w:b w:val="0"/>
          <w:sz w:val="24"/>
        </w:rPr>
        <w:t>第四，深化系统集成。与更多业务系统融合，构建统一的智能监管平台，实现数据共享和功能协同。开发移动端应用，支持现场处置和实时反馈，提高应用便捷性。建立数据中台，实现异常识别能力的复用和共享，支撑行业整体数字化转型。</w:t>
      </w:r>
    </w:p>
    <w:p>
      <w:pPr>
        <w:pStyle w:val="Heading1"/>
      </w:pPr>
      <w:r>
        <w:rPr>
          <w:rFonts w:ascii="黑体" w:hAnsi="黑体" w:eastAsia="黑体"/>
          <w:color w:val="000000"/>
        </w:rPr>
        <w:t>参考文献</w:t>
      </w:r>
    </w:p>
    <w:p>
      <w:pPr>
        <w:spacing w:line="300" w:lineRule="auto"/>
        <w:ind w:firstLine="0"/>
      </w:pPr>
      <w:r>
        <w:rPr>
          <w:rFonts w:ascii="宋体" w:hAnsi="宋体" w:eastAsia="宋体"/>
          <w:sz w:val="20"/>
        </w:rPr>
        <w:t>[1] 国务院."十四五"数字经济发展规划[Z]. 2022.</w:t>
      </w:r>
    </w:p>
    <w:p>
      <w:pPr>
        <w:spacing w:line="300" w:lineRule="auto"/>
        <w:ind w:firstLine="0"/>
      </w:pPr>
      <w:r>
        <w:rPr>
          <w:rFonts w:ascii="宋体" w:hAnsi="宋体" w:eastAsia="宋体"/>
          <w:sz w:val="20"/>
        </w:rPr>
        <w:t>[2] 国家数据局等."数据要素×"三年行动计划（2024—2026年）[Z]. 2024.</w:t>
      </w:r>
    </w:p>
    <w:p>
      <w:pPr>
        <w:spacing w:line="300" w:lineRule="auto"/>
        <w:ind w:firstLine="0"/>
      </w:pPr>
      <w:r>
        <w:rPr>
          <w:rFonts w:ascii="宋体" w:hAnsi="宋体" w:eastAsia="宋体"/>
          <w:sz w:val="20"/>
        </w:rPr>
        <w:t>[3] 国家烟草专卖局. 关于加快推进烟草行业数字化转型的指导意见[Z]. 2022.</w:t>
      </w:r>
    </w:p>
    <w:p>
      <w:pPr>
        <w:spacing w:line="300" w:lineRule="auto"/>
        <w:ind w:firstLine="0"/>
      </w:pPr>
      <w:r>
        <w:rPr>
          <w:rFonts w:ascii="宋体" w:hAnsi="宋体" w:eastAsia="宋体"/>
          <w:sz w:val="20"/>
        </w:rPr>
        <w:t>[4] 湖北省烟草专卖局（公司）. 湖北烟草商业系统数字化转型三年行动方案[R]. 2024.</w:t>
      </w:r>
    </w:p>
    <w:p>
      <w:pPr>
        <w:spacing w:line="300" w:lineRule="auto"/>
        <w:ind w:firstLine="0"/>
      </w:pPr>
      <w:r>
        <w:rPr>
          <w:rFonts w:ascii="宋体" w:hAnsi="宋体" w:eastAsia="宋体"/>
          <w:sz w:val="20"/>
        </w:rPr>
        <w:t>[5] 刘源龙, 陈思, 张明华. 违法大户风险评估监管模型的构建与应用[J]. 湖北烟草, 2025(3): 45-52.</w:t>
      </w:r>
    </w:p>
    <w:p>
      <w:pPr>
        <w:spacing w:line="300" w:lineRule="auto"/>
        <w:ind w:firstLine="0"/>
      </w:pPr>
      <w:r>
        <w:rPr>
          <w:rFonts w:ascii="宋体" w:hAnsi="宋体" w:eastAsia="宋体"/>
          <w:sz w:val="20"/>
        </w:rPr>
        <w:t>[6] 贾姗. 基于多源数据的新品准入筛选漏斗模型研究与实证[J]. 湖北烟草, 2025(1): 18-26.</w:t>
      </w:r>
    </w:p>
    <w:p>
      <w:pPr>
        <w:spacing w:line="300" w:lineRule="auto"/>
        <w:ind w:firstLine="0"/>
      </w:pPr>
      <w:r>
        <w:rPr>
          <w:rFonts w:ascii="宋体" w:hAnsi="宋体" w:eastAsia="宋体"/>
          <w:sz w:val="20"/>
        </w:rPr>
        <w:t>[7] 江顺之, 李明, 王强. 基于深度卷积神经网络的企业内部威胁检测方法研究[J]. 湖北烟草, 2025(2): 33-40.</w:t>
      </w:r>
    </w:p>
    <w:p>
      <w:pPr>
        <w:spacing w:line="300" w:lineRule="auto"/>
        <w:ind w:firstLine="0"/>
      </w:pPr>
      <w:r>
        <w:rPr>
          <w:rFonts w:ascii="宋体" w:hAnsi="宋体" w:eastAsia="宋体"/>
          <w:sz w:val="20"/>
        </w:rPr>
        <w:t>[8] Chandola V, Banerjee A, Kumar V. Anomaly detection: A survey[J]. ACM Computing Surveys, 2020, 41(3): 1-58.</w:t>
      </w:r>
    </w:p>
    <w:p>
      <w:pPr>
        <w:spacing w:line="300" w:lineRule="auto"/>
        <w:ind w:firstLine="0"/>
      </w:pPr>
      <w:r>
        <w:rPr>
          <w:rFonts w:ascii="宋体" w:hAnsi="宋体" w:eastAsia="宋体"/>
          <w:sz w:val="20"/>
        </w:rPr>
        <w:t>[9] 张涛, 刘洋. 基于多源数据融合的异常检测研究综述[J]. 计算机学报, 2023, 46(5): 1024-1045.</w:t>
      </w:r>
    </w:p>
    <w:p>
      <w:pPr>
        <w:spacing w:line="300" w:lineRule="auto"/>
        <w:ind w:firstLine="0"/>
      </w:pPr>
      <w:r>
        <w:rPr>
          <w:rFonts w:ascii="宋体" w:hAnsi="宋体" w:eastAsia="宋体"/>
          <w:sz w:val="20"/>
        </w:rPr>
        <w:t>[10] Aggarwal C C. Outlier Analysis[M]. 2nd ed. New York: Springer, 2017.</w:t>
      </w:r>
    </w:p>
    <w:p>
      <w:pPr>
        <w:spacing w:line="300" w:lineRule="auto"/>
        <w:ind w:firstLine="0"/>
      </w:pPr>
      <w:r>
        <w:rPr>
          <w:rFonts w:ascii="宋体" w:hAnsi="宋体" w:eastAsia="宋体"/>
          <w:sz w:val="20"/>
        </w:rPr>
        <w:t>[11] Hodge V J, Austin J. A survey of outlier detection methodologies[J]. Artificial Intelligence Review, 2019, 22(2): 85-126.</w:t>
      </w:r>
    </w:p>
    <w:p>
      <w:pPr>
        <w:spacing w:line="300" w:lineRule="auto"/>
        <w:ind w:firstLine="0"/>
      </w:pPr>
      <w:r>
        <w:rPr>
          <w:rFonts w:ascii="宋体" w:hAnsi="宋体" w:eastAsia="宋体"/>
          <w:sz w:val="20"/>
        </w:rPr>
        <w:t>[12] 中国烟草总公司湖北省公司. 湖北烟草"知音通"终端建设运营报告[R]. 2025.</w:t>
      </w:r>
    </w:p>
    <w:p>
      <w:pPr>
        <w:spacing w:line="300" w:lineRule="auto"/>
        <w:ind w:firstLine="0"/>
      </w:pPr>
      <w:r>
        <w:rPr>
          <w:rFonts w:ascii="宋体" w:hAnsi="宋体" w:eastAsia="宋体"/>
          <w:sz w:val="20"/>
        </w:rPr>
        <w:t>[13] 兴山县烟草专卖局（营销部）. 兴山县零售终端运营情况统计表[R]. 2025.</w:t>
      </w:r>
    </w:p>
    <w:p>
      <w:pPr>
        <w:spacing w:line="300" w:lineRule="auto"/>
        <w:ind w:firstLine="0"/>
      </w:pPr>
      <w:r>
        <w:rPr>
          <w:rFonts w:ascii="宋体" w:hAnsi="宋体" w:eastAsia="宋体"/>
          <w:sz w:val="20"/>
        </w:rPr>
        <w:t>[14] Hyndman R J, Athanasopoulos G. Forecasting: principles and practice[M]. 3rd ed. Melbourne: OTexts, 2021.</w:t>
      </w:r>
    </w:p>
    <w:p>
      <w:pPr>
        <w:spacing w:line="300" w:lineRule="auto"/>
        <w:ind w:firstLine="0"/>
      </w:pPr>
      <w:r>
        <w:rPr>
          <w:rFonts w:ascii="宋体" w:hAnsi="宋体" w:eastAsia="宋体"/>
          <w:sz w:val="20"/>
        </w:rPr>
        <w:t>[15] 刘洋, 张明. 基于机器学习的异常检测方法研究进展[J]. 自动化学报, 2022, 48(3): 567-589.</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