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ooter"/>
        <w:spacing w:lineRule="auto" w:line="360"/>
        <w:rPr>
          <w:sz w:val="21"/>
          <w:szCs w:val="24"/>
        </w:rPr>
      </w:pPr>
      <w:r>
        <w:rPr>
          <w:b/>
          <w:sz w:val="21"/>
          <w:szCs w:val="24"/>
        </w:rPr>
        <w:t>基金项目：</w:t>
      </w:r>
      <w:r>
        <w:rPr>
          <w:sz w:val="21"/>
          <w:szCs w:val="24"/>
        </w:rPr>
        <w:t>X</w:t>
      </w:r>
      <w:r>
        <w:rPr>
          <w:rFonts w:hint="eastAsia"/>
          <w:sz w:val="21"/>
          <w:szCs w:val="24"/>
        </w:rPr>
        <w:t>X</w:t>
      </w:r>
      <w:r>
        <w:rPr>
          <w:rFonts w:hint="eastAsia"/>
          <w:sz w:val="21"/>
          <w:szCs w:val="24"/>
        </w:rPr>
        <w:t>中烟工业公司重点科技</w:t>
      </w:r>
      <w:r>
        <w:rPr>
          <w:sz w:val="21"/>
          <w:szCs w:val="24"/>
        </w:rPr>
        <w:t>项目</w:t>
      </w:r>
      <w:r>
        <w:rPr>
          <w:rFonts w:ascii="宋体;SimSun" w:hAnsi="宋体;SimSun" w:cs="宋体;SimSun" w:hint="eastAsia"/>
          <w:sz w:val="21"/>
          <w:szCs w:val="24"/>
        </w:rPr>
        <w:t>“</w:t>
      </w:r>
      <w:r>
        <w:rPr>
          <w:sz w:val="21"/>
          <w:szCs w:val="24"/>
        </w:rPr>
        <w:t>制备低木质素烟梗薄片</w:t>
      </w:r>
      <w:r>
        <w:rPr>
          <w:rFonts w:hint="eastAsia"/>
          <w:sz w:val="21"/>
          <w:szCs w:val="24"/>
        </w:rPr>
        <w:t>的</w:t>
      </w:r>
      <w:r>
        <w:rPr>
          <w:sz w:val="21"/>
          <w:szCs w:val="24"/>
        </w:rPr>
        <w:t>研究</w:t>
      </w:r>
      <w:r>
        <w:rPr>
          <w:rFonts w:ascii="宋体;SimSun" w:hAnsi="宋体;SimSun" w:cs="宋体;SimSun" w:hint="eastAsia"/>
          <w:sz w:val="21"/>
          <w:szCs w:val="24"/>
        </w:rPr>
        <w:t>”</w:t>
      </w:r>
      <w:r>
        <w:rPr>
          <w:rFonts w:hint="eastAsia"/>
          <w:sz w:val="21"/>
          <w:szCs w:val="24"/>
        </w:rPr>
        <w:t>（</w:t>
      </w:r>
      <w:r>
        <w:rPr>
          <w:sz w:val="21"/>
          <w:szCs w:val="24"/>
        </w:rPr>
        <w:t>xxxxxxxx</w:t>
      </w:r>
      <w:r>
        <w:rPr>
          <w:rFonts w:hint="eastAsia"/>
          <w:sz w:val="21"/>
          <w:szCs w:val="24"/>
        </w:rPr>
        <w:t>）</w:t>
      </w:r>
      <w:r>
        <w:rPr>
          <w:color w:val="FF0000"/>
          <w:sz w:val="21"/>
          <w:szCs w:val="24"/>
          <w:bdr w:val="single" w:sz="4" w:space="0" w:color="FF0000"/>
        </w:rPr>
        <w:t>若有资助项目须注明合同编号以确保唯一性</w:t>
      </w:r>
    </w:p>
    <w:p>
      <w:pPr>
        <w:pStyle w:val="Footer"/>
        <w:spacing w:lineRule="auto" w:line="360"/>
        <w:rPr>
          <w:sz w:val="21"/>
          <w:szCs w:val="24"/>
        </w:rPr>
      </w:pPr>
      <w:r>
        <w:rPr>
          <w:b/>
          <w:sz w:val="21"/>
          <w:szCs w:val="24"/>
        </w:rPr>
        <w:t>作者简介：</w:t>
      </w:r>
      <w:r>
        <w:rPr>
          <w:rFonts w:hint="eastAsia"/>
          <w:b/>
          <w:sz w:val="21"/>
          <w:szCs w:val="24"/>
        </w:rPr>
        <w:t>张三</w:t>
      </w:r>
      <w:r>
        <w:rPr>
          <w:sz w:val="21"/>
          <w:szCs w:val="24"/>
        </w:rPr>
        <w:t>（</w:t>
      </w:r>
      <w:r>
        <w:rPr>
          <w:sz w:val="21"/>
          <w:szCs w:val="24"/>
        </w:rPr>
        <w:t>19XX—</w:t>
      </w:r>
      <w:r>
        <w:rPr>
          <w:sz w:val="21"/>
          <w:szCs w:val="24"/>
        </w:rPr>
        <w:t>），最高学历，职称，主要研究方向，</w:t>
      </w:r>
      <w:r>
        <w:rPr>
          <w:sz w:val="21"/>
          <w:szCs w:val="24"/>
        </w:rPr>
        <w:t>Tel</w:t>
      </w:r>
      <w:r>
        <w:rPr>
          <w:sz w:val="21"/>
          <w:szCs w:val="24"/>
        </w:rPr>
        <w:t>：</w:t>
      </w:r>
      <w:r>
        <w:rPr>
          <w:sz w:val="21"/>
          <w:szCs w:val="24"/>
        </w:rPr>
        <w:t>xxx-xxxxxxxx</w:t>
      </w:r>
      <w:r>
        <w:rPr>
          <w:color w:val="FF0000"/>
          <w:sz w:val="21"/>
          <w:szCs w:val="24"/>
          <w:bdr w:val="single" w:sz="4" w:space="0" w:color="FF0000"/>
        </w:rPr>
        <w:t>此号码将在文中公开</w:t>
      </w:r>
      <w:r>
        <w:rPr>
          <w:sz w:val="21"/>
          <w:szCs w:val="24"/>
        </w:rPr>
        <w:t>，</w:t>
      </w:r>
      <w:r>
        <w:rPr>
          <w:sz w:val="21"/>
          <w:szCs w:val="24"/>
        </w:rPr>
        <w:t>Email</w:t>
      </w:r>
      <w:r>
        <w:rPr>
          <w:sz w:val="21"/>
          <w:szCs w:val="24"/>
        </w:rPr>
        <w:t>：</w:t>
      </w:r>
      <w:r>
        <w:rPr>
          <w:color w:val="FF0000"/>
          <w:sz w:val="21"/>
          <w:szCs w:val="24"/>
          <w:bdr w:val="single" w:sz="4" w:space="0" w:color="FF0000"/>
        </w:rPr>
        <w:t>此</w:t>
      </w:r>
      <w:r>
        <w:rPr>
          <w:rFonts w:hint="eastAsia"/>
          <w:color w:val="FF0000"/>
          <w:sz w:val="21"/>
          <w:szCs w:val="24"/>
          <w:bdr w:val="single" w:sz="4" w:space="0" w:color="FF0000"/>
        </w:rPr>
        <w:t>邮箱</w:t>
      </w:r>
      <w:r>
        <w:rPr>
          <w:color w:val="FF0000"/>
          <w:sz w:val="21"/>
          <w:szCs w:val="24"/>
          <w:bdr w:val="single" w:sz="4" w:space="0" w:color="FF0000"/>
        </w:rPr>
        <w:t>将在文中公开</w:t>
      </w:r>
    </w:p>
    <w:p>
      <w:pPr>
        <w:pStyle w:val="Footer"/>
        <w:spacing w:lineRule="auto" w:line="360"/>
        <w:rPr>
          <w:sz w:val="21"/>
          <w:szCs w:val="24"/>
        </w:rPr>
      </w:pPr>
      <w:r>
        <w:rPr>
          <w:b/>
          <w:sz w:val="21"/>
          <w:szCs w:val="24"/>
        </w:rPr>
        <w:t>通讯作者：</w:t>
      </w:r>
      <w:r>
        <w:rPr>
          <w:rFonts w:hint="eastAsia"/>
          <w:sz w:val="21"/>
          <w:szCs w:val="24"/>
        </w:rPr>
        <w:t>张小杰</w:t>
      </w:r>
      <w:r>
        <w:rPr>
          <w:color w:val="FF0000"/>
          <w:kern w:val="2"/>
          <w:sz w:val="21"/>
          <w:szCs w:val="24"/>
          <w:bdr w:val="single" w:sz="4" w:space="0" w:color="FF0000"/>
        </w:rPr>
        <w:t>若不同于第一作者</w:t>
      </w:r>
      <w:r>
        <w:rPr>
          <w:sz w:val="21"/>
          <w:szCs w:val="24"/>
        </w:rPr>
        <w:t>（</w:t>
      </w:r>
      <w:r>
        <w:rPr>
          <w:sz w:val="21"/>
          <w:szCs w:val="24"/>
        </w:rPr>
        <w:t>19XX—</w:t>
      </w:r>
      <w:r>
        <w:rPr>
          <w:sz w:val="21"/>
          <w:szCs w:val="24"/>
        </w:rPr>
        <w:t xml:space="preserve">），最高学历，职称，主要研究方向， </w:t>
      </w:r>
      <w:r>
        <w:rPr>
          <w:sz w:val="21"/>
          <w:szCs w:val="24"/>
        </w:rPr>
        <w:t>Tel</w:t>
      </w:r>
      <w:r>
        <w:rPr>
          <w:sz w:val="21"/>
          <w:szCs w:val="24"/>
        </w:rPr>
        <w:t>：</w:t>
      </w:r>
      <w:r>
        <w:rPr>
          <w:sz w:val="21"/>
          <w:szCs w:val="24"/>
        </w:rPr>
        <w:t>xxx-xxxxxxxx</w:t>
      </w:r>
      <w:r>
        <w:rPr>
          <w:sz w:val="21"/>
          <w:szCs w:val="24"/>
        </w:rPr>
        <w:t>，</w:t>
      </w:r>
      <w:r>
        <w:rPr>
          <w:sz w:val="21"/>
          <w:szCs w:val="24"/>
        </w:rPr>
        <w:t>Email</w:t>
      </w:r>
      <w:r>
        <w:rPr>
          <w:sz w:val="21"/>
          <w:szCs w:val="24"/>
        </w:rPr>
        <w:t>：</w:t>
      </w:r>
      <w:r>
        <w:rPr>
          <w:color w:val="FF0000"/>
          <w:sz w:val="21"/>
          <w:szCs w:val="24"/>
          <w:bdr w:val="single" w:sz="4" w:space="0" w:color="FF0000"/>
        </w:rPr>
        <w:t>此</w:t>
      </w:r>
      <w:r>
        <w:rPr>
          <w:rFonts w:hint="eastAsia"/>
          <w:color w:val="FF0000"/>
          <w:sz w:val="21"/>
          <w:szCs w:val="24"/>
          <w:bdr w:val="single" w:sz="4" w:space="0" w:color="FF0000"/>
        </w:rPr>
        <w:t>邮箱</w:t>
      </w:r>
      <w:r>
        <w:rPr>
          <w:color w:val="FF0000"/>
          <w:sz w:val="21"/>
          <w:szCs w:val="24"/>
          <w:bdr w:val="single" w:sz="4" w:space="0" w:color="FF0000"/>
        </w:rPr>
        <w:t>将在文中公开</w:t>
      </w:r>
    </w:p>
    <w:p>
      <w:pPr>
        <w:pStyle w:val="Footer"/>
        <w:spacing w:lineRule="auto" w:line="360"/>
        <w:rPr>
          <w:b/>
          <w:sz w:val="21"/>
          <w:szCs w:val="24"/>
        </w:rPr>
      </w:pPr>
      <w:r>
        <w:rPr>
          <w:b/>
          <w:sz w:val="21"/>
          <w:szCs w:val="24"/>
        </w:rPr>
        <w:t xml:space="preserve">收稿日期：               </w:t>
      </w:r>
    </w:p>
    <w:p>
      <w:pPr>
        <w:pStyle w:val="Normal"/>
        <w:jc w:val="start"/>
        <w:rPr>
          <w:b/>
          <w:sz w:val="21"/>
          <w:szCs w:val="18"/>
        </w:rPr>
      </w:pPr>
      <w:r>
        <w:rPr>
          <w:b/>
          <w:sz w:val="21"/>
          <w:szCs w:val="18"/>
        </w:rPr>
      </w:r>
    </w:p>
    <w:p>
      <w:pPr>
        <w:pStyle w:val="Normal"/>
        <w:numPr>
          <w:ilvl w:val="0"/>
          <w:numId w:val="8"/>
        </w:numPr>
        <w:snapToGrid w:val="false"/>
        <w:ind w:hanging="357" w:start="357" w:end="0"/>
        <w:rPr>
          <w:rFonts w:eastAsia="华文楷体"/>
          <w:color w:val="FF0000"/>
          <w:sz w:val="24"/>
        </w:rPr>
      </w:pPr>
      <w:r>
        <w:rPr>
          <w:rFonts w:eastAsia="华文楷体"/>
          <w:color w:val="FF0000"/>
          <w:sz w:val="24"/>
        </w:rPr>
        <w:t>论文中一般应采用四号字，图表中文字</w:t>
      </w:r>
      <w:r>
        <w:rPr>
          <w:rFonts w:hint="eastAsia" w:eastAsia="华文楷体"/>
          <w:color w:val="FF0000"/>
          <w:sz w:val="24"/>
        </w:rPr>
        <w:t>一般为五号字体，</w:t>
      </w:r>
      <w:r>
        <w:rPr>
          <w:rFonts w:eastAsia="华文楷体"/>
          <w:color w:val="FF0000"/>
          <w:sz w:val="24"/>
        </w:rPr>
        <w:t>1.5</w:t>
      </w:r>
      <w:r>
        <w:rPr>
          <w:rFonts w:eastAsia="华文楷体"/>
          <w:color w:val="FF0000"/>
          <w:sz w:val="24"/>
        </w:rPr>
        <w:t>倍行距。</w:t>
      </w:r>
    </w:p>
    <w:p>
      <w:pPr>
        <w:pStyle w:val="Normal"/>
        <w:numPr>
          <w:ilvl w:val="0"/>
          <w:numId w:val="8"/>
        </w:numPr>
        <w:snapToGrid w:val="false"/>
        <w:ind w:hanging="357" w:start="357" w:end="0"/>
        <w:rPr>
          <w:rFonts w:eastAsia="华文楷体"/>
          <w:color w:val="FF0000"/>
          <w:sz w:val="24"/>
        </w:rPr>
      </w:pPr>
      <w:r>
        <w:rPr>
          <w:rFonts w:eastAsia="华文楷体"/>
          <w:color w:val="FF0000"/>
          <w:sz w:val="24"/>
        </w:rPr>
        <w:t>正文中字体一般为宋体，</w:t>
      </w:r>
      <w:r>
        <w:rPr>
          <w:rFonts w:eastAsia="华文楷体"/>
          <w:color w:val="FF0000"/>
          <w:sz w:val="24"/>
          <w:highlight w:val="yellow"/>
        </w:rPr>
        <w:t>字母和数字为</w:t>
      </w:r>
      <w:r>
        <w:rPr>
          <w:rFonts w:eastAsia="华文楷体"/>
          <w:color w:val="FF0000"/>
          <w:sz w:val="24"/>
          <w:highlight w:val="yellow"/>
        </w:rPr>
        <w:t>Times New Roman</w:t>
      </w:r>
      <w:r>
        <w:rPr>
          <w:rFonts w:eastAsia="华文楷体"/>
          <w:color w:val="FF0000"/>
          <w:sz w:val="24"/>
          <w:highlight w:val="yellow"/>
        </w:rPr>
        <w:t>体，因为涉及部分标点符号的正确显示，所以要统一规定</w:t>
      </w:r>
      <w:r>
        <w:rPr>
          <w:rFonts w:eastAsia="华文楷体"/>
          <w:color w:val="FF0000"/>
          <w:sz w:val="24"/>
        </w:rPr>
        <w:t>。论文应在右下角标出页码以利于编辑和修改。不必标出行号。</w:t>
      </w:r>
    </w:p>
    <w:p>
      <w:pPr>
        <w:pStyle w:val="Normal"/>
        <w:numPr>
          <w:ilvl w:val="0"/>
          <w:numId w:val="8"/>
        </w:numPr>
        <w:snapToGrid w:val="false"/>
        <w:ind w:hanging="357" w:start="357" w:end="0"/>
        <w:rPr>
          <w:rFonts w:eastAsia="华文楷体"/>
          <w:color w:val="FF0000"/>
          <w:sz w:val="24"/>
        </w:rPr>
      </w:pPr>
      <w:r>
        <w:rPr>
          <w:rFonts w:hint="eastAsia" w:eastAsia="华文楷体"/>
          <w:color w:val="FF0000"/>
          <w:sz w:val="24"/>
        </w:rPr>
        <w:t>本刊暂不支持双通讯或双一作。</w:t>
      </w:r>
      <w:r>
        <w:br w:type="page"/>
      </w:r>
    </w:p>
    <w:p>
      <w:pPr>
        <w:pStyle w:val="Normal"/>
        <w:spacing w:lineRule="auto" w:line="360" w:before="200" w:after="160"/>
        <w:ind w:end="403"/>
        <w:jc w:val="center"/>
        <w:rPr>
          <w:rFonts w:eastAsia="仿宋"/>
          <w:b/>
          <w:bCs/>
          <w:kern w:val="0"/>
          <w:sz w:val="36"/>
          <w:szCs w:val="44"/>
        </w:rPr>
      </w:pPr>
      <w:r>
        <w:rPr>
          <w:rFonts w:eastAsia="黑体;SimHei"/>
          <w:b/>
          <w:bCs/>
          <w:kern w:val="0"/>
          <w:sz w:val="36"/>
          <w:szCs w:val="44"/>
        </w:rPr>
        <w:t>《中国烟草学报》论文模版</w:t>
      </w:r>
      <w:r>
        <w:rPr>
          <w:rFonts w:eastAsia="仿宋"/>
          <w:color w:val="FF0000"/>
          <w:kern w:val="0"/>
          <w:sz w:val="28"/>
          <w:szCs w:val="28"/>
          <w:bdr w:val="single" w:sz="4" w:space="0" w:color="FF0000"/>
        </w:rPr>
        <w:t>题目以具体化、立论式为佳，应简明，一般不宜超过</w:t>
      </w:r>
      <w:r>
        <w:rPr>
          <w:rFonts w:eastAsia="仿宋"/>
          <w:color w:val="FF0000"/>
          <w:kern w:val="0"/>
          <w:sz w:val="28"/>
          <w:szCs w:val="28"/>
          <w:bdr w:val="single" w:sz="4" w:space="0" w:color="FF0000"/>
        </w:rPr>
        <w:t>25</w:t>
      </w:r>
      <w:r>
        <w:rPr>
          <w:rFonts w:eastAsia="仿宋"/>
          <w:color w:val="FF0000"/>
          <w:kern w:val="0"/>
          <w:sz w:val="28"/>
          <w:szCs w:val="28"/>
          <w:bdr w:val="single" w:sz="4" w:space="0" w:color="FF0000"/>
        </w:rPr>
        <w:t>字</w:t>
      </w:r>
    </w:p>
    <w:p>
      <w:pPr>
        <w:pStyle w:val="Normal"/>
        <w:spacing w:lineRule="auto" w:line="360" w:before="360" w:after="0"/>
        <w:ind w:start="403" w:end="403"/>
        <w:jc w:val="center"/>
        <w:rPr>
          <w:rFonts w:eastAsia="仿宋"/>
          <w:kern w:val="0"/>
          <w:sz w:val="28"/>
          <w:szCs w:val="28"/>
        </w:rPr>
      </w:pPr>
      <w:r>
        <w:rPr>
          <w:rFonts w:hint="eastAsia" w:eastAsia="仿宋"/>
          <w:kern w:val="0"/>
          <w:sz w:val="28"/>
          <w:szCs w:val="28"/>
        </w:rPr>
        <w:t>张三</w:t>
      </w:r>
      <w:r>
        <w:rPr>
          <w:rFonts w:eastAsia="仿宋"/>
          <w:kern w:val="0"/>
          <w:sz w:val="28"/>
          <w:szCs w:val="28"/>
          <w:vertAlign w:val="superscript"/>
        </w:rPr>
        <w:t>1</w:t>
      </w:r>
      <w:r>
        <w:rPr>
          <w:rFonts w:eastAsia="仿宋"/>
          <w:kern w:val="0"/>
          <w:sz w:val="28"/>
          <w:szCs w:val="28"/>
        </w:rPr>
        <w:t>，</w:t>
      </w:r>
      <w:r>
        <w:rPr>
          <w:rFonts w:hint="eastAsia" w:eastAsia="仿宋"/>
          <w:kern w:val="0"/>
          <w:sz w:val="28"/>
          <w:szCs w:val="28"/>
        </w:rPr>
        <w:t>李小四</w:t>
      </w:r>
      <w:r>
        <w:rPr>
          <w:rFonts w:eastAsia="仿宋"/>
          <w:kern w:val="0"/>
          <w:sz w:val="28"/>
          <w:szCs w:val="28"/>
          <w:vertAlign w:val="superscript"/>
        </w:rPr>
        <w:t>1,2</w:t>
      </w:r>
      <w:r>
        <w:rPr>
          <w:rFonts w:eastAsia="仿宋"/>
          <w:kern w:val="0"/>
          <w:sz w:val="28"/>
          <w:szCs w:val="28"/>
        </w:rPr>
        <w:t>，张杰</w:t>
      </w:r>
      <w:r>
        <w:rPr>
          <w:rFonts w:eastAsia="仿宋"/>
          <w:kern w:val="0"/>
          <w:sz w:val="28"/>
          <w:szCs w:val="28"/>
          <w:vertAlign w:val="superscript"/>
        </w:rPr>
        <w:t>1</w:t>
      </w:r>
      <w:r>
        <w:rPr>
          <w:rFonts w:eastAsia="仿宋"/>
          <w:kern w:val="0"/>
          <w:sz w:val="28"/>
          <w:szCs w:val="28"/>
        </w:rPr>
        <w:t>，张小杰</w:t>
      </w:r>
      <w:r>
        <w:rPr>
          <w:rFonts w:eastAsia="仿宋"/>
          <w:kern w:val="0"/>
          <w:sz w:val="28"/>
          <w:szCs w:val="28"/>
          <w:vertAlign w:val="superscript"/>
        </w:rPr>
        <w:t>1</w:t>
      </w:r>
      <w:r>
        <w:rPr>
          <w:rFonts w:eastAsia="仿宋"/>
          <w:iCs/>
          <w:kern w:val="0"/>
          <w:sz w:val="28"/>
          <w:szCs w:val="28"/>
          <w:vertAlign w:val="superscript"/>
        </w:rPr>
        <w:t>,2</w:t>
      </w:r>
      <w:r>
        <w:rPr>
          <w:rFonts w:eastAsia="仿宋"/>
          <w:color w:val="FF0000"/>
          <w:kern w:val="0"/>
          <w:sz w:val="28"/>
          <w:szCs w:val="28"/>
          <w:bdr w:val="single" w:sz="4" w:space="0" w:color="FF0000"/>
        </w:rPr>
        <w:t>人名中不留空，以逗号隔开，对论文有实际贡献的责任者应列为作者</w:t>
      </w:r>
    </w:p>
    <w:p>
      <w:pPr>
        <w:pStyle w:val="Normal"/>
        <w:spacing w:lineRule="auto" w:line="360"/>
        <w:ind w:start="403" w:end="403"/>
        <w:jc w:val="center"/>
        <w:rPr>
          <w:kern w:val="0"/>
          <w:sz w:val="24"/>
        </w:rPr>
      </w:pPr>
      <w:r>
        <w:rPr>
          <w:kern w:val="0"/>
          <w:sz w:val="24"/>
        </w:rPr>
        <w:t>1</w:t>
      </w:r>
      <w:r>
        <w:rPr>
          <w:sz w:val="24"/>
        </w:rPr>
        <w:t>单位全名，部门</w:t>
      </w:r>
      <w:r>
        <w:rPr>
          <w:rFonts w:hint="eastAsia"/>
          <w:sz w:val="24"/>
        </w:rPr>
        <w:t>（</w:t>
      </w:r>
      <w:r>
        <w:rPr>
          <w:sz w:val="24"/>
        </w:rPr>
        <w:t>系</w:t>
      </w:r>
      <w:r>
        <w:rPr>
          <w:rFonts w:hint="eastAsia"/>
          <w:sz w:val="24"/>
        </w:rPr>
        <w:t>）</w:t>
      </w:r>
      <w:r>
        <w:rPr>
          <w:sz w:val="24"/>
        </w:rPr>
        <w:t>全名，省市</w:t>
      </w:r>
      <w:r>
        <w:rPr>
          <w:rFonts w:hint="eastAsia"/>
          <w:sz w:val="24"/>
        </w:rPr>
        <w:t>（</w:t>
      </w:r>
      <w:r>
        <w:rPr>
          <w:sz w:val="24"/>
        </w:rPr>
        <w:t>或直辖市</w:t>
      </w:r>
      <w:r>
        <w:rPr>
          <w:rFonts w:hint="eastAsia"/>
          <w:sz w:val="24"/>
        </w:rPr>
        <w:t>）</w:t>
      </w:r>
      <w:r>
        <w:rPr>
          <w:sz w:val="24"/>
        </w:rPr>
        <w:t>通讯地址  邮政编码</w:t>
      </w:r>
      <w:r>
        <w:rPr>
          <w:kern w:val="0"/>
          <w:sz w:val="24"/>
        </w:rPr>
        <w:t>；</w:t>
      </w:r>
    </w:p>
    <w:p>
      <w:pPr>
        <w:pStyle w:val="Normal"/>
        <w:spacing w:lineRule="auto" w:line="360"/>
        <w:ind w:start="403" w:end="403"/>
        <w:jc w:val="center"/>
        <w:rPr>
          <w:kern w:val="0"/>
          <w:sz w:val="24"/>
        </w:rPr>
      </w:pPr>
      <w:r>
        <w:rPr>
          <w:kern w:val="0"/>
          <w:sz w:val="24"/>
        </w:rPr>
        <w:t xml:space="preserve">2 </w:t>
      </w:r>
      <w:r>
        <w:rPr>
          <w:kern w:val="0"/>
          <w:sz w:val="24"/>
        </w:rPr>
        <w:t>单位全名，部门全名，辽宁大连大同路</w:t>
      </w:r>
      <w:r>
        <w:rPr>
          <w:kern w:val="0"/>
          <w:sz w:val="24"/>
        </w:rPr>
        <w:t>30</w:t>
      </w:r>
      <w:r>
        <w:rPr>
          <w:kern w:val="0"/>
          <w:sz w:val="24"/>
        </w:rPr>
        <w:t xml:space="preserve">号 </w:t>
      </w:r>
      <w:r>
        <w:rPr>
          <w:kern w:val="0"/>
          <w:sz w:val="24"/>
        </w:rPr>
        <w:t>116023</w:t>
      </w:r>
    </w:p>
    <w:p>
      <w:pPr>
        <w:pStyle w:val="Normal"/>
        <w:snapToGrid w:val="false"/>
        <w:spacing w:lineRule="auto" w:line="360"/>
        <w:ind w:end="403"/>
        <w:rPr>
          <w:sz w:val="28"/>
          <w:szCs w:val="28"/>
        </w:rPr>
      </w:pPr>
      <w:r>
        <w:rPr>
          <w:b/>
          <w:bCs/>
          <w:kern w:val="0"/>
          <w:sz w:val="28"/>
          <w:szCs w:val="28"/>
        </w:rPr>
        <w:t>摘要：</w:t>
      </w:r>
      <w:r>
        <w:rPr>
          <w:sz w:val="28"/>
          <w:szCs w:val="28"/>
        </w:rPr>
        <w:t>【目的】应用甘油碱法工艺对烟梗进行处理，制备低木质素烟梗薄片。【方法】以木质素脱除率和浆得率为衡量指标，对甘油碱法制浆工艺条件进行了优化，并比较了不同预处理工艺对再造烟叶烟气评吸质量的影响。【结果】（</w:t>
      </w:r>
      <w:r>
        <w:rPr>
          <w:sz w:val="28"/>
          <w:szCs w:val="28"/>
        </w:rPr>
        <w:t>1</w:t>
      </w:r>
      <w:r>
        <w:rPr>
          <w:sz w:val="28"/>
          <w:szCs w:val="28"/>
        </w:rPr>
        <w:t>）甘油碱法制浆最佳工艺条件为，氢氧化钾用量</w:t>
      </w:r>
      <w:r>
        <w:rPr>
          <w:sz w:val="28"/>
          <w:szCs w:val="28"/>
        </w:rPr>
        <w:t>45%</w:t>
      </w:r>
      <w:r>
        <w:rPr>
          <w:sz w:val="28"/>
          <w:szCs w:val="28"/>
        </w:rPr>
        <w:t>、蒸煮温度为</w:t>
      </w:r>
      <w:r>
        <w:rPr>
          <w:sz w:val="28"/>
          <w:szCs w:val="28"/>
        </w:rPr>
        <w:t>200</w:t>
      </w:r>
      <w:r>
        <w:rPr>
          <w:rFonts w:cs="宋体;SimSun" w:hint="eastAsia" w:ascii="宋体;SimSun" w:hAnsi="宋体;SimSun"/>
          <w:sz w:val="28"/>
          <w:szCs w:val="28"/>
        </w:rPr>
        <w:t>℃</w:t>
      </w:r>
      <w:r>
        <w:rPr>
          <w:sz w:val="28"/>
          <w:szCs w:val="28"/>
        </w:rPr>
        <w:t>、蒸煮液固比为</w:t>
      </w:r>
      <w:r>
        <w:rPr>
          <w:sz w:val="28"/>
          <w:szCs w:val="28"/>
        </w:rPr>
        <w:t>11:1</w:t>
      </w:r>
      <w:r>
        <w:rPr>
          <w:sz w:val="28"/>
          <w:szCs w:val="28"/>
        </w:rPr>
        <w:t>、蒸煮时间为</w:t>
      </w:r>
      <w:r>
        <w:rPr>
          <w:sz w:val="28"/>
          <w:szCs w:val="28"/>
        </w:rPr>
        <w:t>0.5 h</w:t>
      </w:r>
      <w:r>
        <w:rPr>
          <w:sz w:val="28"/>
          <w:szCs w:val="28"/>
        </w:rPr>
        <w:t>，此时烟梗中的木质素含量为</w:t>
      </w:r>
      <w:r>
        <w:rPr>
          <w:sz w:val="28"/>
          <w:szCs w:val="28"/>
        </w:rPr>
        <w:t>5.06%</w:t>
      </w:r>
      <w:r>
        <w:rPr>
          <w:sz w:val="28"/>
          <w:szCs w:val="28"/>
        </w:rPr>
        <w:t>，木质素脱除率为</w:t>
      </w:r>
      <w:r>
        <w:rPr>
          <w:sz w:val="28"/>
          <w:szCs w:val="28"/>
        </w:rPr>
        <w:t>43.01%</w:t>
      </w:r>
      <w:r>
        <w:rPr>
          <w:sz w:val="28"/>
          <w:szCs w:val="28"/>
        </w:rPr>
        <w:t>，浆得率为</w:t>
      </w:r>
      <w:r>
        <w:rPr>
          <w:sz w:val="28"/>
          <w:szCs w:val="28"/>
        </w:rPr>
        <w:t>37.12%</w:t>
      </w:r>
      <w:r>
        <w:rPr>
          <w:sz w:val="28"/>
          <w:szCs w:val="28"/>
        </w:rPr>
        <w:t>。（</w:t>
      </w:r>
      <w:r>
        <w:rPr>
          <w:sz w:val="28"/>
          <w:szCs w:val="28"/>
        </w:rPr>
        <w:t>2</w:t>
      </w:r>
      <w:r>
        <w:rPr>
          <w:sz w:val="28"/>
          <w:szCs w:val="28"/>
        </w:rPr>
        <w:t>）甘油碱法的木质素脱除率和木质气降低效果虽然稍逊色于氧碱法，但其对烟气质量提升的综合效果明显优于氧碱法和乙酸法。（</w:t>
      </w:r>
      <w:r>
        <w:rPr>
          <w:sz w:val="28"/>
          <w:szCs w:val="28"/>
        </w:rPr>
        <w:t>3</w:t>
      </w:r>
      <w:r>
        <w:rPr>
          <w:sz w:val="28"/>
          <w:szCs w:val="28"/>
        </w:rPr>
        <w:t>）采用甘油碱法再造烟叶制备的项目卷烟，其感官质量优于常规卷烟。【结论】采用甘油碱法工艺制备的烟草薄片，木质素含量低，应用于卷烟中可提升烟气品质。</w:t>
      </w:r>
    </w:p>
    <w:p>
      <w:pPr>
        <w:pStyle w:val="Normal"/>
        <w:snapToGrid w:val="false"/>
        <w:spacing w:lineRule="auto" w:line="360"/>
        <w:ind w:end="403"/>
        <w:rPr>
          <w:sz w:val="28"/>
          <w:szCs w:val="28"/>
        </w:rPr>
      </w:pPr>
      <w:r>
        <w:rPr>
          <w:b/>
          <w:bCs/>
          <w:kern w:val="0"/>
          <w:sz w:val="28"/>
          <w:szCs w:val="28"/>
        </w:rPr>
        <w:t>关键词：</w:t>
      </w:r>
      <w:r>
        <w:rPr>
          <w:sz w:val="28"/>
          <w:szCs w:val="28"/>
        </w:rPr>
        <w:t>木质素；烟梗；薄片；制浆；甘油碱法；氧碱法；卷烟；感官质量</w:t>
      </w:r>
      <w:r>
        <w:rPr>
          <w:color w:val="FF0000"/>
          <w:kern w:val="0"/>
          <w:sz w:val="28"/>
          <w:szCs w:val="28"/>
          <w:bdr w:val="single" w:sz="4" w:space="0" w:color="FF0000"/>
        </w:rPr>
        <w:t>关键词</w:t>
      </w:r>
      <w:r>
        <w:rPr>
          <w:color w:val="FF0000"/>
          <w:kern w:val="0"/>
          <w:sz w:val="28"/>
          <w:szCs w:val="28"/>
          <w:bdr w:val="single" w:sz="4" w:space="0" w:color="FF0000"/>
        </w:rPr>
        <w:t>3</w:t>
      </w:r>
      <w:r>
        <w:rPr>
          <w:color w:val="FF0000"/>
          <w:kern w:val="0"/>
          <w:sz w:val="28"/>
          <w:szCs w:val="28"/>
          <w:bdr w:val="single" w:sz="4" w:space="0" w:color="FF0000"/>
        </w:rPr>
        <w:t>个</w:t>
      </w:r>
      <w:r>
        <w:rPr>
          <w:color w:val="FF0000"/>
          <w:kern w:val="0"/>
          <w:sz w:val="28"/>
          <w:szCs w:val="28"/>
          <w:bdr w:val="single" w:sz="4" w:space="0" w:color="FF0000"/>
        </w:rPr>
        <w:t>~8</w:t>
      </w:r>
      <w:r>
        <w:rPr>
          <w:color w:val="FF0000"/>
          <w:kern w:val="0"/>
          <w:sz w:val="28"/>
          <w:szCs w:val="28"/>
          <w:bdr w:val="single" w:sz="4" w:space="0" w:color="FF0000"/>
        </w:rPr>
        <w:t>个，宜多选以增加文章被检索到的可能性。以分号隔开</w:t>
      </w:r>
    </w:p>
    <w:p>
      <w:pPr>
        <w:pStyle w:val="Normal"/>
        <w:numPr>
          <w:ilvl w:val="0"/>
          <w:numId w:val="8"/>
        </w:numPr>
        <w:snapToGrid w:val="false"/>
        <w:ind w:hanging="360" w:start="360" w:end="403"/>
        <w:rPr>
          <w:rFonts w:eastAsia="华文楷体"/>
          <w:color w:val="FF0000"/>
          <w:sz w:val="24"/>
        </w:rPr>
      </w:pPr>
      <w:r>
        <w:rPr>
          <w:rFonts w:eastAsia="华文楷体"/>
          <w:color w:val="FF0000"/>
          <w:sz w:val="24"/>
        </w:rPr>
        <w:t>摘要是对论文的内容不加注释和评论的简短陈述，应具有独立性和自明性，即不阅读全文就可以获得必要的信息。摘要的字数，原则上应与论文中的成果多少相适应，在一般情况下，报道性摘要以</w:t>
      </w:r>
      <w:r>
        <w:rPr>
          <w:rFonts w:eastAsia="华文楷体"/>
          <w:color w:val="FF0000"/>
          <w:sz w:val="24"/>
        </w:rPr>
        <w:t>400</w:t>
      </w:r>
      <w:r>
        <w:rPr>
          <w:rFonts w:eastAsia="华文楷体"/>
          <w:color w:val="FF0000"/>
          <w:sz w:val="24"/>
        </w:rPr>
        <w:t>字左右，报道</w:t>
      </w:r>
      <w:r>
        <w:rPr>
          <w:rFonts w:eastAsia="华文楷体"/>
          <w:color w:val="FF0000"/>
          <w:sz w:val="24"/>
        </w:rPr>
        <w:t>/</w:t>
      </w:r>
      <w:r>
        <w:rPr>
          <w:rFonts w:eastAsia="华文楷体"/>
          <w:color w:val="FF0000"/>
          <w:sz w:val="24"/>
        </w:rPr>
        <w:t>指示性摘要以</w:t>
      </w:r>
      <w:r>
        <w:rPr>
          <w:rFonts w:eastAsia="华文楷体"/>
          <w:color w:val="FF0000"/>
          <w:sz w:val="24"/>
        </w:rPr>
        <w:t>300</w:t>
      </w:r>
      <w:r>
        <w:rPr>
          <w:rFonts w:eastAsia="华文楷体"/>
          <w:color w:val="FF0000"/>
          <w:sz w:val="24"/>
        </w:rPr>
        <w:t>字左右。</w:t>
      </w:r>
    </w:p>
    <w:p>
      <w:pPr>
        <w:pStyle w:val="Normal"/>
        <w:numPr>
          <w:ilvl w:val="0"/>
          <w:numId w:val="8"/>
        </w:numPr>
        <w:snapToGrid w:val="false"/>
        <w:ind w:hanging="360" w:start="360" w:end="403"/>
        <w:rPr>
          <w:rFonts w:eastAsia="华文楷体"/>
          <w:color w:val="FF0000"/>
          <w:sz w:val="24"/>
        </w:rPr>
      </w:pPr>
      <w:r>
        <w:rPr>
          <w:rFonts w:eastAsia="华文楷体"/>
          <w:color w:val="FF0000"/>
          <w:sz w:val="24"/>
        </w:rPr>
        <w:t>试验研究性论文应尽量写成报道性摘要，采用结构化格式。一般包括【目的】、【方法】、【结果】、【结论】四个部分。其中：结果应分清逻辑层次，建议使用序号陈述；结论应呼应目的，用一两句话陈述。</w:t>
      </w:r>
      <w:r>
        <w:rPr>
          <w:rFonts w:eastAsia="华文楷体"/>
          <w:b/>
          <w:color w:val="FF0000"/>
          <w:sz w:val="24"/>
        </w:rPr>
        <w:t>其他类型论文也建议尽量使用该格式。</w:t>
      </w:r>
    </w:p>
    <w:p>
      <w:pPr>
        <w:pStyle w:val="Normal"/>
        <w:numPr>
          <w:ilvl w:val="0"/>
          <w:numId w:val="8"/>
        </w:numPr>
        <w:snapToGrid w:val="false"/>
        <w:ind w:hanging="360" w:start="360" w:end="403"/>
        <w:rPr>
          <w:rFonts w:eastAsia="华文楷体"/>
          <w:color w:val="FF0000"/>
          <w:sz w:val="24"/>
        </w:rPr>
      </w:pPr>
      <w:r>
        <w:rPr>
          <w:rFonts w:eastAsia="华文楷体"/>
          <w:color w:val="FF0000"/>
          <w:sz w:val="24"/>
        </w:rPr>
        <w:t>题目和摘要中不应使用非公知公用的符号和术语，不应有参考文献。对</w:t>
      </w:r>
      <w:r>
        <w:rPr>
          <w:rFonts w:eastAsia="华文楷体"/>
          <w:color w:val="FF0000"/>
          <w:sz w:val="24"/>
          <w:highlight w:val="yellow"/>
        </w:rPr>
        <w:t>摘要</w:t>
      </w:r>
      <w:r>
        <w:rPr>
          <w:rFonts w:hint="eastAsia" w:eastAsia="华文楷体"/>
          <w:color w:val="FF0000"/>
          <w:sz w:val="24"/>
          <w:highlight w:val="yellow"/>
        </w:rPr>
        <w:t>以及正文</w:t>
      </w:r>
      <w:r>
        <w:rPr>
          <w:rFonts w:eastAsia="华文楷体"/>
          <w:color w:val="FF0000"/>
          <w:sz w:val="24"/>
          <w:highlight w:val="yellow"/>
        </w:rPr>
        <w:t>中首次出现</w:t>
      </w:r>
      <w:r>
        <w:rPr>
          <w:rFonts w:eastAsia="华文楷体"/>
          <w:color w:val="FF0000"/>
          <w:sz w:val="24"/>
        </w:rPr>
        <w:t>非公知公用的简称、外文缩略语和缩写词，</w:t>
      </w:r>
      <w:r>
        <w:rPr>
          <w:rFonts w:eastAsia="华文楷体"/>
          <w:color w:val="FF0000"/>
          <w:sz w:val="24"/>
          <w:highlight w:val="yellow"/>
        </w:rPr>
        <w:t>应给出全称、中文翻译或解释</w:t>
      </w:r>
      <w:r>
        <w:rPr>
          <w:rFonts w:hint="eastAsia" w:eastAsia="华文楷体"/>
          <w:color w:val="FF0000"/>
          <w:sz w:val="24"/>
          <w:highlight w:val="yellow"/>
        </w:rPr>
        <w:t>。</w:t>
      </w:r>
    </w:p>
    <w:p>
      <w:pPr>
        <w:pStyle w:val="Normal"/>
        <w:snapToGrid w:val="false"/>
        <w:ind w:end="403"/>
        <w:rPr>
          <w:rFonts w:eastAsia="华文楷体"/>
          <w:color w:val="FF0000"/>
          <w:sz w:val="24"/>
        </w:rPr>
      </w:pPr>
      <w:r>
        <w:rPr>
          <w:rFonts w:eastAsia="华文楷体"/>
          <w:color w:val="FF0000"/>
          <w:sz w:val="24"/>
        </w:rPr>
      </w:r>
      <w:r>
        <w:br w:type="page"/>
      </w:r>
    </w:p>
    <w:p>
      <w:pPr>
        <w:pStyle w:val="Normal"/>
        <w:spacing w:before="156" w:after="156"/>
        <w:ind w:start="403" w:end="403"/>
        <w:jc w:val="center"/>
        <w:rPr>
          <w:kern w:val="0"/>
          <w:sz w:val="32"/>
        </w:rPr>
      </w:pPr>
      <w:r>
        <w:rPr>
          <w:b/>
          <w:bCs/>
          <w:kern w:val="0"/>
          <w:sz w:val="32"/>
        </w:rPr>
        <w:t>Modeling and control of vacuum pre-conditioner</w:t>
      </w:r>
      <w:r>
        <w:rPr>
          <w:color w:val="FF0000"/>
          <w:kern w:val="0"/>
          <w:sz w:val="24"/>
          <w:bdr w:val="single" w:sz="4" w:space="0" w:color="FF0000"/>
        </w:rPr>
        <w:t>题目首字母和特有名词大写，其余均小写</w:t>
      </w:r>
    </w:p>
    <w:p>
      <w:pPr>
        <w:pStyle w:val="Normal"/>
        <w:snapToGrid w:val="false"/>
        <w:spacing w:lineRule="auto" w:line="360"/>
        <w:ind w:start="403" w:end="403"/>
        <w:jc w:val="center"/>
        <w:rPr>
          <w:color w:val="FF0000"/>
          <w:kern w:val="0"/>
          <w:sz w:val="24"/>
          <w:bdr w:val="single" w:sz="4" w:space="0" w:color="FF0000"/>
        </w:rPr>
      </w:pPr>
      <w:r>
        <w:rPr>
          <w:rFonts w:hint="eastAsia"/>
          <w:kern w:val="0"/>
          <w:sz w:val="24"/>
        </w:rPr>
        <w:t>ZHANG San</w:t>
      </w:r>
      <w:r>
        <w:rPr>
          <w:rFonts w:hint="eastAsia"/>
          <w:kern w:val="0"/>
          <w:sz w:val="24"/>
          <w:vertAlign w:val="superscript"/>
        </w:rPr>
        <w:t>1</w:t>
      </w:r>
      <w:r>
        <w:rPr>
          <w:rFonts w:hint="eastAsia"/>
          <w:kern w:val="0"/>
          <w:sz w:val="24"/>
        </w:rPr>
        <w:t>, LI Xiaosi</w:t>
      </w:r>
      <w:r>
        <w:rPr>
          <w:rFonts w:hint="eastAsia"/>
          <w:kern w:val="0"/>
          <w:sz w:val="24"/>
          <w:vertAlign w:val="superscript"/>
        </w:rPr>
        <w:t>1,2</w:t>
      </w:r>
      <w:r>
        <w:rPr>
          <w:rFonts w:hint="eastAsia"/>
          <w:kern w:val="0"/>
          <w:sz w:val="24"/>
        </w:rPr>
        <w:t>, ZHANG Jie</w:t>
      </w:r>
      <w:r>
        <w:rPr>
          <w:rFonts w:hint="eastAsia"/>
          <w:kern w:val="0"/>
          <w:sz w:val="24"/>
          <w:vertAlign w:val="superscript"/>
        </w:rPr>
        <w:t>1</w:t>
      </w:r>
      <w:r>
        <w:rPr>
          <w:rFonts w:hint="eastAsia"/>
          <w:kern w:val="0"/>
          <w:sz w:val="24"/>
        </w:rPr>
        <w:t xml:space="preserve">, </w:t>
      </w:r>
      <w:r>
        <w:rPr>
          <w:kern w:val="0"/>
          <w:sz w:val="24"/>
        </w:rPr>
        <w:t>ZHANG Xiaojie</w:t>
      </w:r>
      <w:r>
        <w:rPr>
          <w:kern w:val="0"/>
          <w:sz w:val="24"/>
          <w:vertAlign w:val="superscript"/>
        </w:rPr>
        <w:t xml:space="preserve"> 1</w:t>
      </w:r>
      <w:r>
        <w:rPr>
          <w:rFonts w:hint="eastAsia"/>
          <w:kern w:val="0"/>
          <w:sz w:val="24"/>
          <w:vertAlign w:val="superscript"/>
        </w:rPr>
        <w:t>,</w:t>
      </w:r>
      <w:r>
        <w:rPr>
          <w:kern w:val="0"/>
          <w:sz w:val="24"/>
          <w:vertAlign w:val="superscript"/>
        </w:rPr>
        <w:t>2</w:t>
      </w:r>
      <w:r>
        <w:rPr>
          <w:rFonts w:hint="eastAsia"/>
          <w:kern w:val="0"/>
          <w:sz w:val="24"/>
          <w:vertAlign w:val="superscript"/>
        </w:rPr>
        <w:t>*</w:t>
      </w:r>
      <w:r>
        <w:rPr>
          <w:color w:val="FF0000"/>
          <w:kern w:val="0"/>
          <w:sz w:val="24"/>
          <w:bdr w:val="single" w:sz="4" w:space="0" w:color="FF0000"/>
        </w:rPr>
        <w:t>姓前名后，姓全部大写。两字名不加连字符</w:t>
      </w:r>
    </w:p>
    <w:p>
      <w:pPr>
        <w:pStyle w:val="Normal"/>
        <w:snapToGrid w:val="false"/>
        <w:spacing w:lineRule="auto" w:line="360"/>
        <w:ind w:start="403" w:end="403"/>
        <w:jc w:val="center"/>
        <w:rPr>
          <w:iCs/>
          <w:kern w:val="0"/>
          <w:sz w:val="24"/>
        </w:rPr>
      </w:pPr>
      <w:r>
        <w:rPr>
          <w:iCs/>
          <w:kern w:val="0"/>
          <w:sz w:val="24"/>
        </w:rPr>
        <w:t xml:space="preserve">1 </w:t>
      </w:r>
      <w:r>
        <w:rPr>
          <w:iCs/>
          <w:kern w:val="0"/>
          <w:sz w:val="24"/>
        </w:rPr>
        <w:t>部门</w:t>
      </w:r>
      <w:r>
        <w:rPr>
          <w:iCs/>
          <w:kern w:val="0"/>
          <w:sz w:val="24"/>
        </w:rPr>
        <w:t xml:space="preserve">, </w:t>
      </w:r>
      <w:r>
        <w:rPr>
          <w:iCs/>
          <w:kern w:val="0"/>
          <w:sz w:val="24"/>
        </w:rPr>
        <w:t>单位全名</w:t>
      </w:r>
      <w:r>
        <w:rPr>
          <w:iCs/>
          <w:kern w:val="0"/>
          <w:sz w:val="24"/>
        </w:rPr>
        <w:t xml:space="preserve">, </w:t>
      </w:r>
      <w:r>
        <w:rPr>
          <w:iCs/>
          <w:kern w:val="0"/>
          <w:sz w:val="24"/>
        </w:rPr>
        <w:t>城市 邮编，中国；</w:t>
      </w:r>
    </w:p>
    <w:p>
      <w:pPr>
        <w:pStyle w:val="Normal"/>
        <w:snapToGrid w:val="false"/>
        <w:spacing w:lineRule="auto" w:line="360"/>
        <w:ind w:start="403" w:end="403"/>
        <w:jc w:val="center"/>
        <w:rPr>
          <w:kern w:val="0"/>
          <w:sz w:val="24"/>
        </w:rPr>
      </w:pPr>
      <w:r>
        <w:rPr>
          <w:iCs/>
          <w:kern w:val="0"/>
          <w:sz w:val="24"/>
        </w:rPr>
        <w:t>2 Industrial Chemistry Institute, Nanjing University of Science and Technology, Nanjing 210094, China</w:t>
      </w:r>
    </w:p>
    <w:p>
      <w:pPr>
        <w:pStyle w:val="Normal"/>
        <w:snapToGrid w:val="false"/>
        <w:spacing w:lineRule="auto" w:line="360"/>
        <w:rPr/>
      </w:pPr>
      <w:r>
        <w:rPr>
          <w:b/>
          <w:bCs/>
          <w:kern w:val="0"/>
          <w:sz w:val="24"/>
        </w:rPr>
        <w:t>Abstract</w:t>
      </w:r>
      <w:r>
        <w:rPr>
          <w:rFonts w:hint="eastAsia"/>
          <w:b/>
          <w:bCs/>
          <w:kern w:val="0"/>
          <w:sz w:val="24"/>
        </w:rPr>
        <w:t xml:space="preserve">: </w:t>
      </w:r>
      <w:r>
        <w:rPr/>
        <w:t>[</w:t>
      </w:r>
      <w:r>
        <w:rPr>
          <w:b/>
        </w:rPr>
        <w:t>Objective</w:t>
      </w:r>
      <w:r>
        <w:rPr/>
        <w:t>] The stable moisture of vacuum pre-conditioner (VP) is of great importance to quality of cigarette. Since the moisture content and temperature of the flue gas inside the moisture return machine are not measurable, the moisture content at the outlet changes with the incoming material, steam and environment. To this end, the modeling and control system of tobacco vacuum moisture recovery was established in this paper to stabilize the moisture content of tobacco leaves exported. [</w:t>
      </w:r>
      <w:r>
        <w:rPr>
          <w:b/>
        </w:rPr>
        <w:t>Methods</w:t>
      </w:r>
      <w:r>
        <w:rPr/>
        <w:t xml:space="preserve">] A prototype of vacuum pre-conditioner was developed by increasing sensors and digital measuring to obtain data from inputs and outputs. The data were treated by patent methods. Through establishing steady-state model and dynamic model of vacuum pre-conditioner, state variables (SVs) such as internal pressure and temperature of vacuum pre-conditioner, moisture content and temperature of cigarette packet were observed. Experiments showed that the observation error was acceptable . </w:t>
      </w:r>
      <w:r>
        <w:rPr>
          <w:rFonts w:eastAsia="仿宋"/>
          <w:kern w:val="0"/>
        </w:rPr>
        <w:t>Then, for the time-varying, nonlinear, time-delayed and multi-in-and-out controlled objects, the reference model of moisture maximization under the constraint of moisture return time was trained by digital simulation according to the artificial intelligence algorithm. [</w:t>
      </w:r>
      <w:r>
        <w:rPr>
          <w:rFonts w:eastAsia="仿宋"/>
          <w:b/>
          <w:kern w:val="0"/>
        </w:rPr>
        <w:t>Results</w:t>
      </w:r>
      <w:r>
        <w:rPr>
          <w:rFonts w:eastAsia="仿宋"/>
          <w:kern w:val="0"/>
        </w:rPr>
        <w:t>] Test data show: 1) The system can increase the moisture content from 2% to 6%</w:t>
      </w:r>
      <w:r>
        <w:rPr/>
        <w:t xml:space="preserve"> under the condition that the temperature of the cigarette packed core does not exceed 70</w:t>
      </w:r>
      <w:r>
        <w:rPr>
          <w:rFonts w:cs="宋体;SimSun" w:hint="eastAsia" w:ascii="宋体;SimSun" w:hAnsi="宋体;SimSun"/>
        </w:rPr>
        <w:t>℃</w:t>
      </w:r>
      <w:r>
        <w:rPr/>
        <w:t>; 2) The system can be used to stabilize the outlet moisture, which is not affected by the drastic changes of steam, water spray, smoke packet and environment. [</w:t>
      </w:r>
      <w:r>
        <w:rPr>
          <w:b/>
        </w:rPr>
        <w:t>Conclusion</w:t>
      </w:r>
      <w:r>
        <w:rPr/>
        <w:t>] The modeling and control system of vacuum pre-conditioner developed based on big data can achieve accurate observation and control of vacuum moisture reversion.</w:t>
      </w:r>
    </w:p>
    <w:p>
      <w:pPr>
        <w:pStyle w:val="Normal"/>
        <w:rPr/>
      </w:pPr>
      <w:r>
        <w:rPr>
          <w:b/>
          <w:bCs/>
          <w:szCs w:val="18"/>
        </w:rPr>
        <w:t>Keyword</w:t>
      </w:r>
      <w:r>
        <w:rPr>
          <w:rFonts w:hint="eastAsia"/>
          <w:b/>
          <w:bCs/>
          <w:szCs w:val="18"/>
        </w:rPr>
        <w:t>s</w:t>
      </w:r>
      <w:r>
        <w:rPr>
          <w:b/>
          <w:bCs/>
          <w:szCs w:val="18"/>
        </w:rPr>
        <w:t>:</w:t>
      </w:r>
      <w:r>
        <w:rPr>
          <w:b/>
          <w:bCs/>
          <w:sz w:val="20"/>
          <w:szCs w:val="18"/>
        </w:rPr>
        <w:t xml:space="preserve"> </w:t>
      </w:r>
      <w:r>
        <w:rPr/>
        <w:t>lignin; tobacco stem; reconstituted tobacco sheets; glycerin alkali method; alkali-oxygen process; cigarette; sensory quality</w:t>
      </w:r>
    </w:p>
    <w:p>
      <w:pPr>
        <w:pStyle w:val="Normal"/>
        <w:jc w:val="start"/>
        <w:rPr>
          <w:szCs w:val="18"/>
        </w:rPr>
      </w:pPr>
      <w:r>
        <w:rPr>
          <w:szCs w:val="18"/>
        </w:rPr>
        <w:t>________________</w:t>
      </w:r>
    </w:p>
    <w:p>
      <w:pPr>
        <w:pStyle w:val="Normal"/>
        <w:jc w:val="start"/>
        <w:rPr>
          <w:szCs w:val="18"/>
        </w:rPr>
      </w:pPr>
      <w:r>
        <w:rPr>
          <w:szCs w:val="18"/>
        </w:rPr>
        <w:t xml:space="preserve">*Corresponding author. Email: </w:t>
      </w:r>
    </w:p>
    <w:p>
      <w:pPr>
        <w:pStyle w:val="Normal"/>
        <w:rPr>
          <w:rFonts w:hint="eastAsia"/>
        </w:rPr>
      </w:pPr>
      <w:r>
        <w:rPr/>
        <w:t xml:space="preserve"> </w:t>
      </w:r>
      <w:r>
        <w:rPr>
          <w:color w:val="FF0000"/>
          <w:kern w:val="0"/>
          <w:sz w:val="24"/>
          <w:bdr w:val="single" w:sz="4" w:space="0" w:color="FF0000"/>
        </w:rPr>
        <w:t>英文关键词应与中文关键词对应</w:t>
      </w:r>
      <w:r>
        <w:rPr>
          <w:rFonts w:hint="eastAsia"/>
          <w:color w:val="FF0000"/>
          <w:kern w:val="0"/>
          <w:sz w:val="24"/>
          <w:bdr w:val="single" w:sz="4" w:space="0" w:color="FF0000"/>
        </w:rPr>
        <w:t>，</w:t>
      </w:r>
      <w:r>
        <w:rPr>
          <w:color w:val="FF0000"/>
          <w:kern w:val="0"/>
          <w:sz w:val="24"/>
          <w:bdr w:val="single" w:sz="4" w:space="0" w:color="FF0000"/>
        </w:rPr>
        <w:t>以分号隔开</w:t>
      </w:r>
      <w:r>
        <w:rPr>
          <w:rFonts w:hint="eastAsia"/>
          <w:color w:val="FF0000"/>
          <w:kern w:val="0"/>
          <w:sz w:val="24"/>
          <w:bdr w:val="single" w:sz="4" w:space="0" w:color="FF0000"/>
        </w:rPr>
        <w:t>，首字母不必大写</w:t>
      </w:r>
    </w:p>
    <w:p>
      <w:pPr>
        <w:pStyle w:val="Normal"/>
        <w:numPr>
          <w:ilvl w:val="0"/>
          <w:numId w:val="8"/>
        </w:numPr>
        <w:snapToGrid w:val="false"/>
        <w:ind w:hanging="360" w:start="360" w:end="403"/>
        <w:rPr>
          <w:rFonts w:eastAsia="华文楷体"/>
          <w:color w:val="FF0000"/>
          <w:sz w:val="24"/>
        </w:rPr>
      </w:pPr>
      <w:r>
        <w:rPr>
          <w:rFonts w:eastAsia="华文楷体"/>
          <w:color w:val="FF0000"/>
          <w:sz w:val="24"/>
        </w:rPr>
        <w:t>英文摘要应与中文摘要文意一致，但不必一一对应，必要时可以比中文摘要包含更多信息。可以使用第一人称，主动语态表达。</w:t>
      </w:r>
    </w:p>
    <w:p>
      <w:pPr>
        <w:pStyle w:val="Normal"/>
        <w:numPr>
          <w:ilvl w:val="0"/>
          <w:numId w:val="8"/>
        </w:numPr>
        <w:snapToGrid w:val="false"/>
        <w:ind w:hanging="360" w:start="360" w:end="403"/>
        <w:rPr>
          <w:rFonts w:eastAsia="华文楷体"/>
          <w:color w:val="FF0000"/>
          <w:sz w:val="24"/>
        </w:rPr>
      </w:pPr>
      <w:r>
        <w:rPr>
          <w:rFonts w:hint="eastAsia" w:eastAsia="华文楷体"/>
          <w:color w:val="FF0000"/>
          <w:sz w:val="24"/>
        </w:rPr>
        <w:t>注意在通讯作者后标注</w:t>
      </w:r>
      <w:r>
        <w:rPr>
          <w:rFonts w:eastAsia="华文楷体" w:hint="eastAsia"/>
          <w:color w:val="FF0000"/>
          <w:sz w:val="24"/>
        </w:rPr>
        <w:t>*</w:t>
      </w:r>
      <w:r>
        <w:rPr>
          <w:rFonts w:hint="eastAsia" w:eastAsia="华文楷体"/>
          <w:color w:val="FF0000"/>
          <w:sz w:val="24"/>
        </w:rPr>
        <w:t>。</w:t>
      </w:r>
    </w:p>
    <w:p>
      <w:pPr>
        <w:pStyle w:val="Normal"/>
        <w:snapToGrid w:val="false"/>
        <w:spacing w:lineRule="auto" w:line="360"/>
        <w:rPr>
          <w:rFonts w:eastAsia="华文楷体"/>
          <w:color w:val="FF0000"/>
          <w:kern w:val="0"/>
          <w:sz w:val="24"/>
        </w:rPr>
      </w:pPr>
      <w:r>
        <w:rPr>
          <w:rFonts w:eastAsia="华文楷体"/>
          <w:color w:val="FF0000"/>
          <w:kern w:val="0"/>
          <w:sz w:val="24"/>
        </w:rPr>
      </w:r>
      <w:r>
        <w:br w:type="page"/>
      </w:r>
    </w:p>
    <w:p>
      <w:pPr>
        <w:pStyle w:val="Normal"/>
        <w:spacing w:lineRule="auto" w:line="360"/>
        <w:rPr>
          <w:b/>
          <w:kern w:val="0"/>
          <w:sz w:val="28"/>
          <w:szCs w:val="28"/>
        </w:rPr>
      </w:pPr>
      <w:r>
        <w:rPr>
          <w:rFonts w:hint="eastAsia"/>
          <w:b/>
          <w:kern w:val="0"/>
          <w:sz w:val="28"/>
        </w:rPr>
        <w:t xml:space="preserve">0   </w:t>
      </w:r>
      <w:r>
        <w:rPr>
          <w:b/>
          <w:kern w:val="0"/>
          <w:sz w:val="28"/>
          <w:szCs w:val="28"/>
        </w:rPr>
        <w:t>引言</w:t>
      </w:r>
    </w:p>
    <w:p>
      <w:pPr>
        <w:pStyle w:val="Normal"/>
        <w:tabs>
          <w:tab w:val="clear" w:pos="420"/>
          <w:tab w:val="left" w:pos="9781" w:leader="none"/>
          <w:tab w:val="left" w:pos="9923" w:leader="none"/>
        </w:tabs>
        <w:snapToGrid w:val="false"/>
        <w:spacing w:lineRule="auto" w:line="360"/>
        <w:ind w:firstLineChars="200" w:startChars="0" w:start="0" w:endChars="0" w:end="0"/>
        <w:rPr>
          <w:sz w:val="28"/>
          <w:szCs w:val="28"/>
        </w:rPr>
      </w:pPr>
      <w:r>
        <w:rPr>
          <w:sz w:val="28"/>
          <w:szCs w:val="28"/>
        </w:rPr>
        <w:t>拟除虫菊酯类农药是一类效果极佳的杀虫剂，…为确保卷烟产品质量安全，需要建立一种高效、快速的检测方法</w:t>
      </w:r>
      <w:r>
        <w:rPr>
          <w:b/>
          <w:color w:val="FF0000"/>
          <w:kern w:val="0"/>
          <w:sz w:val="28"/>
          <w:szCs w:val="28"/>
          <w:bdr w:val="single" w:sz="4" w:space="0" w:color="FF0000"/>
        </w:rPr>
        <w:t>背景</w:t>
      </w:r>
      <w:r>
        <w:rPr>
          <w:sz w:val="28"/>
          <w:szCs w:val="28"/>
        </w:rPr>
        <w:t>。目前，国内外对…测定方法的研究主要集中在烟叶、烟丝和烟末的测定方面</w:t>
      </w:r>
      <w:r>
        <w:rPr>
          <w:sz w:val="28"/>
          <w:szCs w:val="28"/>
          <w:vertAlign w:val="superscript"/>
        </w:rPr>
        <w:t>[1–6]</w:t>
      </w:r>
      <w:r>
        <w:rPr>
          <w:sz w:val="28"/>
          <w:szCs w:val="28"/>
        </w:rPr>
        <w:t>，卷烟主流烟气中…分析检测则相对较少</w:t>
      </w:r>
      <w:r>
        <w:rPr>
          <w:sz w:val="28"/>
          <w:szCs w:val="28"/>
          <w:vertAlign w:val="superscript"/>
        </w:rPr>
        <w:t>[7–9]</w:t>
      </w:r>
      <w:r>
        <w:rPr>
          <w:sz w:val="28"/>
          <w:szCs w:val="28"/>
        </w:rPr>
        <w:t>。</w:t>
      </w:r>
      <w:r>
        <w:rPr>
          <w:sz w:val="28"/>
          <w:szCs w:val="28"/>
        </w:rPr>
        <w:t>Mirjana</w:t>
      </w:r>
      <w:r>
        <w:rPr>
          <w:sz w:val="28"/>
          <w:szCs w:val="28"/>
        </w:rPr>
        <w:t>等</w:t>
      </w:r>
      <w:r>
        <w:rPr>
          <w:sz w:val="28"/>
          <w:szCs w:val="28"/>
          <w:vertAlign w:val="superscript"/>
        </w:rPr>
        <w:t>[10]</w:t>
      </w:r>
      <w:r>
        <w:rPr>
          <w:sz w:val="28"/>
          <w:szCs w:val="28"/>
        </w:rPr>
        <w:t>报道了…，</w:t>
      </w:r>
      <w:r>
        <w:rPr>
          <w:sz w:val="28"/>
          <w:szCs w:val="28"/>
        </w:rPr>
        <w:t>Mussalo</w:t>
      </w:r>
      <w:r>
        <w:rPr>
          <w:sz w:val="28"/>
          <w:szCs w:val="28"/>
        </w:rPr>
        <w:t>等</w:t>
      </w:r>
      <w:r>
        <w:rPr>
          <w:sz w:val="28"/>
          <w:szCs w:val="28"/>
          <w:vertAlign w:val="superscript"/>
        </w:rPr>
        <w:t>[11]</w:t>
      </w:r>
      <w:r>
        <w:rPr>
          <w:sz w:val="28"/>
          <w:szCs w:val="28"/>
        </w:rPr>
        <w:t>比较了…</w:t>
      </w:r>
      <w:r>
        <w:rPr>
          <w:b/>
          <w:color w:val="FF0000"/>
          <w:kern w:val="0"/>
          <w:sz w:val="28"/>
          <w:szCs w:val="28"/>
          <w:bdr w:val="single" w:sz="4" w:space="0" w:color="FF0000"/>
        </w:rPr>
        <w:t>相关研究</w:t>
      </w:r>
      <w:r>
        <w:rPr>
          <w:sz w:val="28"/>
          <w:szCs w:val="28"/>
        </w:rPr>
        <w:t>。已有的烟草中…的分析方法不能完全适用于卷烟主流烟气中拟除虫菊酯类农药含量的测定</w:t>
      </w:r>
      <w:r>
        <w:rPr>
          <w:b/>
          <w:color w:val="FF0000"/>
          <w:kern w:val="0"/>
          <w:sz w:val="28"/>
          <w:szCs w:val="28"/>
          <w:bdr w:val="single" w:sz="4" w:space="0" w:color="FF0000"/>
        </w:rPr>
        <w:t>知识空白点</w:t>
      </w:r>
      <w:r>
        <w:rPr>
          <w:sz w:val="28"/>
          <w:szCs w:val="28"/>
        </w:rPr>
        <w:t>。本文建立了一种…检测方法，以期为…农药安全性提供参考</w:t>
      </w:r>
      <w:r>
        <w:rPr>
          <w:b/>
          <w:color w:val="FF0000"/>
          <w:kern w:val="0"/>
          <w:sz w:val="28"/>
          <w:szCs w:val="28"/>
          <w:bdr w:val="single" w:sz="4" w:space="0" w:color="FF0000"/>
        </w:rPr>
        <w:t>本研究的目的及预期</w:t>
      </w:r>
      <w:r>
        <w:rPr>
          <w:sz w:val="28"/>
          <w:szCs w:val="28"/>
        </w:rPr>
        <w:t>。</w:t>
      </w:r>
    </w:p>
    <w:p>
      <w:pPr>
        <w:pStyle w:val="Normal"/>
        <w:numPr>
          <w:ilvl w:val="0"/>
          <w:numId w:val="8"/>
        </w:numPr>
        <w:snapToGrid w:val="false"/>
        <w:rPr>
          <w:rFonts w:eastAsia="华文楷体"/>
          <w:color w:val="FF0000"/>
          <w:sz w:val="24"/>
        </w:rPr>
      </w:pPr>
      <w:r>
        <w:rPr>
          <w:rFonts w:eastAsia="华文楷体"/>
          <w:color w:val="FF0000"/>
          <w:sz w:val="24"/>
        </w:rPr>
        <w:t>引言是论文的开场白，应简要介绍本研究工作的背景、范围、相关领域的研究进展和知识空白，进而提出本研究的目的、预期结果和意义等。论文中大多数参考文献应首先在引文中出现，以上标方括号的形式</w:t>
      </w:r>
      <w:r>
        <w:rPr>
          <w:rFonts w:eastAsia="华文楷体"/>
          <w:color w:val="FF0000"/>
          <w:sz w:val="24"/>
        </w:rPr>
        <w:t>[1</w:t>
      </w:r>
      <w:r>
        <w:rPr>
          <w:color w:val="FF0000"/>
        </w:rPr>
        <w:t>–</w:t>
      </w:r>
      <w:r>
        <w:rPr>
          <w:rFonts w:eastAsia="华文楷体"/>
          <w:color w:val="FF0000"/>
          <w:sz w:val="24"/>
        </w:rPr>
        <w:t>2]</w:t>
      </w:r>
      <w:r>
        <w:rPr>
          <w:rFonts w:eastAsia="华文楷体"/>
          <w:color w:val="FF0000"/>
          <w:sz w:val="24"/>
        </w:rPr>
        <w:t>。引文中不宜过多叙述相关领域熟知及教科书中常识性的内容。不宜涉及本研究的数据、结果和结论。综述类论文的引言可仅表述目的和意义。</w:t>
      </w:r>
    </w:p>
    <w:p>
      <w:pPr>
        <w:pStyle w:val="Normal"/>
        <w:numPr>
          <w:ilvl w:val="0"/>
          <w:numId w:val="8"/>
        </w:numPr>
        <w:snapToGrid w:val="false"/>
        <w:rPr>
          <w:rFonts w:eastAsia="华文楷体"/>
          <w:color w:val="FF0000"/>
          <w:sz w:val="24"/>
        </w:rPr>
      </w:pPr>
      <w:r>
        <w:rPr>
          <w:rFonts w:eastAsia="华文楷体"/>
          <w:color w:val="FF0000"/>
          <w:sz w:val="24"/>
        </w:rPr>
        <w:t>论文的层次标题从“</w:t>
      </w:r>
      <w:r>
        <w:rPr>
          <w:rFonts w:eastAsia="华文楷体"/>
          <w:color w:val="FF0000"/>
          <w:sz w:val="24"/>
        </w:rPr>
        <w:t xml:space="preserve">0 </w:t>
      </w:r>
      <w:r>
        <w:rPr>
          <w:rFonts w:eastAsia="华文楷体"/>
          <w:color w:val="FF0000"/>
          <w:sz w:val="24"/>
        </w:rPr>
        <w:t>引言”开始，一律采用阿拉伯数字连续编号；不同层次的数字之间用小圆点相隔，末位数字后不加标点符号，如“</w:t>
      </w:r>
      <w:r>
        <w:rPr>
          <w:rFonts w:eastAsia="华文楷体"/>
          <w:color w:val="FF0000"/>
          <w:sz w:val="24"/>
        </w:rPr>
        <w:t>1”</w:t>
      </w:r>
      <w:r>
        <w:rPr>
          <w:rFonts w:eastAsia="华文楷体"/>
          <w:color w:val="FF0000"/>
          <w:sz w:val="24"/>
        </w:rPr>
        <w:t>，“</w:t>
      </w:r>
      <w:r>
        <w:rPr>
          <w:rFonts w:eastAsia="华文楷体"/>
          <w:color w:val="FF0000"/>
          <w:sz w:val="24"/>
        </w:rPr>
        <w:t>1.1”</w:t>
      </w:r>
      <w:r>
        <w:rPr>
          <w:rFonts w:eastAsia="华文楷体"/>
          <w:color w:val="FF0000"/>
          <w:sz w:val="24"/>
        </w:rPr>
        <w:t>等，层次标题编号均应顶格，其后空</w:t>
      </w:r>
      <w:r>
        <w:rPr>
          <w:rFonts w:eastAsia="华文楷体"/>
          <w:color w:val="FF0000"/>
          <w:sz w:val="24"/>
        </w:rPr>
        <w:t>1</w:t>
      </w:r>
      <w:r>
        <w:rPr>
          <w:rFonts w:eastAsia="华文楷体"/>
          <w:color w:val="FF0000"/>
          <w:sz w:val="24"/>
        </w:rPr>
        <w:t>个汉字的间隙接排标题，正文另起行。</w:t>
      </w:r>
    </w:p>
    <w:p>
      <w:pPr>
        <w:pStyle w:val="Normal"/>
        <w:numPr>
          <w:ilvl w:val="0"/>
          <w:numId w:val="8"/>
        </w:numPr>
        <w:snapToGrid w:val="false"/>
        <w:rPr>
          <w:rFonts w:eastAsia="华文楷体"/>
          <w:color w:val="FF0000"/>
          <w:sz w:val="24"/>
        </w:rPr>
      </w:pPr>
      <w:r>
        <w:rPr>
          <w:rFonts w:eastAsia="华文楷体"/>
          <w:color w:val="FF0000"/>
          <w:sz w:val="24"/>
        </w:rPr>
        <w:t>注意生物学名词的斜体。物种的学名：菌株的属名、种名（包括亚种、变种）用拉丁文斜体；属的首字母大写，其他小写；属以上用拉丁文正体。限制性内切酶前</w:t>
      </w:r>
      <w:r>
        <w:rPr>
          <w:rFonts w:eastAsia="华文楷体"/>
          <w:color w:val="FF0000"/>
          <w:sz w:val="24"/>
        </w:rPr>
        <w:t>3</w:t>
      </w:r>
      <w:r>
        <w:rPr>
          <w:rFonts w:eastAsia="华文楷体"/>
          <w:color w:val="FF0000"/>
          <w:sz w:val="24"/>
        </w:rPr>
        <w:t>个字母用斜体，后面的字母和编码正体平排，如</w:t>
      </w:r>
      <w:r>
        <w:rPr>
          <w:rFonts w:eastAsia="华文楷体"/>
          <w:i/>
          <w:color w:val="FF0000"/>
          <w:sz w:val="24"/>
        </w:rPr>
        <w:t>Bam</w:t>
      </w:r>
      <w:r>
        <w:rPr>
          <w:rFonts w:eastAsia="华文楷体"/>
          <w:color w:val="FF0000"/>
          <w:sz w:val="24"/>
        </w:rPr>
        <w:t xml:space="preserve">H </w:t>
      </w:r>
      <w:r>
        <w:rPr>
          <w:rFonts w:eastAsia="华文楷体"/>
          <w:color w:val="FF0000"/>
          <w:sz w:val="24"/>
        </w:rPr>
        <w:t>。各种基因的缩写符号应为斜体且大写。等等</w:t>
      </w:r>
    </w:p>
    <w:p>
      <w:pPr>
        <w:pStyle w:val="Normal"/>
        <w:numPr>
          <w:ilvl w:val="0"/>
          <w:numId w:val="5"/>
        </w:numPr>
        <w:snapToGrid w:val="false"/>
        <w:spacing w:lineRule="auto" w:line="360"/>
        <w:ind w:hanging="0" w:start="0" w:end="0"/>
        <w:rPr>
          <w:b/>
          <w:kern w:val="0"/>
          <w:sz w:val="28"/>
        </w:rPr>
      </w:pPr>
      <w:r>
        <w:rPr>
          <w:rFonts w:hint="eastAsia"/>
          <w:b/>
          <w:kern w:val="0"/>
          <w:sz w:val="28"/>
        </w:rPr>
        <w:t xml:space="preserve"> </w:t>
      </w:r>
      <w:r>
        <w:rPr>
          <w:b/>
          <w:kern w:val="0"/>
          <w:sz w:val="28"/>
        </w:rPr>
        <w:t>材料与方法</w:t>
      </w:r>
      <w:r>
        <w:rPr>
          <w:b/>
          <w:color w:val="FF0000"/>
          <w:kern w:val="0"/>
          <w:sz w:val="28"/>
          <w:bdr w:val="single" w:sz="4" w:space="0" w:color="FF0000"/>
        </w:rPr>
        <w:t>一级标题。所有标题均应顶格。</w:t>
      </w:r>
    </w:p>
    <w:p>
      <w:pPr>
        <w:pStyle w:val="Style29"/>
        <w:numPr>
          <w:ilvl w:val="1"/>
          <w:numId w:val="3"/>
        </w:numPr>
        <w:snapToGrid w:val="false"/>
        <w:spacing w:lineRule="auto" w:line="360"/>
        <w:ind w:firstLineChars="0" w:firstLine="0" w:start="504" w:endChars="0" w:end="0"/>
        <w:jc w:val="start"/>
        <w:rPr>
          <w:rFonts w:ascii="Times New Roman" w:hAnsi="Times New Roman" w:eastAsia="宋体;SimSun" w:cs="Times New Roman"/>
          <w:b/>
          <w:bCs/>
          <w:sz w:val="28"/>
          <w:szCs w:val="24"/>
        </w:rPr>
      </w:pPr>
      <w:r>
        <w:rPr>
          <w:rFonts w:ascii="Times New Roman" w:hAnsi="Times New Roman" w:cs="Times New Roman" w:hint="eastAsia" w:eastAsia="宋体;SimSun"/>
          <w:b/>
          <w:bCs/>
          <w:sz w:val="28"/>
          <w:szCs w:val="24"/>
        </w:rPr>
        <w:t xml:space="preserve"> </w:t>
      </w:r>
      <w:r>
        <w:rPr>
          <w:rFonts w:ascii="Times New Roman" w:hAnsi="Times New Roman" w:cs="Times New Roman" w:eastAsia="宋体;SimSun"/>
          <w:b/>
          <w:bCs/>
          <w:sz w:val="28"/>
          <w:szCs w:val="24"/>
        </w:rPr>
        <w:t>仪器、试剂与材料</w:t>
      </w:r>
      <w:r>
        <w:rPr>
          <w:rFonts w:ascii="Times New Roman" w:hAnsi="Times New Roman" w:cs="Times New Roman" w:eastAsia="宋体;SimSun"/>
          <w:b/>
          <w:color w:val="FF0000"/>
          <w:kern w:val="0"/>
          <w:sz w:val="28"/>
          <w:szCs w:val="28"/>
          <w:bdr w:val="single" w:sz="4" w:space="0" w:color="FF0000"/>
        </w:rPr>
        <w:t>二级标题</w:t>
      </w:r>
    </w:p>
    <w:p>
      <w:pPr>
        <w:pStyle w:val="Normal"/>
        <w:snapToGrid w:val="false"/>
        <w:spacing w:lineRule="auto" w:line="360"/>
        <w:ind w:firstLineChars="200" w:startChars="0" w:start="0" w:endChars="0" w:end="0"/>
        <w:rPr>
          <w:bCs/>
          <w:sz w:val="28"/>
          <w:szCs w:val="28"/>
        </w:rPr>
      </w:pPr>
      <w:r>
        <w:rPr>
          <w:bCs/>
          <w:sz w:val="28"/>
        </w:rPr>
        <w:t>CETI8 V3.0</w:t>
      </w:r>
      <w:r>
        <w:rPr>
          <w:bCs/>
          <w:sz w:val="28"/>
        </w:rPr>
        <w:t>电子烟吸烟机（英国斯茹林</w:t>
      </w:r>
      <w:r>
        <w:rPr>
          <w:rFonts w:hint="eastAsia"/>
          <w:bCs/>
          <w:sz w:val="28"/>
        </w:rPr>
        <w:t>（</w:t>
      </w:r>
      <w:r>
        <w:rPr>
          <w:bCs/>
          <w:sz w:val="28"/>
        </w:rPr>
        <w:t>Cerulean</w:t>
      </w:r>
      <w:r>
        <w:rPr>
          <w:rFonts w:hint="eastAsia"/>
          <w:bCs/>
          <w:sz w:val="28"/>
        </w:rPr>
        <w:t>）</w:t>
      </w:r>
      <w:r>
        <w:rPr>
          <w:bCs/>
          <w:sz w:val="28"/>
        </w:rPr>
        <w:t>公司）；…</w:t>
      </w:r>
      <w:r>
        <w:rPr>
          <w:bCs/>
          <w:sz w:val="28"/>
          <w:szCs w:val="28"/>
        </w:rPr>
        <w:t>。</w:t>
      </w:r>
    </w:p>
    <w:p>
      <w:pPr>
        <w:pStyle w:val="Normal"/>
        <w:snapToGrid w:val="false"/>
        <w:spacing w:lineRule="auto" w:line="360"/>
        <w:ind w:firstLineChars="200" w:startChars="0" w:start="0" w:endChars="0" w:end="0"/>
        <w:rPr>
          <w:bCs/>
          <w:sz w:val="28"/>
        </w:rPr>
      </w:pPr>
      <w:r>
        <w:rPr>
          <w:bCs/>
          <w:sz w:val="28"/>
          <w:szCs w:val="28"/>
        </w:rPr>
        <w:t>异丙醇（色谱纯，美国</w:t>
      </w:r>
      <w:bookmarkStart w:id="0" w:name="OLE_LINK5"/>
      <w:r>
        <w:rPr>
          <w:bCs/>
          <w:sz w:val="28"/>
          <w:szCs w:val="28"/>
        </w:rPr>
        <w:t>Dikma</w:t>
      </w:r>
      <w:bookmarkEnd w:id="0"/>
      <w:r>
        <w:rPr>
          <w:bCs/>
          <w:sz w:val="28"/>
          <w:szCs w:val="28"/>
        </w:rPr>
        <w:t>公司）；烟碱（纯度＞</w:t>
      </w:r>
      <w:r>
        <w:rPr>
          <w:bCs/>
          <w:sz w:val="28"/>
          <w:szCs w:val="28"/>
        </w:rPr>
        <w:t>99%</w:t>
      </w:r>
      <w:r>
        <w:rPr>
          <w:bCs/>
          <w:sz w:val="28"/>
          <w:szCs w:val="28"/>
        </w:rPr>
        <w:t>，加拿大</w:t>
      </w:r>
      <w:r>
        <w:rPr>
          <w:bCs/>
          <w:sz w:val="28"/>
          <w:szCs w:val="28"/>
        </w:rPr>
        <w:t>TRC</w:t>
      </w:r>
      <w:r>
        <w:rPr>
          <w:bCs/>
          <w:sz w:val="28"/>
          <w:szCs w:val="28"/>
        </w:rPr>
        <w:t>公司）；…；</w:t>
      </w:r>
    </w:p>
    <w:p>
      <w:pPr>
        <w:pStyle w:val="HTML1"/>
        <w:snapToGrid w:val="false"/>
        <w:spacing w:lineRule="auto" w:line="360"/>
        <w:ind w:firstLineChars="200" w:startChars="0" w:start="0" w:endChars="0" w:end="0"/>
        <w:jc w:val="both"/>
        <w:rPr>
          <w:rFonts w:ascii="Times New Roman" w:hAnsi="Times New Roman" w:cs="Times New Roman"/>
          <w:bCs/>
          <w:kern w:val="2"/>
          <w:sz w:val="28"/>
        </w:rPr>
      </w:pPr>
      <w:r>
        <w:rPr>
          <w:rFonts w:ascii="Times New Roman" w:hAnsi="Times New Roman" w:cs="Times New Roman"/>
          <w:bCs/>
          <w:kern w:val="2"/>
          <w:sz w:val="28"/>
        </w:rPr>
        <w:t>烟液样品为自主配制的不同溶剂质量配比、相同烟碱浓度的样品，</w:t>
      </w:r>
      <w:r>
        <w:rPr>
          <w:rFonts w:cs="Times New Roman" w:ascii="Times New Roman" w:hAnsi="Times New Roman"/>
          <w:bCs/>
          <w:kern w:val="2"/>
          <w:sz w:val="28"/>
        </w:rPr>
        <w:t>1,2-</w:t>
      </w:r>
      <w:r>
        <w:rPr>
          <w:rFonts w:ascii="Times New Roman" w:hAnsi="Times New Roman" w:cs="Times New Roman"/>
          <w:bCs/>
          <w:kern w:val="2"/>
          <w:sz w:val="28"/>
        </w:rPr>
        <w:t>丙二醇和丙三醇的配比分别为</w:t>
      </w:r>
      <w:r>
        <w:rPr>
          <w:rFonts w:cs="Times New Roman" w:ascii="Times New Roman" w:hAnsi="Times New Roman"/>
          <w:bCs/>
          <w:kern w:val="2"/>
          <w:sz w:val="28"/>
        </w:rPr>
        <w:t>2:8</w:t>
      </w:r>
      <w:r>
        <w:rPr>
          <w:rFonts w:ascii="Times New Roman" w:hAnsi="Times New Roman" w:cs="Times New Roman"/>
          <w:bCs/>
          <w:kern w:val="2"/>
          <w:sz w:val="28"/>
        </w:rPr>
        <w:t>、</w:t>
      </w:r>
      <w:r>
        <w:rPr>
          <w:rFonts w:cs="Times New Roman" w:ascii="Times New Roman" w:hAnsi="Times New Roman"/>
          <w:bCs/>
          <w:kern w:val="2"/>
          <w:sz w:val="28"/>
        </w:rPr>
        <w:t>3:7</w:t>
      </w:r>
      <w:r>
        <w:rPr>
          <w:rFonts w:ascii="Times New Roman" w:hAnsi="Times New Roman" w:cs="Times New Roman"/>
          <w:bCs/>
          <w:kern w:val="2"/>
          <w:sz w:val="28"/>
        </w:rPr>
        <w:t>、</w:t>
      </w:r>
      <w:r>
        <w:rPr>
          <w:rFonts w:cs="Times New Roman" w:ascii="Times New Roman" w:hAnsi="Times New Roman"/>
          <w:bCs/>
          <w:kern w:val="2"/>
          <w:sz w:val="28"/>
        </w:rPr>
        <w:t>4:6</w:t>
      </w:r>
      <w:r>
        <w:rPr>
          <w:rFonts w:ascii="Times New Roman" w:hAnsi="Times New Roman" w:cs="Times New Roman"/>
          <w:bCs/>
          <w:kern w:val="2"/>
          <w:sz w:val="28"/>
        </w:rPr>
        <w:t>、</w:t>
      </w:r>
      <w:r>
        <w:rPr>
          <w:rFonts w:cs="Times New Roman" w:ascii="Times New Roman" w:hAnsi="Times New Roman"/>
          <w:bCs/>
          <w:kern w:val="2"/>
          <w:sz w:val="28"/>
        </w:rPr>
        <w:t>5:5</w:t>
      </w:r>
      <w:r>
        <w:rPr>
          <w:rFonts w:ascii="Times New Roman" w:hAnsi="Times New Roman" w:cs="Times New Roman"/>
          <w:bCs/>
          <w:kern w:val="2"/>
          <w:sz w:val="28"/>
        </w:rPr>
        <w:t>、</w:t>
      </w:r>
      <w:r>
        <w:rPr>
          <w:rFonts w:cs="Times New Roman" w:ascii="Times New Roman" w:hAnsi="Times New Roman"/>
          <w:bCs/>
          <w:kern w:val="2"/>
          <w:sz w:val="28"/>
        </w:rPr>
        <w:t>6:4</w:t>
      </w:r>
      <w:r>
        <w:rPr>
          <w:rFonts w:ascii="Times New Roman" w:hAnsi="Times New Roman" w:cs="Times New Roman"/>
          <w:bCs/>
          <w:kern w:val="2"/>
          <w:sz w:val="28"/>
        </w:rPr>
        <w:t>、</w:t>
      </w:r>
      <w:r>
        <w:rPr>
          <w:rFonts w:cs="Times New Roman" w:ascii="Times New Roman" w:hAnsi="Times New Roman"/>
          <w:bCs/>
          <w:kern w:val="2"/>
          <w:sz w:val="28"/>
        </w:rPr>
        <w:t>7:3</w:t>
      </w:r>
      <w:r>
        <w:rPr>
          <w:rFonts w:ascii="Times New Roman" w:hAnsi="Times New Roman" w:cs="Times New Roman"/>
          <w:bCs/>
          <w:kern w:val="2"/>
          <w:sz w:val="28"/>
        </w:rPr>
        <w:t>、</w:t>
      </w:r>
      <w:r>
        <w:rPr>
          <w:rFonts w:cs="Times New Roman" w:ascii="Times New Roman" w:hAnsi="Times New Roman"/>
          <w:bCs/>
          <w:kern w:val="2"/>
          <w:sz w:val="28"/>
        </w:rPr>
        <w:t>8:2</w:t>
      </w:r>
      <w:r>
        <w:rPr>
          <w:rFonts w:ascii="Times New Roman" w:hAnsi="Times New Roman" w:cs="Times New Roman"/>
          <w:bCs/>
          <w:kern w:val="2"/>
          <w:sz w:val="28"/>
        </w:rPr>
        <w:t>，烟碱浓度均为</w:t>
      </w:r>
      <w:r>
        <w:rPr>
          <w:rFonts w:cs="Times New Roman" w:ascii="Times New Roman" w:hAnsi="Times New Roman"/>
          <w:bCs/>
          <w:kern w:val="2"/>
          <w:sz w:val="28"/>
        </w:rPr>
        <w:t>10 mg/g</w:t>
      </w:r>
      <w:r>
        <w:rPr>
          <w:rFonts w:ascii="Times New Roman" w:hAnsi="Times New Roman" w:cs="Times New Roman"/>
          <w:bCs/>
          <w:kern w:val="2"/>
          <w:sz w:val="28"/>
        </w:rPr>
        <w:t>。</w:t>
      </w:r>
    </w:p>
    <w:p>
      <w:pPr>
        <w:pStyle w:val="Normal"/>
        <w:snapToGrid w:val="false"/>
        <w:spacing w:lineRule="auto" w:line="360"/>
        <w:jc w:val="start"/>
        <w:rPr>
          <w:b/>
          <w:bCs/>
          <w:sz w:val="28"/>
        </w:rPr>
      </w:pPr>
      <w:r>
        <w:rPr>
          <w:b/>
          <w:bCs/>
          <w:sz w:val="28"/>
        </w:rPr>
        <w:t>1.2</w:t>
      </w:r>
      <w:r>
        <w:rPr>
          <w:rFonts w:hint="eastAsia"/>
          <w:b/>
          <w:bCs/>
          <w:sz w:val="28"/>
        </w:rPr>
        <w:t xml:space="preserve"> </w:t>
      </w:r>
      <w:r>
        <w:rPr>
          <w:b/>
          <w:bCs/>
          <w:sz w:val="28"/>
        </w:rPr>
        <w:t>实验方法和条件</w:t>
      </w:r>
    </w:p>
    <w:p>
      <w:pPr>
        <w:pStyle w:val="Normal"/>
        <w:autoSpaceDE w:val="false"/>
        <w:snapToGrid w:val="false"/>
        <w:spacing w:lineRule="auto" w:line="360"/>
        <w:ind w:end="-159"/>
        <w:jc w:val="start"/>
        <w:rPr>
          <w:bCs/>
          <w:sz w:val="28"/>
          <w:szCs w:val="28"/>
        </w:rPr>
      </w:pPr>
      <w:r>
        <w:rPr>
          <w:bCs/>
          <w:sz w:val="28"/>
          <w:szCs w:val="28"/>
        </w:rPr>
        <w:t>1.2.1</w:t>
      </w:r>
      <w:r>
        <w:rPr>
          <w:rFonts w:hint="eastAsia"/>
          <w:bCs/>
          <w:sz w:val="28"/>
          <w:szCs w:val="28"/>
        </w:rPr>
        <w:t xml:space="preserve"> </w:t>
      </w:r>
      <w:r>
        <w:rPr>
          <w:bCs/>
          <w:sz w:val="28"/>
          <w:szCs w:val="28"/>
        </w:rPr>
        <w:t>气溶胶总粒相物的捕集</w:t>
      </w:r>
      <w:r>
        <w:rPr>
          <w:b/>
          <w:color w:val="FF0000"/>
          <w:kern w:val="0"/>
          <w:sz w:val="28"/>
          <w:szCs w:val="28"/>
          <w:bdr w:val="single" w:sz="4" w:space="0" w:color="FF0000"/>
        </w:rPr>
        <w:t>三级标题</w:t>
      </w:r>
    </w:p>
    <w:p>
      <w:pPr>
        <w:pStyle w:val="Normal"/>
        <w:snapToGrid w:val="false"/>
        <w:spacing w:lineRule="auto" w:line="360"/>
        <w:ind w:firstLineChars="200" w:startChars="0" w:start="0" w:endChars="0" w:end="0"/>
        <w:jc w:val="start"/>
        <w:rPr>
          <w:bCs/>
          <w:sz w:val="28"/>
          <w:szCs w:val="28"/>
        </w:rPr>
      </w:pPr>
      <w:r>
        <w:rPr>
          <w:bCs/>
          <w:sz w:val="28"/>
          <w:szCs w:val="28"/>
        </w:rPr>
        <w:t>采用</w:t>
      </w:r>
      <w:r>
        <w:rPr>
          <w:bCs/>
          <w:sz w:val="28"/>
          <w:szCs w:val="28"/>
        </w:rPr>
        <w:t>Coresta</w:t>
      </w:r>
      <w:r>
        <w:rPr>
          <w:bCs/>
          <w:sz w:val="28"/>
          <w:szCs w:val="28"/>
        </w:rPr>
        <w:t>推荐的电子烟抽吸模式（抽吸容量</w:t>
      </w:r>
      <w:r>
        <w:rPr>
          <w:bCs/>
          <w:sz w:val="28"/>
          <w:szCs w:val="28"/>
        </w:rPr>
        <w:t>55 mL</w:t>
      </w:r>
      <w:r>
        <w:rPr>
          <w:bCs/>
          <w:sz w:val="28"/>
          <w:szCs w:val="28"/>
        </w:rPr>
        <w:t>，抽吸频率</w:t>
      </w:r>
      <w:r>
        <w:rPr>
          <w:bCs/>
          <w:sz w:val="28"/>
          <w:szCs w:val="28"/>
        </w:rPr>
        <w:t>30 s</w:t>
      </w:r>
      <w:r>
        <w:rPr>
          <w:bCs/>
          <w:sz w:val="28"/>
          <w:szCs w:val="28"/>
        </w:rPr>
        <w:t>，抽吸持续时间</w:t>
      </w:r>
      <w:r>
        <w:rPr>
          <w:bCs/>
          <w:sz w:val="28"/>
          <w:szCs w:val="28"/>
        </w:rPr>
        <w:t>3s</w:t>
      </w:r>
      <w:r>
        <w:rPr>
          <w:bCs/>
          <w:sz w:val="28"/>
          <w:szCs w:val="28"/>
        </w:rPr>
        <w:t>）</w:t>
      </w:r>
      <w:r>
        <w:rPr>
          <w:bCs/>
          <w:sz w:val="28"/>
          <w:szCs w:val="28"/>
          <w:vertAlign w:val="superscript"/>
        </w:rPr>
        <w:t>[15]</w:t>
      </w:r>
      <w:r>
        <w:rPr>
          <w:bCs/>
          <w:sz w:val="28"/>
          <w:szCs w:val="28"/>
        </w:rPr>
        <w:t>。</w:t>
      </w:r>
    </w:p>
    <w:p>
      <w:pPr>
        <w:pStyle w:val="Normal"/>
        <w:autoSpaceDE w:val="false"/>
        <w:snapToGrid w:val="false"/>
        <w:spacing w:lineRule="auto" w:line="360"/>
        <w:ind w:end="-159"/>
        <w:jc w:val="start"/>
        <w:rPr>
          <w:bCs/>
          <w:sz w:val="28"/>
          <w:szCs w:val="28"/>
        </w:rPr>
      </w:pPr>
      <w:r>
        <w:rPr>
          <w:bCs/>
          <w:sz w:val="28"/>
          <w:szCs w:val="28"/>
        </w:rPr>
        <w:t xml:space="preserve">1.2.2 </w:t>
      </w:r>
      <w:r>
        <w:rPr>
          <w:bCs/>
          <w:sz w:val="28"/>
          <w:szCs w:val="28"/>
        </w:rPr>
        <w:t>气溶胶中主要成分分析样品制备</w:t>
      </w:r>
    </w:p>
    <w:p>
      <w:pPr>
        <w:pStyle w:val="Normal"/>
        <w:autoSpaceDE w:val="false"/>
        <w:snapToGrid w:val="false"/>
        <w:spacing w:lineRule="auto" w:line="360"/>
        <w:ind w:firstLineChars="200" w:startChars="0" w:start="0" w:endChars="0" w:end="0"/>
        <w:rPr>
          <w:bCs/>
          <w:sz w:val="28"/>
          <w:szCs w:val="28"/>
        </w:rPr>
      </w:pPr>
      <w:r>
        <w:rPr>
          <w:bCs/>
          <w:sz w:val="28"/>
          <w:szCs w:val="28"/>
        </w:rPr>
        <w:t>将捕集电子烟气溶胶的剑桥滤片置于</w:t>
      </w:r>
      <w:r>
        <w:rPr>
          <w:bCs/>
          <w:sz w:val="28"/>
          <w:szCs w:val="28"/>
        </w:rPr>
        <w:t>50 mL</w:t>
      </w:r>
      <w:r>
        <w:rPr>
          <w:bCs/>
          <w:sz w:val="28"/>
          <w:szCs w:val="28"/>
        </w:rPr>
        <w:t>三角瓶中，加入</w:t>
      </w:r>
      <w:r>
        <w:rPr>
          <w:bCs/>
          <w:sz w:val="28"/>
          <w:szCs w:val="28"/>
        </w:rPr>
        <w:t>20 mL</w:t>
      </w:r>
      <w:r>
        <w:rPr>
          <w:bCs/>
          <w:sz w:val="28"/>
          <w:szCs w:val="28"/>
        </w:rPr>
        <w:t>含内标的萃取溶液（内标物</w:t>
      </w:r>
      <w:r>
        <w:rPr>
          <w:bCs/>
          <w:sz w:val="28"/>
          <w:szCs w:val="28"/>
        </w:rPr>
        <w:t>2-</w:t>
      </w:r>
      <w:r>
        <w:rPr>
          <w:bCs/>
          <w:sz w:val="28"/>
          <w:szCs w:val="28"/>
        </w:rPr>
        <w:t>甲基喹啉的浓度为</w:t>
      </w:r>
      <w:r>
        <w:rPr>
          <w:bCs/>
          <w:sz w:val="28"/>
          <w:szCs w:val="28"/>
        </w:rPr>
        <w:t>0.2 mg/mL</w:t>
      </w:r>
      <w:r>
        <w:rPr>
          <w:bCs/>
          <w:sz w:val="28"/>
          <w:szCs w:val="28"/>
        </w:rPr>
        <w:t>，</w:t>
      </w:r>
      <w:r>
        <w:rPr>
          <w:bCs/>
          <w:sz w:val="28"/>
          <w:szCs w:val="28"/>
        </w:rPr>
        <w:t>1,3-</w:t>
      </w:r>
      <w:r>
        <w:rPr>
          <w:bCs/>
          <w:sz w:val="28"/>
          <w:szCs w:val="28"/>
        </w:rPr>
        <w:t>丁二醇的浓度为</w:t>
      </w:r>
      <w:r>
        <w:rPr>
          <w:bCs/>
          <w:sz w:val="28"/>
          <w:szCs w:val="28"/>
        </w:rPr>
        <w:t>1.0 mg/mL</w:t>
      </w:r>
      <w:r>
        <w:rPr>
          <w:bCs/>
          <w:sz w:val="28"/>
          <w:szCs w:val="28"/>
        </w:rPr>
        <w:t>），室温下机械振荡</w:t>
      </w:r>
      <w:r>
        <w:rPr>
          <w:bCs/>
          <w:sz w:val="28"/>
          <w:szCs w:val="28"/>
        </w:rPr>
        <w:t>20 min</w:t>
      </w:r>
      <w:r>
        <w:rPr>
          <w:bCs/>
          <w:sz w:val="28"/>
          <w:szCs w:val="28"/>
        </w:rPr>
        <w:t>，取</w:t>
      </w:r>
      <w:r>
        <w:rPr>
          <w:bCs/>
          <w:sz w:val="28"/>
          <w:szCs w:val="28"/>
        </w:rPr>
        <w:t>1 mL</w:t>
      </w:r>
      <w:r>
        <w:rPr>
          <w:bCs/>
          <w:sz w:val="28"/>
          <w:szCs w:val="28"/>
        </w:rPr>
        <w:t>萃取液到</w:t>
      </w:r>
      <w:r>
        <w:rPr>
          <w:bCs/>
          <w:sz w:val="28"/>
          <w:szCs w:val="28"/>
        </w:rPr>
        <w:t>2 mL</w:t>
      </w:r>
      <w:r>
        <w:rPr>
          <w:bCs/>
          <w:sz w:val="28"/>
          <w:szCs w:val="28"/>
        </w:rPr>
        <w:t>色谱瓶中即可进行</w:t>
      </w:r>
      <w:r>
        <w:rPr>
          <w:bCs/>
          <w:sz w:val="28"/>
          <w:szCs w:val="28"/>
        </w:rPr>
        <w:t xml:space="preserve">GC-FID </w:t>
      </w:r>
      <w:r>
        <w:rPr>
          <w:bCs/>
          <w:sz w:val="28"/>
          <w:szCs w:val="28"/>
        </w:rPr>
        <w:t>分析。</w:t>
      </w:r>
    </w:p>
    <w:p>
      <w:pPr>
        <w:pStyle w:val="Style29"/>
        <w:numPr>
          <w:ilvl w:val="1"/>
          <w:numId w:val="6"/>
        </w:numPr>
        <w:autoSpaceDE w:val="false"/>
        <w:snapToGrid w:val="false"/>
        <w:spacing w:lineRule="auto" w:line="360"/>
        <w:ind w:firstLineChars="0" w:firstLine="0" w:startChars="0" w:start="0" w:endChars="0" w:end="0"/>
        <w:jc w:val="start"/>
        <w:rPr>
          <w:rFonts w:ascii="Times New Roman" w:hAnsi="Times New Roman" w:eastAsia="宋体;SimSun" w:cs="Times New Roman"/>
          <w:b/>
          <w:bCs/>
          <w:sz w:val="28"/>
          <w:szCs w:val="24"/>
        </w:rPr>
      </w:pPr>
      <w:r>
        <w:rPr>
          <w:rFonts w:ascii="Times New Roman" w:hAnsi="Times New Roman" w:cs="Times New Roman" w:hint="eastAsia" w:eastAsia="宋体;SimSun"/>
          <w:b/>
          <w:bCs/>
          <w:sz w:val="28"/>
          <w:szCs w:val="24"/>
        </w:rPr>
        <w:t xml:space="preserve"> </w:t>
      </w:r>
      <w:r>
        <w:rPr>
          <w:rFonts w:ascii="Times New Roman" w:hAnsi="Times New Roman" w:cs="Times New Roman" w:eastAsia="宋体;SimSun"/>
          <w:b/>
          <w:bCs/>
          <w:sz w:val="28"/>
          <w:szCs w:val="24"/>
        </w:rPr>
        <w:t>气相色谱分析条件</w:t>
      </w:r>
    </w:p>
    <w:p>
      <w:pPr>
        <w:pStyle w:val="Normal"/>
        <w:autoSpaceDE w:val="false"/>
        <w:snapToGrid w:val="false"/>
        <w:spacing w:lineRule="auto" w:line="360"/>
        <w:ind w:firstLineChars="200" w:startChars="0" w:start="0" w:endChars="0" w:end="0"/>
        <w:jc w:val="start"/>
        <w:rPr>
          <w:bCs/>
          <w:sz w:val="28"/>
        </w:rPr>
      </w:pPr>
      <w:r>
        <w:rPr>
          <w:bCs/>
          <w:sz w:val="28"/>
        </w:rPr>
        <w:t>参照文献</w:t>
      </w:r>
      <w:r>
        <w:rPr>
          <w:bCs/>
          <w:sz w:val="28"/>
        </w:rPr>
        <w:t>[14]</w:t>
      </w:r>
      <w:r>
        <w:rPr>
          <w:bCs/>
          <w:sz w:val="28"/>
        </w:rPr>
        <w:t>中的实验条件，具体如下：…</w:t>
      </w:r>
      <w:r>
        <w:rPr>
          <w:bCs/>
          <w:sz w:val="28"/>
          <w:szCs w:val="28"/>
        </w:rPr>
        <w:t>。</w:t>
      </w:r>
    </w:p>
    <w:p>
      <w:pPr>
        <w:pStyle w:val="Normal"/>
        <w:numPr>
          <w:ilvl w:val="0"/>
          <w:numId w:val="8"/>
        </w:numPr>
        <w:snapToGrid w:val="false"/>
        <w:rPr>
          <w:rFonts w:eastAsia="华文楷体"/>
          <w:color w:val="FF0000"/>
          <w:sz w:val="24"/>
        </w:rPr>
      </w:pPr>
      <w:r>
        <w:rPr>
          <w:rFonts w:eastAsia="华文楷体"/>
          <w:color w:val="FF0000"/>
          <w:sz w:val="24"/>
        </w:rPr>
        <w:t>材料应包括试验地点、时间、材料特性等。</w:t>
      </w:r>
    </w:p>
    <w:p>
      <w:pPr>
        <w:pStyle w:val="Normal"/>
        <w:numPr>
          <w:ilvl w:val="0"/>
          <w:numId w:val="8"/>
        </w:numPr>
        <w:snapToGrid w:val="false"/>
        <w:rPr>
          <w:rFonts w:eastAsia="华文楷体"/>
          <w:color w:val="FF0000"/>
          <w:sz w:val="24"/>
        </w:rPr>
      </w:pPr>
      <w:r>
        <w:rPr>
          <w:rFonts w:eastAsia="华文楷体"/>
          <w:color w:val="FF0000"/>
          <w:sz w:val="24"/>
        </w:rPr>
        <w:t>卷烟样品应注明样品编号、样品规格等；烟叶应注明年份、产地、品种、等级和数量等；土壤应注明类型、理化性状等；药品试剂应注明名称、纯度和生产商等；仪器设备应注明名称、型号和生产商等，自制仪器设备应提供示意图。</w:t>
      </w:r>
    </w:p>
    <w:p>
      <w:pPr>
        <w:pStyle w:val="Normal"/>
        <w:numPr>
          <w:ilvl w:val="0"/>
          <w:numId w:val="8"/>
        </w:numPr>
        <w:snapToGrid w:val="false"/>
        <w:rPr>
          <w:rFonts w:eastAsia="华文楷体"/>
          <w:color w:val="FF0000"/>
          <w:sz w:val="24"/>
        </w:rPr>
      </w:pPr>
      <w:r>
        <w:rPr>
          <w:rFonts w:eastAsia="华文楷体"/>
          <w:color w:val="FF0000"/>
          <w:sz w:val="24"/>
        </w:rPr>
        <w:t>方法应包括试验环境条件、试验方案、操作方法、测定方法和统计分析方法等。</w:t>
      </w:r>
    </w:p>
    <w:p>
      <w:pPr>
        <w:pStyle w:val="Normal"/>
        <w:numPr>
          <w:ilvl w:val="0"/>
          <w:numId w:val="6"/>
        </w:numPr>
        <w:spacing w:lineRule="auto" w:line="360"/>
        <w:ind w:hanging="0" w:start="0" w:end="0"/>
        <w:rPr>
          <w:b/>
          <w:kern w:val="0"/>
          <w:sz w:val="28"/>
        </w:rPr>
      </w:pPr>
      <w:r>
        <w:rPr>
          <w:rFonts w:hint="eastAsia"/>
          <w:b/>
          <w:kern w:val="0"/>
          <w:sz w:val="28"/>
        </w:rPr>
        <w:t xml:space="preserve"> </w:t>
      </w:r>
      <w:r>
        <w:rPr>
          <w:b/>
          <w:kern w:val="0"/>
          <w:sz w:val="28"/>
        </w:rPr>
        <w:t>结果</w:t>
      </w:r>
    </w:p>
    <w:p>
      <w:pPr>
        <w:pStyle w:val="Normal"/>
        <w:numPr>
          <w:ilvl w:val="1"/>
          <w:numId w:val="4"/>
        </w:numPr>
        <w:snapToGrid w:val="false"/>
        <w:spacing w:lineRule="auto" w:line="360"/>
        <w:ind w:hanging="0" w:start="0" w:end="0"/>
        <w:jc w:val="start"/>
        <w:rPr>
          <w:b/>
          <w:bCs/>
          <w:sz w:val="28"/>
          <w:szCs w:val="32"/>
        </w:rPr>
      </w:pPr>
      <w:r>
        <w:rPr>
          <w:rFonts w:hint="eastAsia"/>
          <w:b/>
          <w:bCs/>
          <w:sz w:val="28"/>
          <w:szCs w:val="32"/>
        </w:rPr>
        <w:t xml:space="preserve"> </w:t>
      </w:r>
      <w:r>
        <w:rPr>
          <w:b/>
          <w:bCs/>
          <w:sz w:val="28"/>
          <w:szCs w:val="32"/>
        </w:rPr>
        <w:t>不同溶剂配比的选择</w:t>
      </w:r>
    </w:p>
    <w:p>
      <w:pPr>
        <w:pStyle w:val="HTML1"/>
        <w:snapToGrid w:val="false"/>
        <w:spacing w:lineRule="auto" w:line="360"/>
        <w:ind w:firstLineChars="200" w:startChars="0" w:start="0" w:endChars="0" w:end="0"/>
        <w:rPr>
          <w:rFonts w:ascii="Times New Roman" w:hAnsi="Times New Roman" w:cs="Times New Roman"/>
          <w:color w:val="000000"/>
          <w:sz w:val="28"/>
          <w:szCs w:val="20"/>
        </w:rPr>
      </w:pPr>
      <w:r>
        <w:rPr>
          <w:rFonts w:ascii="Times New Roman" w:hAnsi="Times New Roman" w:cs="Times New Roman"/>
          <w:color w:val="000000"/>
          <w:sz w:val="28"/>
          <w:szCs w:val="20"/>
        </w:rPr>
        <w:t>主要品牌烟液产品的溶剂配比见表</w:t>
      </w:r>
      <w:r>
        <w:rPr>
          <w:rFonts w:cs="Times New Roman" w:ascii="Times New Roman" w:hAnsi="Times New Roman"/>
          <w:color w:val="000000"/>
          <w:sz w:val="28"/>
          <w:szCs w:val="20"/>
        </w:rPr>
        <w:t>1</w:t>
      </w:r>
      <w:r>
        <w:rPr>
          <w:rFonts w:ascii="Times New Roman" w:hAnsi="Times New Roman" w:cs="Times New Roman"/>
          <w:color w:val="000000"/>
          <w:sz w:val="28"/>
          <w:szCs w:val="20"/>
        </w:rPr>
        <w:t>。</w:t>
      </w:r>
      <w:r>
        <w:rPr>
          <w:rFonts w:ascii="Times New Roman" w:hAnsi="Times New Roman" w:cs="Times New Roman"/>
          <w:b/>
          <w:color w:val="FF0000"/>
          <w:sz w:val="28"/>
          <w:szCs w:val="28"/>
          <w:bdr w:val="single" w:sz="4" w:space="0" w:color="FF0000"/>
        </w:rPr>
        <w:t>描述结果</w:t>
      </w:r>
      <w:r>
        <w:rPr>
          <w:rFonts w:ascii="Times New Roman" w:hAnsi="Times New Roman" w:cs="Times New Roman"/>
          <w:color w:val="000000"/>
          <w:sz w:val="28"/>
          <w:szCs w:val="20"/>
        </w:rPr>
        <w:t>……结合所选烟具的工作电压范围选择了中等烟碱浓度作为研究对象，在</w:t>
      </w:r>
      <w:r>
        <w:rPr>
          <w:rFonts w:cs="Times New Roman" w:ascii="Times New Roman" w:hAnsi="Times New Roman"/>
          <w:color w:val="000000"/>
          <w:sz w:val="28"/>
          <w:szCs w:val="20"/>
        </w:rPr>
        <w:t>7</w:t>
      </w:r>
      <w:r>
        <w:rPr>
          <w:rFonts w:ascii="Times New Roman" w:hAnsi="Times New Roman" w:cs="Times New Roman"/>
          <w:color w:val="000000"/>
          <w:sz w:val="28"/>
          <w:szCs w:val="20"/>
        </w:rPr>
        <w:t>种不同溶剂配比的烟液中均添加最终浓度为</w:t>
      </w:r>
      <w:r>
        <w:rPr>
          <w:rFonts w:cs="Times New Roman" w:ascii="Times New Roman" w:hAnsi="Times New Roman"/>
          <w:color w:val="000000"/>
          <w:sz w:val="28"/>
          <w:szCs w:val="20"/>
        </w:rPr>
        <w:t>10 mg/g</w:t>
      </w:r>
      <w:r>
        <w:rPr>
          <w:rFonts w:ascii="Times New Roman" w:hAnsi="Times New Roman" w:cs="Times New Roman"/>
          <w:color w:val="000000"/>
          <w:sz w:val="28"/>
          <w:szCs w:val="20"/>
        </w:rPr>
        <w:t>的烟碱作为实验样品。</w:t>
      </w:r>
      <w:r>
        <w:rPr>
          <w:rFonts w:ascii="Times New Roman" w:hAnsi="Times New Roman" w:cs="Times New Roman"/>
          <w:b/>
          <w:color w:val="FF0000"/>
          <w:sz w:val="28"/>
          <w:szCs w:val="28"/>
          <w:bdr w:val="single" w:sz="4" w:space="0" w:color="FF0000"/>
        </w:rPr>
        <w:t>形成推论。</w:t>
      </w:r>
    </w:p>
    <w:p>
      <w:pPr>
        <w:pStyle w:val="HTML1"/>
        <w:snapToGrid w:val="false"/>
        <w:spacing w:lineRule="auto" w:line="360"/>
        <w:rPr>
          <w:rFonts w:ascii="Times New Roman" w:hAnsi="Times New Roman" w:cs="Times New Roman"/>
          <w:b/>
          <w:bCs/>
          <w:sz w:val="28"/>
          <w:szCs w:val="32"/>
        </w:rPr>
      </w:pPr>
      <w:r>
        <w:rPr>
          <w:rFonts w:cs="Times New Roman" w:ascii="Times New Roman" w:hAnsi="Times New Roman"/>
          <w:b/>
          <w:bCs/>
          <w:sz w:val="28"/>
          <w:szCs w:val="32"/>
        </w:rPr>
        <w:t>2.2</w:t>
      </w:r>
      <w:r>
        <w:rPr>
          <w:rFonts w:cs="Times New Roman" w:hint="eastAsia" w:ascii="Times New Roman" w:hAnsi="Times New Roman"/>
          <w:b/>
          <w:bCs/>
          <w:sz w:val="28"/>
          <w:szCs w:val="32"/>
        </w:rPr>
        <w:t xml:space="preserve"> </w:t>
      </w:r>
      <w:r>
        <w:rPr>
          <w:rFonts w:ascii="Times New Roman" w:hAnsi="Times New Roman" w:cs="Times New Roman"/>
          <w:b/>
          <w:bCs/>
          <w:sz w:val="28"/>
          <w:szCs w:val="32"/>
        </w:rPr>
        <w:t>不同电压下抽吸电子烟产生气溶胶中主要成分释放量</w:t>
      </w:r>
    </w:p>
    <w:p>
      <w:pPr>
        <w:pStyle w:val="Normal"/>
        <w:snapToGrid w:val="false"/>
        <w:spacing w:lineRule="auto" w:line="360"/>
        <w:ind w:firstLineChars="200" w:startChars="0" w:start="0" w:endChars="0" w:end="0"/>
        <w:jc w:val="start"/>
        <w:rPr>
          <w:bCs/>
          <w:sz w:val="28"/>
          <w:szCs w:val="28"/>
        </w:rPr>
      </w:pPr>
      <w:r>
        <w:rPr>
          <w:bCs/>
          <w:sz w:val="28"/>
          <w:szCs w:val="32"/>
        </w:rPr>
        <w:t>…</w:t>
      </w:r>
      <w:r>
        <w:rPr>
          <w:bCs/>
          <w:sz w:val="28"/>
          <w:szCs w:val="32"/>
        </w:rPr>
        <w:t>释放量值见表</w:t>
      </w:r>
      <w:r>
        <w:rPr>
          <w:bCs/>
          <w:sz w:val="28"/>
          <w:szCs w:val="32"/>
        </w:rPr>
        <w:t>2</w:t>
      </w:r>
      <w:r>
        <w:rPr>
          <w:bCs/>
          <w:sz w:val="28"/>
          <w:szCs w:val="32"/>
        </w:rPr>
        <w:t>。从表</w:t>
      </w:r>
      <w:r>
        <w:rPr>
          <w:bCs/>
          <w:sz w:val="28"/>
          <w:szCs w:val="32"/>
        </w:rPr>
        <w:t>2</w:t>
      </w:r>
      <w:r>
        <w:rPr>
          <w:bCs/>
          <w:sz w:val="28"/>
          <w:szCs w:val="32"/>
        </w:rPr>
        <w:t>中数据可以看出，气溶胶中烟碱、</w:t>
      </w:r>
      <w:r>
        <w:rPr>
          <w:bCs/>
          <w:sz w:val="28"/>
          <w:szCs w:val="32"/>
        </w:rPr>
        <w:t>1,2-</w:t>
      </w:r>
      <w:r>
        <w:rPr>
          <w:bCs/>
          <w:sz w:val="28"/>
          <w:szCs w:val="32"/>
        </w:rPr>
        <w:t>丙二醇和丙三醇的释放量分布范围分别是</w:t>
      </w:r>
      <w:r>
        <w:rPr>
          <w:bCs/>
          <w:sz w:val="28"/>
          <w:szCs w:val="32"/>
        </w:rPr>
        <w:t>7.87</w:t>
      </w:r>
      <w:r>
        <w:rPr>
          <w:sz w:val="28"/>
          <w:szCs w:val="28"/>
          <w:shd w:fill="FFFFFF" w:val="clear"/>
        </w:rPr>
        <w:t>～</w:t>
      </w:r>
      <w:r>
        <w:rPr>
          <w:bCs/>
          <w:sz w:val="28"/>
          <w:szCs w:val="32"/>
        </w:rPr>
        <w:t>51.77 μg/</w:t>
      </w:r>
      <w:r>
        <w:rPr>
          <w:bCs/>
          <w:sz w:val="28"/>
          <w:szCs w:val="32"/>
        </w:rPr>
        <w:t>口</w:t>
      </w:r>
      <w:r>
        <w:rPr>
          <w:b/>
          <w:color w:val="FF0000"/>
          <w:kern w:val="0"/>
          <w:sz w:val="28"/>
          <w:szCs w:val="28"/>
          <w:bdr w:val="single" w:sz="4" w:space="0" w:color="FF0000"/>
        </w:rPr>
        <w:t>描述结果</w:t>
      </w:r>
      <w:r>
        <w:rPr>
          <w:bCs/>
          <w:sz w:val="28"/>
          <w:szCs w:val="32"/>
        </w:rPr>
        <w:t>……</w:t>
      </w:r>
      <w:r>
        <w:rPr>
          <w:bCs/>
          <w:sz w:val="28"/>
          <w:szCs w:val="28"/>
        </w:rPr>
        <w:t>，跨度非常大</w:t>
      </w:r>
      <w:r>
        <w:rPr>
          <w:b/>
          <w:color w:val="FF0000"/>
          <w:kern w:val="0"/>
          <w:sz w:val="28"/>
          <w:szCs w:val="28"/>
          <w:bdr w:val="single" w:sz="4" w:space="0" w:color="FF0000"/>
        </w:rPr>
        <w:t>形成推论</w:t>
      </w:r>
      <w:r>
        <w:rPr>
          <w:bCs/>
          <w:sz w:val="28"/>
          <w:szCs w:val="28"/>
        </w:rPr>
        <w:t>。</w:t>
      </w:r>
    </w:p>
    <w:p>
      <w:pPr>
        <w:pStyle w:val="Normal"/>
        <w:numPr>
          <w:ilvl w:val="1"/>
          <w:numId w:val="6"/>
        </w:numPr>
        <w:snapToGrid w:val="false"/>
        <w:spacing w:lineRule="auto" w:line="360"/>
        <w:ind w:hanging="0" w:start="0" w:end="0"/>
        <w:jc w:val="start"/>
        <w:rPr>
          <w:b/>
          <w:bCs/>
          <w:sz w:val="28"/>
          <w:szCs w:val="32"/>
        </w:rPr>
      </w:pPr>
      <w:r>
        <w:rPr>
          <w:rFonts w:hint="eastAsia"/>
          <w:b/>
          <w:bCs/>
          <w:sz w:val="28"/>
          <w:szCs w:val="32"/>
        </w:rPr>
        <w:t xml:space="preserve"> </w:t>
      </w:r>
      <w:r>
        <w:rPr>
          <w:b/>
          <w:bCs/>
          <w:sz w:val="28"/>
          <w:szCs w:val="32"/>
        </w:rPr>
        <w:t>烟碱、</w:t>
      </w:r>
      <w:r>
        <w:rPr>
          <w:b/>
          <w:bCs/>
          <w:sz w:val="28"/>
          <w:szCs w:val="32"/>
        </w:rPr>
        <w:t>1,2-</w:t>
      </w:r>
      <w:r>
        <w:rPr>
          <w:b/>
          <w:bCs/>
          <w:sz w:val="28"/>
          <w:szCs w:val="32"/>
        </w:rPr>
        <w:t>丙二醇和丙三醇的相关性分析结果</w:t>
      </w:r>
      <w:r>
        <w:rPr>
          <w:b/>
          <w:bCs/>
          <w:sz w:val="28"/>
          <w:szCs w:val="32"/>
        </w:rPr>
        <w:tab/>
      </w:r>
    </w:p>
    <w:p>
      <w:pPr>
        <w:pStyle w:val="Normal"/>
        <w:snapToGrid w:val="false"/>
        <w:spacing w:lineRule="auto" w:line="360"/>
        <w:ind w:firstLineChars="200" w:startChars="0" w:start="0" w:endChars="0" w:end="0"/>
        <w:jc w:val="start"/>
        <w:rPr>
          <w:b/>
          <w:color w:val="FF0000"/>
          <w:kern w:val="0"/>
          <w:sz w:val="28"/>
          <w:szCs w:val="28"/>
          <w:bdr w:val="single" w:sz="4" w:space="0" w:color="FF0000"/>
        </w:rPr>
      </w:pPr>
      <w:r>
        <w:rPr>
          <w:bCs/>
          <w:sz w:val="28"/>
          <w:szCs w:val="28"/>
        </w:rPr>
        <w:t>…</w:t>
      </w:r>
      <w:r>
        <w:rPr>
          <w:bCs/>
          <w:sz w:val="28"/>
          <w:szCs w:val="28"/>
        </w:rPr>
        <w:t>具体分析结果见表</w:t>
      </w:r>
      <w:r>
        <w:rPr>
          <w:bCs/>
          <w:sz w:val="28"/>
          <w:szCs w:val="28"/>
        </w:rPr>
        <w:t>3</w:t>
      </w:r>
      <w:r>
        <w:rPr>
          <w:bCs/>
          <w:sz w:val="28"/>
          <w:szCs w:val="28"/>
        </w:rPr>
        <w:t>。</w:t>
      </w:r>
      <w:r>
        <w:rPr>
          <w:b/>
          <w:color w:val="FF0000"/>
          <w:kern w:val="0"/>
          <w:sz w:val="28"/>
          <w:szCs w:val="28"/>
          <w:bdr w:val="single" w:sz="4" w:space="0" w:color="FF0000"/>
        </w:rPr>
        <w:t>描述结果</w:t>
      </w:r>
      <w:r>
        <w:rPr>
          <w:bCs/>
          <w:sz w:val="28"/>
          <w:szCs w:val="28"/>
        </w:rPr>
        <w:t>…</w:t>
      </w:r>
      <w:r>
        <w:rPr>
          <w:bCs/>
          <w:sz w:val="28"/>
          <w:szCs w:val="28"/>
        </w:rPr>
        <w:t>.</w:t>
      </w:r>
      <w:r>
        <w:rPr>
          <w:bCs/>
          <w:sz w:val="28"/>
          <w:szCs w:val="28"/>
        </w:rPr>
        <w:t>说明</w:t>
      </w:r>
      <w:r>
        <w:rPr>
          <w:bCs/>
          <w:sz w:val="28"/>
          <w:szCs w:val="28"/>
        </w:rPr>
        <w:t>1,2-</w:t>
      </w:r>
      <w:r>
        <w:rPr>
          <w:bCs/>
          <w:sz w:val="28"/>
          <w:szCs w:val="28"/>
        </w:rPr>
        <w:t>丙二醇对烟碱递送起关键作用</w:t>
      </w:r>
      <w:r>
        <w:rPr>
          <w:b/>
          <w:color w:val="FF0000"/>
          <w:kern w:val="0"/>
          <w:sz w:val="28"/>
          <w:szCs w:val="28"/>
          <w:bdr w:val="single" w:sz="4" w:space="0" w:color="FF0000"/>
        </w:rPr>
        <w:t>形成推论…</w:t>
      </w:r>
      <w:r>
        <w:rPr>
          <w:b/>
          <w:color w:val="FF0000"/>
          <w:kern w:val="0"/>
          <w:sz w:val="28"/>
          <w:szCs w:val="28"/>
          <w:bdr w:val="single" w:sz="4" w:space="0" w:color="FF0000"/>
        </w:rPr>
        <w:t>.</w:t>
      </w:r>
      <w:r>
        <w:rPr>
          <w:b/>
          <w:color w:val="FF0000"/>
          <w:kern w:val="0"/>
          <w:sz w:val="28"/>
          <w:szCs w:val="28"/>
          <w:bdr w:val="single" w:sz="4" w:space="0" w:color="FF0000"/>
        </w:rPr>
        <w:t>。</w:t>
      </w:r>
    </w:p>
    <w:p>
      <w:pPr>
        <w:pStyle w:val="Normal"/>
        <w:numPr>
          <w:ilvl w:val="0"/>
          <w:numId w:val="8"/>
        </w:numPr>
        <w:snapToGrid w:val="false"/>
        <w:rPr>
          <w:rFonts w:eastAsia="华文楷体"/>
          <w:color w:val="FF0000"/>
          <w:sz w:val="24"/>
        </w:rPr>
      </w:pPr>
      <w:r>
        <w:rPr>
          <w:rFonts w:eastAsia="华文楷体"/>
          <w:color w:val="FF0000"/>
          <w:sz w:val="24"/>
        </w:rPr>
        <w:t>结果通常以文字配合图格进行表述，经过归纳整理和数据挖掘，具有代表性和科学意义，能够形成推论。</w:t>
      </w:r>
    </w:p>
    <w:p>
      <w:pPr>
        <w:pStyle w:val="Normal"/>
        <w:numPr>
          <w:ilvl w:val="0"/>
          <w:numId w:val="8"/>
        </w:numPr>
        <w:snapToGrid w:val="false"/>
        <w:rPr>
          <w:rFonts w:eastAsia="华文楷体"/>
          <w:color w:val="FF0000"/>
          <w:sz w:val="24"/>
        </w:rPr>
      </w:pPr>
      <w:r>
        <w:rPr>
          <w:rFonts w:eastAsia="华文楷体"/>
          <w:color w:val="FF0000"/>
          <w:sz w:val="24"/>
        </w:rPr>
        <w:t>结果表述中，应以文字形式对图、表中的信息做适当解释，以帮助读者理解，但文字不应与图、表已包含的信息重复。</w:t>
      </w:r>
    </w:p>
    <w:p>
      <w:pPr>
        <w:pStyle w:val="Normal"/>
        <w:numPr>
          <w:ilvl w:val="1"/>
          <w:numId w:val="6"/>
        </w:numPr>
        <w:spacing w:lineRule="auto" w:line="360"/>
        <w:rPr>
          <w:b/>
          <w:kern w:val="0"/>
          <w:sz w:val="28"/>
          <w:szCs w:val="28"/>
        </w:rPr>
      </w:pPr>
      <w:r>
        <w:rPr>
          <w:rFonts w:hint="eastAsia"/>
          <w:b/>
          <w:kern w:val="0"/>
          <w:sz w:val="28"/>
          <w:szCs w:val="28"/>
        </w:rPr>
        <w:t xml:space="preserve"> </w:t>
      </w:r>
      <w:r>
        <w:rPr>
          <w:b/>
          <w:kern w:val="0"/>
          <w:sz w:val="28"/>
          <w:szCs w:val="28"/>
        </w:rPr>
        <w:t>数字与单位的表达</w:t>
      </w:r>
    </w:p>
    <w:p>
      <w:pPr>
        <w:pStyle w:val="Normal"/>
        <w:snapToGrid w:val="false"/>
        <w:spacing w:lineRule="auto" w:line="360"/>
        <w:ind w:firstLineChars="200" w:startChars="0" w:start="0" w:endChars="0" w:end="0"/>
        <w:rPr>
          <w:kern w:val="0"/>
          <w:sz w:val="24"/>
        </w:rPr>
      </w:pPr>
      <w:r>
        <w:rPr>
          <w:kern w:val="0"/>
          <w:sz w:val="24"/>
        </w:rPr>
        <w:t>数字用法应符合</w:t>
      </w:r>
      <w:r>
        <w:rPr>
          <w:kern w:val="0"/>
          <w:sz w:val="24"/>
        </w:rPr>
        <w:t>GB/T 15835</w:t>
      </w:r>
      <w:r>
        <w:rPr>
          <w:kern w:val="0"/>
          <w:sz w:val="24"/>
        </w:rPr>
        <w:t>的规定。量、单位和符号的用法应符合</w:t>
      </w:r>
      <w:r>
        <w:rPr>
          <w:kern w:val="0"/>
          <w:sz w:val="24"/>
        </w:rPr>
        <w:t>GB</w:t>
      </w:r>
      <w:r>
        <w:rPr>
          <w:rFonts w:hint="eastAsia"/>
          <w:kern w:val="0"/>
          <w:sz w:val="24"/>
        </w:rPr>
        <w:t>/T</w:t>
      </w:r>
      <w:r>
        <w:rPr>
          <w:kern w:val="0"/>
          <w:sz w:val="24"/>
        </w:rPr>
        <w:t xml:space="preserve"> 3101</w:t>
      </w:r>
      <w:r>
        <w:rPr>
          <w:kern w:val="0"/>
          <w:sz w:val="24"/>
        </w:rPr>
        <w:t>的规定。</w:t>
      </w:r>
    </w:p>
    <w:p>
      <w:pPr>
        <w:pStyle w:val="Normal"/>
        <w:snapToGrid w:val="false"/>
        <w:spacing w:lineRule="auto" w:line="360"/>
        <w:ind w:firstLineChars="200" w:startChars="0" w:start="0" w:endChars="0" w:end="0"/>
        <w:rPr>
          <w:kern w:val="0"/>
          <w:sz w:val="24"/>
        </w:rPr>
      </w:pPr>
      <w:r>
        <w:rPr>
          <w:kern w:val="0"/>
          <w:sz w:val="24"/>
        </w:rPr>
        <w:t>应尽量使用阿拉伯数字。</w:t>
      </w:r>
    </w:p>
    <w:p>
      <w:pPr>
        <w:pStyle w:val="Normal"/>
        <w:snapToGrid w:val="false"/>
        <w:spacing w:lineRule="auto" w:line="360"/>
        <w:ind w:firstLineChars="200" w:startChars="0" w:start="0" w:endChars="0" w:end="0"/>
        <w:rPr>
          <w:sz w:val="28"/>
          <w:szCs w:val="28"/>
        </w:rPr>
      </w:pPr>
      <w:r>
        <w:rPr>
          <w:kern w:val="0"/>
          <w:sz w:val="28"/>
          <w:szCs w:val="28"/>
        </w:rPr>
        <w:t>样品在温度（</w:t>
      </w:r>
      <w:r>
        <w:rPr>
          <w:kern w:val="0"/>
          <w:sz w:val="28"/>
          <w:szCs w:val="28"/>
        </w:rPr>
        <w:t>22±1</w:t>
      </w:r>
      <w:r>
        <w:rPr>
          <w:kern w:val="0"/>
          <w:sz w:val="28"/>
          <w:szCs w:val="28"/>
        </w:rPr>
        <w:t>）</w:t>
      </w:r>
      <w:r>
        <w:rPr>
          <w:rFonts w:ascii="宋体;SimSun" w:hAnsi="宋体;SimSun" w:cs="宋体;SimSun" w:hint="eastAsia"/>
          <w:kern w:val="0"/>
          <w:sz w:val="28"/>
          <w:szCs w:val="28"/>
        </w:rPr>
        <w:t>℃</w:t>
      </w:r>
      <w:r>
        <w:rPr>
          <w:kern w:val="0"/>
          <w:sz w:val="28"/>
          <w:szCs w:val="28"/>
        </w:rPr>
        <w:t>、相对湿度</w:t>
      </w:r>
      <w:r>
        <w:rPr>
          <w:kern w:val="0"/>
          <w:sz w:val="28"/>
          <w:szCs w:val="28"/>
        </w:rPr>
        <w:t xml:space="preserve">60%±2% </w:t>
      </w:r>
      <w:r>
        <w:rPr>
          <w:b/>
          <w:bCs/>
          <w:color w:val="FF0000"/>
          <w:kern w:val="0"/>
          <w:sz w:val="28"/>
          <w:szCs w:val="28"/>
          <w:bdr w:val="single" w:sz="4" w:space="0" w:color="FF0000"/>
        </w:rPr>
        <w:t>变化幅度应照此两种方式表述</w:t>
      </w:r>
      <w:r>
        <w:rPr>
          <w:kern w:val="0"/>
          <w:sz w:val="28"/>
          <w:szCs w:val="28"/>
        </w:rPr>
        <w:t>的恒温恒湿箱中平衡水分</w:t>
      </w:r>
      <w:r>
        <w:rPr>
          <w:kern w:val="0"/>
          <w:sz w:val="28"/>
          <w:szCs w:val="28"/>
        </w:rPr>
        <w:t>48 h</w:t>
      </w:r>
      <w:r>
        <w:rPr>
          <w:b/>
          <w:bCs/>
          <w:color w:val="FF0000"/>
          <w:kern w:val="0"/>
          <w:sz w:val="28"/>
          <w:szCs w:val="28"/>
          <w:bdr w:val="single" w:sz="4" w:space="0" w:color="FF0000"/>
        </w:rPr>
        <w:t>数字和单位间有半字的空隙，但是</w:t>
      </w:r>
      <w:r>
        <w:rPr>
          <w:rFonts w:ascii="宋体;SimSun" w:hAnsi="宋体;SimSun" w:cs="宋体;SimSun" w:hint="eastAsia"/>
          <w:b/>
          <w:bCs/>
          <w:color w:val="FF0000"/>
          <w:kern w:val="0"/>
          <w:sz w:val="28"/>
          <w:szCs w:val="28"/>
          <w:bdr w:val="single" w:sz="4" w:space="0" w:color="FF0000"/>
        </w:rPr>
        <w:t>℃</w:t>
      </w:r>
      <w:r>
        <w:rPr>
          <w:b/>
          <w:bCs/>
          <w:color w:val="FF0000"/>
          <w:kern w:val="0"/>
          <w:sz w:val="28"/>
          <w:szCs w:val="28"/>
          <w:bdr w:val="single" w:sz="4" w:space="0" w:color="FF0000"/>
        </w:rPr>
        <w:t>和</w:t>
      </w:r>
      <w:r>
        <w:rPr>
          <w:b/>
          <w:bCs/>
          <w:color w:val="FF0000"/>
          <w:kern w:val="0"/>
          <w:sz w:val="28"/>
          <w:szCs w:val="28"/>
          <w:bdr w:val="single" w:sz="4" w:space="0" w:color="FF0000"/>
        </w:rPr>
        <w:t>%</w:t>
      </w:r>
      <w:r>
        <w:rPr>
          <w:b/>
          <w:bCs/>
          <w:color w:val="FF0000"/>
          <w:kern w:val="0"/>
          <w:sz w:val="28"/>
          <w:szCs w:val="28"/>
          <w:bdr w:val="single" w:sz="4" w:space="0" w:color="FF0000"/>
        </w:rPr>
        <w:t>除外</w:t>
      </w:r>
      <w:r>
        <w:rPr>
          <w:sz w:val="28"/>
          <w:szCs w:val="28"/>
        </w:rPr>
        <w:t>，测试时每</w:t>
      </w:r>
      <w:r>
        <w:rPr>
          <w:sz w:val="28"/>
          <w:szCs w:val="28"/>
        </w:rPr>
        <w:t>5</w:t>
      </w:r>
      <w:r>
        <w:rPr>
          <w:sz w:val="28"/>
          <w:szCs w:val="28"/>
        </w:rPr>
        <w:t>个通道为</w:t>
      </w:r>
      <w:r>
        <w:rPr>
          <w:sz w:val="28"/>
          <w:szCs w:val="28"/>
        </w:rPr>
        <w:t>1</w:t>
      </w:r>
      <w:r>
        <w:rPr>
          <w:sz w:val="28"/>
          <w:szCs w:val="28"/>
        </w:rPr>
        <w:t>个抽吸方案，抽同一个样品，每个通道共计抽吸</w:t>
      </w:r>
      <w:r>
        <w:rPr>
          <w:sz w:val="28"/>
          <w:szCs w:val="28"/>
        </w:rPr>
        <w:t>3</w:t>
      </w:r>
      <w:r>
        <w:rPr>
          <w:sz w:val="28"/>
          <w:szCs w:val="28"/>
        </w:rPr>
        <w:t>支卷烟。</w:t>
      </w:r>
    </w:p>
    <w:p>
      <w:pPr>
        <w:pStyle w:val="Normal"/>
        <w:snapToGrid w:val="false"/>
        <w:spacing w:lineRule="auto" w:line="360"/>
        <w:ind w:firstLineChars="200" w:startChars="0" w:start="0" w:endChars="0" w:end="0"/>
        <w:rPr>
          <w:kern w:val="0"/>
          <w:sz w:val="24"/>
        </w:rPr>
      </w:pPr>
      <w:r>
        <w:rPr>
          <w:kern w:val="0"/>
          <w:sz w:val="24"/>
        </w:rPr>
        <w:t>所有单位，符号须采用国家标准单位及标准书写方式，如：</w:t>
      </w:r>
      <w:r>
        <w:rPr>
          <w:kern w:val="0"/>
          <w:sz w:val="24"/>
        </w:rPr>
        <w:t>mbar</w:t>
      </w:r>
      <w:r>
        <w:rPr>
          <w:kern w:val="0"/>
          <w:sz w:val="24"/>
        </w:rPr>
        <w:t>，</w:t>
      </w:r>
      <w:r>
        <w:rPr>
          <w:kern w:val="0"/>
          <w:sz w:val="24"/>
        </w:rPr>
        <w:t>ppm</w:t>
      </w:r>
      <w:r>
        <w:rPr>
          <w:kern w:val="0"/>
          <w:sz w:val="24"/>
        </w:rPr>
        <w:t>，</w:t>
      </w:r>
      <w:r>
        <w:rPr>
          <w:kern w:val="0"/>
          <w:sz w:val="24"/>
        </w:rPr>
        <w:t>ha</w:t>
      </w:r>
      <w:r>
        <w:rPr>
          <w:color w:val="FF0000"/>
          <w:kern w:val="0"/>
          <w:sz w:val="24"/>
          <w:bdr w:val="single" w:sz="4" w:space="0" w:color="FF0000"/>
        </w:rPr>
        <w:t>应为</w:t>
      </w:r>
      <w:r>
        <w:rPr>
          <w:color w:val="FF0000"/>
          <w:kern w:val="0"/>
          <w:sz w:val="24"/>
          <w:bdr w:val="single" w:sz="4" w:space="0" w:color="FF0000"/>
        </w:rPr>
        <w:t>hm</w:t>
      </w:r>
      <w:r>
        <w:rPr>
          <w:color w:val="FF0000"/>
          <w:kern w:val="0"/>
          <w:sz w:val="24"/>
          <w:bdr w:val="single" w:sz="4" w:space="0" w:color="FF0000"/>
          <w:vertAlign w:val="superscript"/>
        </w:rPr>
        <w:t>2</w:t>
      </w:r>
      <w:r>
        <w:rPr>
          <w:kern w:val="0"/>
          <w:sz w:val="24"/>
        </w:rPr>
        <w:t>，</w:t>
      </w:r>
      <w:r>
        <w:rPr>
          <w:kern w:val="0"/>
          <w:sz w:val="24"/>
        </w:rPr>
        <w:t>ul</w:t>
      </w:r>
      <w:r>
        <w:rPr>
          <w:color w:val="FF0000"/>
          <w:kern w:val="0"/>
          <w:sz w:val="24"/>
          <w:bdr w:val="single" w:sz="4" w:space="0" w:color="FF0000"/>
        </w:rPr>
        <w:t>应为</w:t>
      </w:r>
      <w:r>
        <w:rPr>
          <w:color w:val="FF0000"/>
          <w:kern w:val="0"/>
          <w:sz w:val="24"/>
          <w:bdr w:val="single" w:sz="4" w:space="0" w:color="FF0000"/>
        </w:rPr>
        <w:t>µL</w:t>
      </w:r>
      <w:r>
        <w:rPr>
          <w:kern w:val="0"/>
          <w:sz w:val="24"/>
        </w:rPr>
        <w:t>，</w:t>
      </w:r>
      <w:r>
        <w:rPr>
          <w:kern w:val="0"/>
          <w:sz w:val="24"/>
        </w:rPr>
        <w:t>ml</w:t>
      </w:r>
      <w:r>
        <w:rPr>
          <w:color w:val="FF0000"/>
          <w:kern w:val="0"/>
          <w:sz w:val="24"/>
          <w:bdr w:val="single" w:sz="4" w:space="0" w:color="FF0000"/>
        </w:rPr>
        <w:t>应为</w:t>
      </w:r>
      <w:r>
        <w:rPr>
          <w:color w:val="FF0000"/>
          <w:kern w:val="0"/>
          <w:sz w:val="24"/>
          <w:bdr w:val="single" w:sz="4" w:space="0" w:color="FF0000"/>
        </w:rPr>
        <w:t>mL</w:t>
      </w:r>
      <w:r>
        <w:rPr>
          <w:kern w:val="0"/>
          <w:sz w:val="24"/>
        </w:rPr>
        <w:t>。</w:t>
      </w:r>
    </w:p>
    <w:p>
      <w:pPr>
        <w:pStyle w:val="Normal"/>
        <w:snapToGrid w:val="false"/>
        <w:spacing w:lineRule="auto" w:line="360"/>
        <w:ind w:firstLineChars="200" w:startChars="0" w:start="0" w:endChars="0" w:end="0"/>
        <w:jc w:val="start"/>
        <w:rPr>
          <w:rFonts w:hint="eastAsia"/>
          <w:kern w:val="0"/>
          <w:sz w:val="24"/>
        </w:rPr>
      </w:pPr>
      <w:r>
        <w:rPr>
          <w:rFonts w:hint="eastAsia"/>
          <w:b/>
          <w:bCs/>
          <w:color w:val="FF0000"/>
          <w:kern w:val="0"/>
          <w:sz w:val="24"/>
        </w:rPr>
        <w:t>注</w:t>
      </w:r>
      <w:r>
        <w:rPr>
          <w:rFonts w:hint="eastAsia"/>
          <w:kern w:val="0"/>
          <w:sz w:val="24"/>
        </w:rPr>
        <w:t>：</w:t>
      </w:r>
      <w:r>
        <w:rPr>
          <w:rFonts w:ascii="宋体;SimSun" w:hAnsi="宋体;SimSun" w:cs="宋体;SimSun" w:hint="eastAsia"/>
          <w:b/>
          <w:bCs/>
          <w:color w:val="FF0000"/>
          <w:kern w:val="0"/>
          <w:sz w:val="24"/>
        </w:rPr>
        <w:t>℃</w:t>
      </w:r>
      <w:r>
        <w:rPr>
          <w:rFonts w:ascii="宋体;SimSun" w:hAnsi="宋体;SimSun" w:cs="宋体;SimSun" w:hint="eastAsia"/>
          <w:kern w:val="0"/>
          <w:sz w:val="24"/>
        </w:rPr>
        <w:t>常用中文（全角）符号而非英文（半角）符号；注意表范围</w:t>
      </w:r>
      <w:r>
        <w:rPr>
          <w:rFonts w:hint="eastAsia"/>
          <w:sz w:val="24"/>
          <w:shd w:fill="FFFFFF" w:val="clear"/>
        </w:rPr>
        <w:t>的符号</w:t>
      </w:r>
      <w:r>
        <w:rPr>
          <w:b/>
          <w:bCs/>
          <w:color w:val="FF0000"/>
          <w:sz w:val="24"/>
          <w:shd w:fill="FFFFFF" w:val="clear"/>
        </w:rPr>
        <w:t>～</w:t>
      </w:r>
      <w:r>
        <w:rPr>
          <w:rFonts w:hint="eastAsia"/>
          <w:sz w:val="24"/>
          <w:shd w:fill="FFFFFF" w:val="clear"/>
        </w:rPr>
        <w:t>的写法。</w:t>
      </w:r>
    </w:p>
    <w:p>
      <w:pPr>
        <w:pStyle w:val="Normal"/>
        <w:spacing w:lineRule="auto" w:line="360"/>
        <w:rPr>
          <w:b/>
          <w:kern w:val="0"/>
          <w:sz w:val="28"/>
          <w:szCs w:val="28"/>
        </w:rPr>
      </w:pPr>
      <w:r>
        <w:rPr>
          <w:b/>
          <w:kern w:val="0"/>
          <w:sz w:val="28"/>
          <w:szCs w:val="28"/>
        </w:rPr>
        <w:t>2.5</w:t>
      </w:r>
      <w:r>
        <w:rPr>
          <w:rFonts w:hint="eastAsia"/>
          <w:b/>
          <w:kern w:val="0"/>
          <w:sz w:val="28"/>
          <w:szCs w:val="28"/>
        </w:rPr>
        <w:t xml:space="preserve"> </w:t>
      </w:r>
      <w:r>
        <w:rPr>
          <w:b/>
          <w:kern w:val="0"/>
          <w:sz w:val="28"/>
          <w:szCs w:val="28"/>
        </w:rPr>
        <w:t>图表的格式</w:t>
      </w:r>
    </w:p>
    <w:p>
      <w:pPr>
        <w:pStyle w:val="Normal"/>
        <w:spacing w:lineRule="auto" w:line="360"/>
        <w:ind w:firstLineChars="200" w:startChars="0" w:start="0" w:endChars="0" w:end="0"/>
        <w:jc w:val="center"/>
        <w:rPr>
          <w:b/>
          <w:kern w:val="0"/>
          <w:lang w:val="zh-CN" w:eastAsia="zh-CN"/>
        </w:rPr>
      </w:pPr>
      <w:r>
        <w:rPr>
          <w:b/>
          <w:kern w:val="0"/>
        </w:rPr>
        <w:drawing>
          <wp:inline distT="0" distB="0" distL="0" distR="0">
            <wp:extent cx="105549700" cy="202628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2"/>
                    <a:srcRect l="-3216" t="-4502" r="-1267" b="-1459"/>
                    <a:stretch>
                      <a:fillRect/>
                    </a:stretch>
                  </pic:blipFill>
                  <pic:spPr bwMode="auto">
                    <a:xfrm>
                      <a:off x="0" y="0"/>
                      <a:ext cx="105549700" cy="2026285"/>
                    </a:xfrm>
                    <a:prstGeom prst="rect">
                      <a:avLst/>
                    </a:prstGeom>
                    <a:noFill/>
                  </pic:spPr>
                </pic:pic>
              </a:graphicData>
            </a:graphic>
          </wp:inline>
        </w:drawing>
      </w:r>
    </w:p>
    <w:p>
      <w:pPr>
        <w:pStyle w:val="Normal"/>
        <w:snapToGrid w:val="false"/>
        <w:spacing w:lineRule="auto" w:line="360"/>
        <w:ind w:firstLineChars="400" w:startChars="0" w:start="0" w:endChars="0" w:end="0"/>
        <w:rPr>
          <w:kern w:val="0"/>
          <w:sz w:val="18"/>
        </w:rPr>
      </w:pPr>
      <w:r>
        <w:rPr>
          <w:kern w:val="0"/>
          <w:sz w:val="18"/>
        </w:rPr>
        <w:t>注：活性炭复合滤嘴中活性炭含量为</w:t>
      </w:r>
      <w:r>
        <w:rPr>
          <w:kern w:val="0"/>
          <w:sz w:val="18"/>
        </w:rPr>
        <w:t>45 mg/</w:t>
      </w:r>
      <w:r>
        <w:rPr>
          <w:kern w:val="0"/>
          <w:sz w:val="18"/>
        </w:rPr>
        <w:t>支。</w:t>
      </w:r>
    </w:p>
    <w:p>
      <w:pPr>
        <w:pStyle w:val="Normal"/>
        <w:snapToGrid w:val="false"/>
        <w:spacing w:lineRule="auto" w:line="360"/>
        <w:ind w:firstLineChars="400" w:startChars="0" w:start="0" w:endChars="0" w:end="0"/>
        <w:rPr>
          <w:kern w:val="0"/>
          <w:sz w:val="18"/>
        </w:rPr>
      </w:pPr>
      <w:r>
        <w:rPr>
          <w:kern w:val="0"/>
          <w:sz w:val="18"/>
        </w:rPr>
        <w:t>Note</w:t>
      </w:r>
      <w:r>
        <w:rPr>
          <w:kern w:val="0"/>
          <w:sz w:val="18"/>
        </w:rPr>
        <w:t>：</w:t>
      </w:r>
      <w:r>
        <w:rPr>
          <w:kern w:val="0"/>
          <w:sz w:val="18"/>
        </w:rPr>
        <w:t>The activated carbon content of the activated carbon composite filter is about 45 mg / cig.</w:t>
      </w:r>
    </w:p>
    <w:p>
      <w:pPr>
        <w:pStyle w:val="Normal"/>
        <w:snapToGrid w:val="false"/>
        <w:spacing w:lineRule="auto" w:line="360"/>
        <w:ind w:firstLineChars="200" w:startChars="0" w:start="0" w:endChars="0" w:end="0"/>
        <w:jc w:val="center"/>
        <w:rPr>
          <w:b/>
          <w:bCs/>
          <w:kern w:val="0"/>
        </w:rPr>
      </w:pPr>
      <w:r>
        <w:rPr>
          <w:b/>
          <w:bCs/>
          <w:kern w:val="0"/>
        </w:rPr>
        <w:t>图</w:t>
      </w:r>
      <w:r>
        <w:rPr>
          <w:b/>
          <w:bCs/>
          <w:kern w:val="0"/>
        </w:rPr>
        <w:t xml:space="preserve">1 </w:t>
      </w:r>
      <w:r>
        <w:rPr>
          <w:b/>
          <w:bCs/>
          <w:kern w:val="0"/>
        </w:rPr>
        <w:t>滤嘴中薄荷醇含量随储存时间的动态变化</w:t>
      </w:r>
    </w:p>
    <w:p>
      <w:pPr>
        <w:pStyle w:val="Normal"/>
        <w:snapToGrid w:val="false"/>
        <w:spacing w:lineRule="auto" w:line="360"/>
        <w:ind w:firstLineChars="200" w:startChars="0" w:start="0" w:endChars="0" w:end="0"/>
        <w:jc w:val="center"/>
        <w:rPr>
          <w:b/>
          <w:bCs/>
          <w:kern w:val="0"/>
        </w:rPr>
      </w:pPr>
      <w:r>
        <w:rPr>
          <w:b/>
          <w:bCs/>
          <w:kern w:val="0"/>
        </w:rPr>
        <w:t>Fig.</w:t>
      </w:r>
      <w:r>
        <w:rPr>
          <w:rFonts w:hint="eastAsia"/>
          <w:b/>
          <w:bCs/>
          <w:kern w:val="0"/>
        </w:rPr>
        <w:t xml:space="preserve"> </w:t>
      </w:r>
      <w:r>
        <w:rPr>
          <w:b/>
          <w:bCs/>
          <w:kern w:val="0"/>
        </w:rPr>
        <w:t>1 Dynamic change of menthol content in the filter with storage months</w:t>
      </w:r>
    </w:p>
    <w:p>
      <w:pPr>
        <w:pStyle w:val="Normal"/>
        <w:numPr>
          <w:ilvl w:val="0"/>
          <w:numId w:val="8"/>
        </w:numPr>
        <w:snapToGrid w:val="false"/>
        <w:ind w:firstLineChars="0" w:firstLine="0" w:startChars="-1" w:endChars="0" w:end="0"/>
        <w:rPr>
          <w:rFonts w:eastAsia="华文楷体"/>
          <w:color w:val="FF0000"/>
          <w:sz w:val="24"/>
        </w:rPr>
      </w:pPr>
      <w:r>
        <w:rPr>
          <w:rFonts w:eastAsia="华文楷体"/>
          <w:color w:val="FF0000"/>
          <w:sz w:val="24"/>
        </w:rPr>
        <w:t>图表的标题须中、英文双语标注。坐标轴、图例、注释建议中英文双语标注。双语标注的格式见上例。</w:t>
      </w:r>
    </w:p>
    <w:p>
      <w:pPr>
        <w:pStyle w:val="Normal"/>
        <w:numPr>
          <w:ilvl w:val="0"/>
          <w:numId w:val="8"/>
        </w:numPr>
        <w:snapToGrid w:val="false"/>
        <w:ind w:firstLineChars="0" w:firstLine="0" w:startChars="-1" w:endChars="0" w:end="0"/>
        <w:rPr>
          <w:rFonts w:eastAsia="华文楷体"/>
          <w:color w:val="FF0000"/>
          <w:sz w:val="24"/>
        </w:rPr>
      </w:pPr>
      <w:r>
        <w:rPr>
          <w:rFonts w:eastAsia="华文楷体"/>
          <w:color w:val="FF0000"/>
          <w:sz w:val="24"/>
        </w:rPr>
        <w:t>如果图注中的信息，能够在图片中体现的，尽量标在图片上。</w:t>
      </w:r>
    </w:p>
    <w:p>
      <w:pPr>
        <w:pStyle w:val="Normal"/>
        <w:numPr>
          <w:ilvl w:val="0"/>
          <w:numId w:val="8"/>
        </w:numPr>
        <w:snapToGrid w:val="false"/>
        <w:ind w:firstLineChars="0" w:firstLine="0" w:startChars="-1" w:endChars="0" w:end="0"/>
        <w:rPr>
          <w:rFonts w:eastAsia="华文楷体"/>
          <w:color w:val="FF0000"/>
          <w:sz w:val="24"/>
        </w:rPr>
      </w:pPr>
      <w:r>
        <w:rPr>
          <w:rFonts w:eastAsia="华文楷体"/>
          <w:color w:val="FF0000"/>
          <w:sz w:val="24"/>
        </w:rPr>
        <w:t>图注属于图的一部分，其位置应该在图与图题之间。</w:t>
      </w:r>
    </w:p>
    <w:p>
      <w:pPr>
        <w:pStyle w:val="Normal"/>
        <w:numPr>
          <w:ilvl w:val="0"/>
          <w:numId w:val="8"/>
        </w:numPr>
        <w:snapToGrid w:val="false"/>
        <w:ind w:firstLineChars="0" w:firstLine="0" w:startChars="-1" w:endChars="0" w:end="0"/>
        <w:rPr>
          <w:rFonts w:eastAsia="华文楷体"/>
          <w:color w:val="FF0000"/>
          <w:sz w:val="24"/>
        </w:rPr>
      </w:pPr>
      <w:r>
        <w:rPr>
          <w:rFonts w:eastAsia="华文楷体"/>
          <w:color w:val="FF0000"/>
          <w:sz w:val="24"/>
        </w:rPr>
        <w:t>图表的量和单位以</w:t>
      </w:r>
      <w:r>
        <w:rPr>
          <w:rFonts w:hint="eastAsia" w:eastAsia="华文楷体"/>
          <w:color w:val="FF0000"/>
          <w:sz w:val="24"/>
        </w:rPr>
        <w:t>“</w:t>
      </w:r>
      <w:r>
        <w:rPr>
          <w:rFonts w:eastAsia="华文楷体"/>
          <w:color w:val="FF0000"/>
          <w:sz w:val="24"/>
        </w:rPr>
        <w:t>/</w:t>
      </w:r>
      <w:r>
        <w:rPr>
          <w:rFonts w:eastAsia="华文楷体" w:hint="eastAsia"/>
          <w:color w:val="FF0000"/>
          <w:sz w:val="24"/>
        </w:rPr>
        <w:t>”</w:t>
      </w:r>
      <w:r>
        <w:rPr>
          <w:rFonts w:eastAsia="华文楷体"/>
          <w:color w:val="FF0000"/>
          <w:sz w:val="24"/>
        </w:rPr>
        <w:t>隔开。</w:t>
      </w:r>
    </w:p>
    <w:p>
      <w:pPr>
        <w:pStyle w:val="Normal"/>
        <w:numPr>
          <w:ilvl w:val="0"/>
          <w:numId w:val="8"/>
        </w:numPr>
        <w:snapToGrid w:val="false"/>
        <w:ind w:firstLineChars="0" w:firstLine="0" w:startChars="-1" w:endChars="0" w:end="0"/>
        <w:rPr>
          <w:rFonts w:eastAsia="华文楷体"/>
          <w:color w:val="FF0000"/>
          <w:sz w:val="24"/>
        </w:rPr>
      </w:pPr>
      <w:r>
        <w:rPr>
          <w:rFonts w:eastAsia="华文楷体"/>
          <w:color w:val="FF0000"/>
          <w:sz w:val="24"/>
        </w:rPr>
        <w:t>书写格式要规范，图</w:t>
      </w:r>
      <w:r>
        <w:rPr>
          <w:rFonts w:eastAsia="华文楷体"/>
          <w:color w:val="FF0000"/>
          <w:sz w:val="24"/>
        </w:rPr>
        <w:t>1</w:t>
      </w:r>
      <w:r>
        <w:rPr>
          <w:rFonts w:eastAsia="华文楷体"/>
          <w:color w:val="FF0000"/>
          <w:sz w:val="24"/>
        </w:rPr>
        <w:t>后边没有</w:t>
      </w:r>
      <w:r>
        <w:rPr>
          <w:rFonts w:hint="eastAsia" w:eastAsia="华文楷体"/>
          <w:color w:val="FF0000"/>
          <w:sz w:val="24"/>
        </w:rPr>
        <w:t>“</w:t>
      </w:r>
      <w:r>
        <w:rPr>
          <w:rFonts w:eastAsia="华文楷体"/>
          <w:color w:val="FF0000"/>
          <w:sz w:val="24"/>
        </w:rPr>
        <w:t>.</w:t>
      </w:r>
      <w:r>
        <w:rPr>
          <w:rFonts w:eastAsia="华文楷体" w:hint="eastAsia"/>
          <w:color w:val="FF0000"/>
          <w:sz w:val="24"/>
        </w:rPr>
        <w:t>”</w:t>
      </w:r>
      <w:r>
        <w:rPr>
          <w:rFonts w:eastAsia="华文楷体"/>
          <w:color w:val="FF0000"/>
          <w:sz w:val="24"/>
        </w:rPr>
        <w:t>（不能写成图</w:t>
      </w:r>
      <w:r>
        <w:rPr>
          <w:rFonts w:eastAsia="华文楷体"/>
          <w:color w:val="FF0000"/>
          <w:sz w:val="24"/>
        </w:rPr>
        <w:t>1.</w:t>
      </w:r>
      <w:r>
        <w:rPr>
          <w:rFonts w:eastAsia="华文楷体"/>
          <w:color w:val="FF0000"/>
          <w:sz w:val="24"/>
        </w:rPr>
        <w:t>）。</w:t>
      </w:r>
      <w:r>
        <w:rPr>
          <w:rFonts w:eastAsia="华文楷体"/>
          <w:color w:val="FF0000"/>
          <w:sz w:val="24"/>
        </w:rPr>
        <w:t>Fig.1</w:t>
      </w:r>
      <w:r>
        <w:rPr>
          <w:rFonts w:eastAsia="华文楷体"/>
          <w:color w:val="FF0000"/>
          <w:sz w:val="24"/>
        </w:rPr>
        <w:t>，因为是简写，所以</w:t>
      </w:r>
      <w:r>
        <w:rPr>
          <w:rFonts w:eastAsia="华文楷体"/>
          <w:color w:val="FF0000"/>
          <w:sz w:val="24"/>
        </w:rPr>
        <w:t>Fig</w:t>
      </w:r>
      <w:r>
        <w:rPr>
          <w:rFonts w:eastAsia="华文楷体"/>
          <w:color w:val="FF0000"/>
          <w:sz w:val="24"/>
        </w:rPr>
        <w:t>和</w:t>
      </w:r>
      <w:r>
        <w:rPr>
          <w:rFonts w:eastAsia="华文楷体"/>
          <w:color w:val="FF0000"/>
          <w:sz w:val="24"/>
        </w:rPr>
        <w:t>1</w:t>
      </w:r>
      <w:r>
        <w:rPr>
          <w:rFonts w:eastAsia="华文楷体"/>
          <w:color w:val="FF0000"/>
          <w:sz w:val="24"/>
        </w:rPr>
        <w:t>之间有</w:t>
      </w:r>
      <w:r>
        <w:rPr>
          <w:rFonts w:hint="eastAsia" w:eastAsia="华文楷体"/>
          <w:color w:val="FF0000"/>
          <w:sz w:val="24"/>
        </w:rPr>
        <w:t>“</w:t>
      </w:r>
      <w:r>
        <w:rPr>
          <w:rFonts w:eastAsia="华文楷体"/>
          <w:color w:val="FF0000"/>
          <w:sz w:val="24"/>
        </w:rPr>
        <w:t>.</w:t>
      </w:r>
      <w:r>
        <w:rPr>
          <w:rFonts w:eastAsia="华文楷体" w:hint="eastAsia"/>
          <w:color w:val="FF0000"/>
          <w:sz w:val="24"/>
        </w:rPr>
        <w:t>”</w:t>
      </w:r>
      <w:r>
        <w:rPr>
          <w:rFonts w:eastAsia="华文楷体"/>
          <w:color w:val="FF0000"/>
          <w:sz w:val="24"/>
        </w:rPr>
        <w:t>。</w:t>
      </w:r>
    </w:p>
    <w:p>
      <w:pPr>
        <w:pStyle w:val="Normal"/>
        <w:numPr>
          <w:ilvl w:val="0"/>
          <w:numId w:val="8"/>
        </w:numPr>
        <w:snapToGrid w:val="false"/>
        <w:ind w:firstLineChars="0" w:firstLine="0" w:startChars="-1" w:endChars="0" w:end="0"/>
        <w:rPr>
          <w:color w:val="FF0000"/>
          <w:sz w:val="22"/>
        </w:rPr>
      </w:pPr>
      <w:r>
        <w:rPr>
          <w:rFonts w:eastAsia="华文楷体"/>
          <w:color w:val="FF0000"/>
          <w:sz w:val="24"/>
        </w:rPr>
        <w:t>涉及国家版图的图片，务必要</w:t>
      </w:r>
      <w:r>
        <w:rPr>
          <w:rFonts w:hint="eastAsia" w:eastAsia="华文楷体"/>
          <w:color w:val="FF0000"/>
          <w:sz w:val="24"/>
        </w:rPr>
        <w:t>“</w:t>
      </w:r>
      <w:r>
        <w:rPr>
          <w:rFonts w:eastAsia="华文楷体"/>
          <w:color w:val="FF0000"/>
          <w:sz w:val="24"/>
        </w:rPr>
        <w:t>规范使用地图</w:t>
      </w:r>
      <w:r>
        <w:rPr>
          <w:rFonts w:hint="eastAsia" w:eastAsia="华文楷体"/>
          <w:color w:val="FF0000"/>
          <w:sz w:val="24"/>
        </w:rPr>
        <w:t>，</w:t>
      </w:r>
      <w:r>
        <w:rPr>
          <w:rFonts w:eastAsia="华文楷体"/>
          <w:color w:val="FF0000"/>
          <w:sz w:val="24"/>
        </w:rPr>
        <w:t>一点都不能错</w:t>
      </w:r>
      <w:r>
        <w:rPr>
          <w:rFonts w:hint="eastAsia" w:eastAsia="华文楷体"/>
          <w:color w:val="FF0000"/>
          <w:sz w:val="24"/>
        </w:rPr>
        <w:t>”</w:t>
      </w:r>
      <w:r>
        <w:rPr>
          <w:rFonts w:eastAsia="华文楷体"/>
          <w:color w:val="FF0000"/>
          <w:sz w:val="24"/>
        </w:rPr>
        <w:t>，务必采用</w:t>
      </w:r>
      <w:r>
        <w:rPr>
          <w:rFonts w:eastAsia="华文楷体"/>
          <w:color w:val="FF0000"/>
          <w:sz w:val="24"/>
        </w:rPr>
        <w:t>2019</w:t>
      </w:r>
      <w:r>
        <w:rPr>
          <w:rFonts w:eastAsia="华文楷体"/>
          <w:color w:val="FF0000"/>
          <w:sz w:val="24"/>
        </w:rPr>
        <w:t>年新版国家标准地图，或根据新版国家标准地图</w:t>
      </w:r>
      <w:r>
        <w:rPr>
          <w:rFonts w:hint="eastAsia" w:eastAsia="华文楷体"/>
          <w:color w:val="FF0000"/>
          <w:sz w:val="24"/>
        </w:rPr>
        <w:t>“</w:t>
      </w:r>
      <w:r>
        <w:rPr>
          <w:rFonts w:eastAsia="华文楷体"/>
          <w:color w:val="FF0000"/>
          <w:sz w:val="24"/>
        </w:rPr>
        <w:t>自助底图</w:t>
      </w:r>
      <w:r>
        <w:rPr>
          <w:rFonts w:hint="eastAsia" w:eastAsia="华文楷体"/>
          <w:color w:val="FF0000"/>
          <w:sz w:val="24"/>
        </w:rPr>
        <w:t>”</w:t>
      </w:r>
      <w:r>
        <w:rPr>
          <w:rFonts w:eastAsia="华文楷体"/>
          <w:color w:val="FF0000"/>
          <w:sz w:val="24"/>
        </w:rPr>
        <w:t>制作，避免</w:t>
      </w:r>
      <w:r>
        <w:rPr>
          <w:rFonts w:hint="eastAsia" w:eastAsia="华文楷体"/>
          <w:color w:val="FF0000"/>
          <w:sz w:val="24"/>
        </w:rPr>
        <w:t>“</w:t>
      </w:r>
      <w:r>
        <w:rPr>
          <w:rFonts w:eastAsia="华文楷体"/>
          <w:color w:val="FF0000"/>
          <w:sz w:val="24"/>
        </w:rPr>
        <w:t>问题地图</w:t>
      </w:r>
      <w:r>
        <w:rPr>
          <w:rFonts w:hint="eastAsia" w:eastAsia="华文楷体"/>
          <w:color w:val="FF0000"/>
          <w:sz w:val="24"/>
        </w:rPr>
        <w:t>”</w:t>
      </w:r>
      <w:r>
        <w:rPr>
          <w:rFonts w:eastAsia="华文楷体"/>
          <w:color w:val="FF0000"/>
          <w:sz w:val="24"/>
        </w:rPr>
        <w:t>。</w:t>
      </w:r>
    </w:p>
    <w:p>
      <w:pPr>
        <w:pStyle w:val="Normal"/>
        <w:spacing w:lineRule="auto" w:line="360"/>
        <w:jc w:val="center"/>
        <w:rPr>
          <w:b/>
          <w:color w:val="FF0000"/>
          <w:sz w:val="22"/>
        </w:rPr>
      </w:pPr>
      <w:r>
        <w:rPr>
          <w:b/>
          <w:color w:val="FF0000"/>
          <w:sz w:val="22"/>
        </w:rPr>
      </w:r>
    </w:p>
    <w:p>
      <w:pPr>
        <w:pStyle w:val="Normal"/>
        <w:spacing w:lineRule="auto" w:line="360"/>
        <w:jc w:val="center"/>
        <w:rPr>
          <w:b/>
          <w:szCs w:val="21"/>
        </w:rPr>
      </w:pPr>
      <w:r>
        <w:rPr>
          <w:b/>
          <w:szCs w:val="21"/>
        </w:rPr>
        <w:t>表</w:t>
      </w:r>
      <w:r>
        <w:rPr>
          <w:b/>
          <w:szCs w:val="21"/>
        </w:rPr>
        <w:t xml:space="preserve">1 </w:t>
      </w:r>
      <w:r>
        <w:rPr>
          <w:b/>
          <w:i/>
          <w:szCs w:val="21"/>
        </w:rPr>
        <w:t>NtHMA4</w:t>
      </w:r>
      <w:r>
        <w:rPr>
          <w:b/>
          <w:szCs w:val="21"/>
        </w:rPr>
        <w:t>基因纯合突变材料叶片中的</w:t>
      </w:r>
      <w:r>
        <w:rPr>
          <w:b/>
          <w:szCs w:val="21"/>
        </w:rPr>
        <w:t>Cd</w:t>
      </w:r>
      <w:r>
        <w:rPr>
          <w:b/>
          <w:szCs w:val="21"/>
        </w:rPr>
        <w:t>含量</w:t>
      </w:r>
    </w:p>
    <w:p>
      <w:pPr>
        <w:pStyle w:val="Normal"/>
        <w:spacing w:lineRule="auto" w:line="360"/>
        <w:jc w:val="center"/>
        <w:rPr>
          <w:b/>
          <w:szCs w:val="21"/>
        </w:rPr>
      </w:pPr>
      <w:r>
        <w:rPr>
          <w:b/>
          <w:szCs w:val="21"/>
        </w:rPr>
        <w:t>Tab.</w:t>
      </w:r>
      <w:r>
        <w:rPr>
          <w:rFonts w:hint="eastAsia"/>
          <w:b/>
          <w:szCs w:val="21"/>
        </w:rPr>
        <w:t xml:space="preserve"> </w:t>
      </w:r>
      <w:r>
        <w:rPr>
          <w:b/>
          <w:szCs w:val="21"/>
        </w:rPr>
        <w:t xml:space="preserve">1 Content of Cd in leaves of homozygous mutant of </w:t>
      </w:r>
      <w:r>
        <w:rPr>
          <w:b/>
          <w:i/>
          <w:szCs w:val="21"/>
        </w:rPr>
        <w:t xml:space="preserve">NtHMA4 </w:t>
      </w:r>
      <w:r>
        <w:rPr>
          <w:b/>
          <w:szCs w:val="21"/>
        </w:rPr>
        <w:t>gene</w:t>
      </w:r>
    </w:p>
    <w:tbl>
      <w:tblPr>
        <w:tblW w:w="8522" w:type="dxa"/>
        <w:jc w:val="center"/>
        <w:tblInd w:w="0" w:type="dxa"/>
        <w:tblLayout w:type="fixed"/>
        <w:tblCellMar>
          <w:top w:w="0" w:type="dxa"/>
          <w:start w:w="108" w:type="dxa"/>
          <w:bottom w:w="0" w:type="dxa"/>
          <w:end w:w="108" w:type="dxa"/>
        </w:tblCellMar>
      </w:tblPr>
      <w:tblGrid>
        <w:gridCol w:w="2840"/>
        <w:gridCol w:w="2841"/>
        <w:gridCol w:w="2841"/>
      </w:tblGrid>
      <w:tr>
        <w:trPr>
          <w:trHeight w:val="369" w:hRule="atLeast"/>
        </w:trPr>
        <w:tc>
          <w:tcPr>
            <w:tcW w:w="2840" w:type="dxa"/>
            <w:tcBorders>
              <w:top w:val="single" w:sz="4" w:space="0" w:color="000000"/>
              <w:bottom w:val="single" w:sz="4" w:space="0" w:color="000000"/>
            </w:tcBorders>
          </w:tcPr>
          <w:p>
            <w:pPr>
              <w:pStyle w:val="Normal"/>
              <w:spacing w:lineRule="auto" w:line="360"/>
              <w:jc w:val="center"/>
              <w:rPr>
                <w:szCs w:val="21"/>
              </w:rPr>
            </w:pPr>
            <w:r>
              <w:rPr>
                <w:kern w:val="0"/>
                <w:szCs w:val="21"/>
              </w:rPr>
              <w:t>原始样品编号</w:t>
            </w:r>
          </w:p>
        </w:tc>
        <w:tc>
          <w:tcPr>
            <w:tcW w:w="2841" w:type="dxa"/>
            <w:tcBorders>
              <w:top w:val="single" w:sz="4" w:space="0" w:color="000000"/>
              <w:bottom w:val="single" w:sz="4" w:space="0" w:color="000000"/>
            </w:tcBorders>
          </w:tcPr>
          <w:p>
            <w:pPr>
              <w:pStyle w:val="Normal"/>
              <w:spacing w:lineRule="auto" w:line="360"/>
              <w:jc w:val="center"/>
              <w:rPr>
                <w:szCs w:val="21"/>
              </w:rPr>
            </w:pPr>
            <w:r>
              <w:rPr>
                <w:kern w:val="0"/>
                <w:szCs w:val="21"/>
              </w:rPr>
              <w:t>Cd</w:t>
            </w:r>
            <w:r>
              <w:rPr>
                <w:kern w:val="0"/>
                <w:szCs w:val="21"/>
              </w:rPr>
              <w:t>含量</w:t>
            </w:r>
            <w:r>
              <w:rPr>
                <w:kern w:val="0"/>
                <w:szCs w:val="21"/>
              </w:rPr>
              <w:t>/</w:t>
            </w:r>
            <w:r>
              <w:rPr>
                <w:rFonts w:hint="eastAsia"/>
                <w:kern w:val="0"/>
                <w:szCs w:val="21"/>
              </w:rPr>
              <w:t>（</w:t>
            </w:r>
            <w:r>
              <w:rPr>
                <w:kern w:val="0"/>
                <w:szCs w:val="21"/>
              </w:rPr>
              <w:t>mg</w:t>
            </w:r>
            <w:r>
              <w:rPr>
                <w:color w:val="333333"/>
                <w:szCs w:val="21"/>
              </w:rPr>
              <w:t>•</w:t>
            </w:r>
            <w:r>
              <w:rPr>
                <w:kern w:val="0"/>
                <w:szCs w:val="21"/>
              </w:rPr>
              <w:t>kg</w:t>
            </w:r>
            <w:r>
              <w:rPr>
                <w:szCs w:val="21"/>
                <w:vertAlign w:val="superscript"/>
              </w:rPr>
              <w:t>−</w:t>
            </w:r>
            <w:r>
              <w:rPr>
                <w:kern w:val="0"/>
                <w:szCs w:val="21"/>
                <w:vertAlign w:val="superscript"/>
              </w:rPr>
              <w:t>1</w:t>
            </w:r>
            <w:r>
              <w:rPr>
                <w:kern w:val="0"/>
                <w:szCs w:val="21"/>
              </w:rPr>
              <w:t xml:space="preserve"> DW</w:t>
            </w:r>
            <w:r>
              <w:rPr>
                <w:kern w:val="0"/>
                <w:szCs w:val="21"/>
              </w:rPr>
              <w:t>）</w:t>
            </w:r>
          </w:p>
        </w:tc>
        <w:tc>
          <w:tcPr>
            <w:tcW w:w="2841" w:type="dxa"/>
            <w:tcBorders>
              <w:top w:val="single" w:sz="4" w:space="0" w:color="000000"/>
              <w:bottom w:val="single" w:sz="4" w:space="0" w:color="000000"/>
            </w:tcBorders>
          </w:tcPr>
          <w:p>
            <w:pPr>
              <w:pStyle w:val="Normal"/>
              <w:spacing w:lineRule="auto" w:line="360"/>
              <w:jc w:val="center"/>
              <w:rPr>
                <w:szCs w:val="21"/>
              </w:rPr>
            </w:pPr>
            <w:r>
              <w:rPr>
                <w:kern w:val="0"/>
                <w:szCs w:val="21"/>
              </w:rPr>
              <w:t>变幅</w:t>
            </w:r>
            <w:r>
              <w:rPr>
                <w:kern w:val="0"/>
                <w:szCs w:val="21"/>
              </w:rPr>
              <w:t>/%</w:t>
            </w:r>
          </w:p>
        </w:tc>
      </w:tr>
      <w:tr>
        <w:trPr/>
        <w:tc>
          <w:tcPr>
            <w:tcW w:w="2840" w:type="dxa"/>
            <w:tcBorders>
              <w:top w:val="single" w:sz="4" w:space="0" w:color="000000"/>
            </w:tcBorders>
          </w:tcPr>
          <w:p>
            <w:pPr>
              <w:pStyle w:val="Normal"/>
              <w:spacing w:lineRule="auto" w:line="360"/>
              <w:jc w:val="center"/>
              <w:rPr>
                <w:szCs w:val="21"/>
              </w:rPr>
            </w:pPr>
            <w:r>
              <w:rPr>
                <w:szCs w:val="21"/>
              </w:rPr>
              <w:t>953</w:t>
            </w:r>
          </w:p>
        </w:tc>
        <w:tc>
          <w:tcPr>
            <w:tcW w:w="2841" w:type="dxa"/>
            <w:tcBorders>
              <w:top w:val="single" w:sz="4" w:space="0" w:color="000000"/>
            </w:tcBorders>
          </w:tcPr>
          <w:p>
            <w:pPr>
              <w:pStyle w:val="Normal"/>
              <w:spacing w:lineRule="auto" w:line="360"/>
              <w:jc w:val="center"/>
              <w:rPr>
                <w:szCs w:val="21"/>
              </w:rPr>
            </w:pPr>
            <w:r>
              <w:rPr>
                <w:szCs w:val="21"/>
              </w:rPr>
              <w:t>23.32</w:t>
            </w:r>
            <w:r>
              <w:rPr>
                <w:kern w:val="0"/>
                <w:szCs w:val="21"/>
              </w:rPr>
              <w:t>±</w:t>
            </w:r>
            <w:r>
              <w:rPr>
                <w:szCs w:val="21"/>
              </w:rPr>
              <w:t>0.33 a</w:t>
            </w:r>
          </w:p>
        </w:tc>
        <w:tc>
          <w:tcPr>
            <w:tcW w:w="2841" w:type="dxa"/>
            <w:tcBorders>
              <w:top w:val="single" w:sz="4" w:space="0" w:color="000000"/>
            </w:tcBorders>
          </w:tcPr>
          <w:p>
            <w:pPr>
              <w:pStyle w:val="Normal"/>
              <w:spacing w:lineRule="auto" w:line="360"/>
              <w:jc w:val="center"/>
              <w:rPr>
                <w:szCs w:val="21"/>
              </w:rPr>
            </w:pPr>
            <w:r>
              <w:rPr>
                <w:szCs w:val="21"/>
              </w:rPr>
              <w:t>−</w:t>
            </w:r>
            <w:r>
              <w:rPr>
                <w:szCs w:val="21"/>
              </w:rPr>
              <w:t>42.08</w:t>
            </w:r>
          </w:p>
        </w:tc>
      </w:tr>
      <w:tr>
        <w:trPr/>
        <w:tc>
          <w:tcPr>
            <w:tcW w:w="2840" w:type="dxa"/>
            <w:tcBorders/>
          </w:tcPr>
          <w:p>
            <w:pPr>
              <w:pStyle w:val="Normal"/>
              <w:spacing w:lineRule="auto" w:line="360"/>
              <w:jc w:val="center"/>
              <w:rPr>
                <w:szCs w:val="21"/>
              </w:rPr>
            </w:pPr>
            <w:r>
              <w:rPr>
                <w:szCs w:val="21"/>
              </w:rPr>
              <w:t>709</w:t>
            </w:r>
          </w:p>
        </w:tc>
        <w:tc>
          <w:tcPr>
            <w:tcW w:w="2841" w:type="dxa"/>
            <w:tcBorders/>
          </w:tcPr>
          <w:p>
            <w:pPr>
              <w:pStyle w:val="Normal"/>
              <w:spacing w:lineRule="auto" w:line="360"/>
              <w:jc w:val="center"/>
              <w:rPr>
                <w:szCs w:val="21"/>
              </w:rPr>
            </w:pPr>
            <w:r>
              <w:rPr>
                <w:szCs w:val="21"/>
              </w:rPr>
              <w:t>29.53</w:t>
            </w:r>
            <w:r>
              <w:rPr>
                <w:kern w:val="0"/>
                <w:szCs w:val="21"/>
              </w:rPr>
              <w:t>±</w:t>
            </w:r>
            <w:r>
              <w:rPr>
                <w:szCs w:val="21"/>
              </w:rPr>
              <w:t>4.53 b</w:t>
            </w:r>
          </w:p>
        </w:tc>
        <w:tc>
          <w:tcPr>
            <w:tcW w:w="2841" w:type="dxa"/>
            <w:tcBorders/>
          </w:tcPr>
          <w:p>
            <w:pPr>
              <w:pStyle w:val="Normal"/>
              <w:spacing w:lineRule="auto" w:line="360"/>
              <w:jc w:val="center"/>
              <w:rPr>
                <w:szCs w:val="21"/>
              </w:rPr>
            </w:pPr>
            <w:r>
              <w:rPr>
                <w:szCs w:val="21"/>
              </w:rPr>
              <w:t>−</w:t>
            </w:r>
            <w:r>
              <w:rPr>
                <w:szCs w:val="21"/>
              </w:rPr>
              <w:t>26.65</w:t>
            </w:r>
          </w:p>
        </w:tc>
      </w:tr>
      <w:tr>
        <w:trPr/>
        <w:tc>
          <w:tcPr>
            <w:tcW w:w="2840" w:type="dxa"/>
            <w:tcBorders/>
          </w:tcPr>
          <w:p>
            <w:pPr>
              <w:pStyle w:val="Normal"/>
              <w:spacing w:lineRule="auto" w:line="360"/>
              <w:jc w:val="center"/>
              <w:rPr>
                <w:szCs w:val="21"/>
              </w:rPr>
            </w:pPr>
            <w:r>
              <w:rPr>
                <w:szCs w:val="21"/>
              </w:rPr>
              <w:t>370</w:t>
            </w:r>
          </w:p>
        </w:tc>
        <w:tc>
          <w:tcPr>
            <w:tcW w:w="2841" w:type="dxa"/>
            <w:tcBorders/>
          </w:tcPr>
          <w:p>
            <w:pPr>
              <w:pStyle w:val="Normal"/>
              <w:spacing w:lineRule="auto" w:line="360"/>
              <w:jc w:val="center"/>
              <w:rPr>
                <w:szCs w:val="21"/>
              </w:rPr>
            </w:pPr>
            <w:r>
              <w:rPr>
                <w:szCs w:val="21"/>
              </w:rPr>
              <w:t>32.96</w:t>
            </w:r>
            <w:r>
              <w:rPr>
                <w:kern w:val="0"/>
                <w:szCs w:val="21"/>
              </w:rPr>
              <w:t>±</w:t>
            </w:r>
            <w:r>
              <w:rPr>
                <w:szCs w:val="21"/>
              </w:rPr>
              <w:t>1.49 bc</w:t>
            </w:r>
          </w:p>
        </w:tc>
        <w:tc>
          <w:tcPr>
            <w:tcW w:w="2841" w:type="dxa"/>
            <w:tcBorders/>
          </w:tcPr>
          <w:p>
            <w:pPr>
              <w:pStyle w:val="Normal"/>
              <w:spacing w:lineRule="auto" w:line="360"/>
              <w:jc w:val="center"/>
              <w:rPr>
                <w:szCs w:val="21"/>
              </w:rPr>
            </w:pPr>
            <w:r>
              <w:rPr>
                <w:szCs w:val="21"/>
              </w:rPr>
              <w:t>−</w:t>
            </w:r>
            <w:r>
              <w:rPr>
                <w:szCs w:val="21"/>
              </w:rPr>
              <w:t>18.13</w:t>
            </w:r>
          </w:p>
        </w:tc>
      </w:tr>
      <w:tr>
        <w:trPr/>
        <w:tc>
          <w:tcPr>
            <w:tcW w:w="2840" w:type="dxa"/>
            <w:tcBorders>
              <w:bottom w:val="single" w:sz="4" w:space="0" w:color="000000"/>
            </w:tcBorders>
          </w:tcPr>
          <w:p>
            <w:pPr>
              <w:pStyle w:val="Normal"/>
              <w:spacing w:lineRule="auto" w:line="360"/>
              <w:jc w:val="center"/>
              <w:rPr>
                <w:szCs w:val="21"/>
              </w:rPr>
            </w:pPr>
            <w:r>
              <w:rPr>
                <w:szCs w:val="21"/>
              </w:rPr>
              <w:t>贵烟</w:t>
            </w:r>
            <w:r>
              <w:rPr>
                <w:szCs w:val="21"/>
              </w:rPr>
              <w:t>1</w:t>
            </w:r>
            <w:r>
              <w:rPr>
                <w:szCs w:val="21"/>
              </w:rPr>
              <w:t>号</w:t>
            </w:r>
            <w:r>
              <w:rPr>
                <w:szCs w:val="21"/>
              </w:rPr>
              <w:t>CK</w:t>
            </w:r>
          </w:p>
        </w:tc>
        <w:tc>
          <w:tcPr>
            <w:tcW w:w="2841" w:type="dxa"/>
            <w:tcBorders>
              <w:bottom w:val="single" w:sz="4" w:space="0" w:color="000000"/>
            </w:tcBorders>
          </w:tcPr>
          <w:p>
            <w:pPr>
              <w:pStyle w:val="Normal"/>
              <w:spacing w:lineRule="auto" w:line="360"/>
              <w:jc w:val="center"/>
              <w:rPr>
                <w:szCs w:val="21"/>
              </w:rPr>
            </w:pPr>
            <w:r>
              <w:rPr>
                <w:szCs w:val="21"/>
              </w:rPr>
              <w:t>40.26</w:t>
            </w:r>
            <w:r>
              <w:rPr>
                <w:kern w:val="0"/>
                <w:szCs w:val="21"/>
              </w:rPr>
              <w:t>±</w:t>
            </w:r>
            <w:r>
              <w:rPr>
                <w:szCs w:val="21"/>
              </w:rPr>
              <w:t>4.18 d</w:t>
            </w:r>
          </w:p>
        </w:tc>
        <w:tc>
          <w:tcPr>
            <w:tcW w:w="2841" w:type="dxa"/>
            <w:tcBorders>
              <w:bottom w:val="single" w:sz="4" w:space="0" w:color="000000"/>
            </w:tcBorders>
          </w:tcPr>
          <w:p>
            <w:pPr>
              <w:pStyle w:val="Normal"/>
              <w:snapToGrid w:val="false"/>
              <w:spacing w:lineRule="auto" w:line="360"/>
              <w:jc w:val="center"/>
              <w:rPr>
                <w:szCs w:val="21"/>
              </w:rPr>
            </w:pPr>
            <w:r>
              <w:rPr>
                <w:szCs w:val="21"/>
              </w:rPr>
            </w:r>
          </w:p>
        </w:tc>
      </w:tr>
    </w:tbl>
    <w:p>
      <w:pPr>
        <w:pStyle w:val="Normal"/>
        <w:spacing w:lineRule="auto" w:line="276"/>
        <w:ind w:firstLineChars="200" w:startChars="0" w:start="0" w:endChars="0" w:end="0"/>
        <w:rPr>
          <w:color w:val="000000"/>
          <w:sz w:val="18"/>
          <w:szCs w:val="18"/>
        </w:rPr>
      </w:pPr>
      <w:r>
        <w:rPr>
          <w:sz w:val="18"/>
          <w:szCs w:val="18"/>
        </w:rPr>
        <w:t>注：平均值多重比较采用</w:t>
      </w:r>
      <w:r>
        <w:rPr>
          <w:sz w:val="18"/>
          <w:szCs w:val="18"/>
        </w:rPr>
        <w:t>One-way ANOVA Duncan</w:t>
      </w:r>
      <w:r>
        <w:rPr>
          <w:sz w:val="18"/>
          <w:szCs w:val="18"/>
        </w:rPr>
        <w:t>法，</w:t>
      </w:r>
      <w:r>
        <w:rPr>
          <w:color w:val="000000"/>
          <w:sz w:val="18"/>
          <w:szCs w:val="18"/>
        </w:rPr>
        <w:t>数据后未标有相同的小写字母表示处理间差异有统计学意义（</w:t>
      </w:r>
      <w:r>
        <w:rPr>
          <w:i/>
          <w:color w:val="000000"/>
          <w:sz w:val="18"/>
          <w:szCs w:val="18"/>
        </w:rPr>
        <w:t>P</w:t>
      </w:r>
      <w:r>
        <w:rPr>
          <w:color w:val="000000"/>
          <w:sz w:val="18"/>
          <w:szCs w:val="18"/>
        </w:rPr>
        <w:t>&lt;0.05</w:t>
      </w:r>
      <w:r>
        <w:rPr>
          <w:color w:val="000000"/>
          <w:sz w:val="18"/>
          <w:szCs w:val="18"/>
        </w:rPr>
        <w:t>）。</w:t>
      </w:r>
    </w:p>
    <w:p>
      <w:pPr>
        <w:pStyle w:val="Normal"/>
        <w:spacing w:lineRule="auto" w:line="276"/>
        <w:ind w:firstLineChars="200" w:startChars="0" w:start="0" w:endChars="0" w:end="0"/>
        <w:rPr>
          <w:b/>
          <w:bCs/>
          <w:kern w:val="0"/>
          <w:sz w:val="18"/>
          <w:szCs w:val="18"/>
        </w:rPr>
      </w:pPr>
      <w:r>
        <w:rPr>
          <w:color w:val="000000"/>
          <w:sz w:val="18"/>
          <w:szCs w:val="18"/>
        </w:rPr>
        <w:t>Note: Data represent means</w:t>
      </w:r>
      <w:r>
        <w:rPr>
          <w:kern w:val="0"/>
          <w:sz w:val="18"/>
          <w:szCs w:val="18"/>
        </w:rPr>
        <w:t>±</w:t>
      </w:r>
      <w:r>
        <w:rPr>
          <w:color w:val="000000"/>
          <w:sz w:val="18"/>
          <w:szCs w:val="18"/>
        </w:rPr>
        <w:t>s.d.</w:t>
      </w:r>
      <w:r>
        <w:rPr>
          <w:rFonts w:hint="eastAsia"/>
          <w:color w:val="000000"/>
          <w:sz w:val="18"/>
          <w:szCs w:val="18"/>
        </w:rPr>
        <w:t xml:space="preserve"> (n=3) </w:t>
      </w:r>
      <w:r>
        <w:rPr>
          <w:color w:val="000000"/>
          <w:sz w:val="18"/>
          <w:szCs w:val="18"/>
        </w:rPr>
        <w:t xml:space="preserve">and multiple comparison was performed using One-way ANOVA Duncan method. Different letters indicate significant difference at </w:t>
      </w:r>
      <w:r>
        <w:rPr>
          <w:i/>
          <w:iCs/>
          <w:color w:val="000000"/>
          <w:sz w:val="18"/>
          <w:szCs w:val="18"/>
        </w:rPr>
        <w:t>P</w:t>
      </w:r>
      <w:r>
        <w:rPr>
          <w:color w:val="000000"/>
          <w:sz w:val="18"/>
          <w:szCs w:val="18"/>
        </w:rPr>
        <w:t>&lt;0.05.</w:t>
      </w:r>
    </w:p>
    <w:p>
      <w:pPr>
        <w:pStyle w:val="Normal"/>
        <w:numPr>
          <w:ilvl w:val="0"/>
          <w:numId w:val="8"/>
        </w:numPr>
        <w:snapToGrid w:val="false"/>
        <w:ind w:firstLineChars="0" w:firstLine="0" w:startChars="-1" w:endChars="0" w:end="0"/>
        <w:rPr>
          <w:color w:val="FF0000"/>
          <w:sz w:val="24"/>
        </w:rPr>
      </w:pPr>
      <w:r>
        <w:rPr>
          <w:rFonts w:eastAsia="华文楷体"/>
          <w:color w:val="FF0000"/>
          <w:sz w:val="24"/>
        </w:rPr>
        <w:t>表格一般为三线表，可增加虚线以避免歧义。</w:t>
      </w:r>
      <w:r>
        <w:rPr>
          <w:rFonts w:hint="eastAsia" w:eastAsia="华文楷体"/>
          <w:color w:val="FF0000"/>
          <w:sz w:val="24"/>
        </w:rPr>
        <w:t>英文表名仅首字母大写。表格首行可不必给出行名的英文翻译。</w:t>
      </w:r>
    </w:p>
    <w:p>
      <w:pPr>
        <w:pStyle w:val="Normal"/>
        <w:numPr>
          <w:ilvl w:val="0"/>
          <w:numId w:val="8"/>
        </w:numPr>
        <w:snapToGrid w:val="false"/>
        <w:ind w:firstLineChars="0" w:firstLine="0" w:startChars="-1" w:endChars="0" w:end="0"/>
        <w:rPr>
          <w:color w:val="FF0000"/>
          <w:sz w:val="24"/>
        </w:rPr>
      </w:pPr>
      <w:r>
        <w:rPr>
          <w:rFonts w:eastAsia="华文楷体"/>
          <w:color w:val="FF0000"/>
          <w:sz w:val="24"/>
        </w:rPr>
        <w:t>表格的注释列于表格下方。中英文可放在一起。</w:t>
      </w:r>
    </w:p>
    <w:p>
      <w:pPr>
        <w:pStyle w:val="Normal"/>
        <w:numPr>
          <w:ilvl w:val="0"/>
          <w:numId w:val="6"/>
        </w:numPr>
        <w:spacing w:lineRule="auto" w:line="360"/>
        <w:ind w:hanging="0" w:start="0" w:end="0"/>
        <w:rPr>
          <w:b/>
          <w:kern w:val="0"/>
          <w:sz w:val="28"/>
        </w:rPr>
      </w:pPr>
      <w:r>
        <w:rPr>
          <w:rFonts w:hint="eastAsia"/>
          <w:b/>
          <w:kern w:val="0"/>
          <w:sz w:val="28"/>
        </w:rPr>
        <w:t xml:space="preserve"> </w:t>
      </w:r>
      <w:r>
        <w:rPr>
          <w:b/>
          <w:kern w:val="0"/>
          <w:sz w:val="28"/>
        </w:rPr>
        <w:t>讨论</w:t>
      </w:r>
    </w:p>
    <w:p>
      <w:pPr>
        <w:pStyle w:val="Normal"/>
        <w:tabs>
          <w:tab w:val="clear" w:pos="420"/>
          <w:tab w:val="left" w:pos="9781" w:leader="none"/>
          <w:tab w:val="left" w:pos="9923" w:leader="none"/>
        </w:tabs>
        <w:spacing w:lineRule="auto" w:line="360"/>
        <w:ind w:firstLineChars="200" w:startChars="0" w:start="0" w:endChars="0" w:end="0"/>
        <w:rPr>
          <w:sz w:val="28"/>
          <w:szCs w:val="28"/>
        </w:rPr>
      </w:pPr>
      <w:r>
        <w:rPr>
          <w:sz w:val="28"/>
          <w:szCs w:val="28"/>
        </w:rPr>
        <w:t>讨论是对研究结果进行全面、细致、深入地分析、解释和阐述的过程。讨论具有探索性，在某些情况下含有推测或呈现不同见解的不确定成分。讨论宜包括以下内容：</w:t>
      </w:r>
    </w:p>
    <w:p>
      <w:pPr>
        <w:pStyle w:val="Normal"/>
        <w:tabs>
          <w:tab w:val="clear" w:pos="420"/>
          <w:tab w:val="left" w:pos="9781" w:leader="none"/>
          <w:tab w:val="left" w:pos="9923" w:leader="none"/>
        </w:tabs>
        <w:spacing w:lineRule="auto" w:line="360"/>
        <w:ind w:firstLineChars="200" w:startChars="0" w:start="0" w:endChars="0" w:end="0"/>
        <w:rPr>
          <w:kern w:val="0"/>
          <w:sz w:val="28"/>
          <w:szCs w:val="28"/>
          <w:lang w:val="zh-CN" w:eastAsia="zh-CN"/>
        </w:rPr>
      </w:pPr>
      <w:r>
        <w:rPr>
          <w:kern w:val="0"/>
          <w:sz w:val="28"/>
          <w:szCs w:val="28"/>
          <w:lang w:val="zh-CN" w:eastAsia="zh-CN"/>
        </w:rPr>
        <w:t>——</w:t>
      </w:r>
      <w:r>
        <w:rPr>
          <w:sz w:val="28"/>
          <w:szCs w:val="28"/>
        </w:rPr>
        <w:t>解释和分析结果的内在原因和机制，探讨研究对象的本质和规律；</w:t>
      </w:r>
    </w:p>
    <w:p>
      <w:pPr>
        <w:pStyle w:val="Normal"/>
        <w:tabs>
          <w:tab w:val="clear" w:pos="420"/>
          <w:tab w:val="left" w:pos="9781" w:leader="none"/>
          <w:tab w:val="left" w:pos="9923" w:leader="none"/>
        </w:tabs>
        <w:spacing w:lineRule="auto" w:line="360"/>
        <w:ind w:firstLineChars="200" w:startChars="0" w:start="0" w:endChars="0" w:end="0"/>
        <w:rPr>
          <w:kern w:val="0"/>
          <w:sz w:val="28"/>
          <w:szCs w:val="28"/>
          <w:lang w:val="zh-CN" w:eastAsia="zh-CN"/>
        </w:rPr>
      </w:pPr>
      <w:r>
        <w:rPr>
          <w:kern w:val="0"/>
          <w:sz w:val="28"/>
          <w:szCs w:val="28"/>
          <w:lang w:val="zh-CN" w:eastAsia="zh-CN"/>
        </w:rPr>
        <w:t>——</w:t>
      </w:r>
      <w:r>
        <w:rPr>
          <w:kern w:val="0"/>
          <w:sz w:val="28"/>
          <w:szCs w:val="28"/>
          <w:lang w:val="zh-CN" w:eastAsia="zh-CN"/>
        </w:rPr>
        <w:t>将本研究结果与理论结果、前人研究成果、预设的研究目的或假设进行比较，分析异同，说明理由，突出本研究的创新性；</w:t>
      </w:r>
    </w:p>
    <w:p>
      <w:pPr>
        <w:pStyle w:val="Normal"/>
        <w:tabs>
          <w:tab w:val="clear" w:pos="420"/>
          <w:tab w:val="left" w:pos="9781" w:leader="none"/>
          <w:tab w:val="left" w:pos="9923" w:leader="none"/>
        </w:tabs>
        <w:spacing w:lineRule="auto" w:line="360"/>
        <w:ind w:firstLineChars="200" w:startChars="0" w:start="0" w:endChars="0" w:end="0"/>
        <w:rPr>
          <w:kern w:val="0"/>
          <w:sz w:val="28"/>
          <w:szCs w:val="28"/>
          <w:lang w:val="zh-CN" w:eastAsia="zh-CN"/>
        </w:rPr>
      </w:pPr>
      <w:r>
        <w:rPr>
          <w:kern w:val="0"/>
          <w:sz w:val="28"/>
          <w:szCs w:val="28"/>
          <w:lang w:val="zh-CN" w:eastAsia="zh-CN"/>
        </w:rPr>
        <w:t>——</w:t>
      </w:r>
      <w:r>
        <w:rPr>
          <w:kern w:val="0"/>
          <w:sz w:val="28"/>
          <w:szCs w:val="28"/>
          <w:lang w:val="zh-CN" w:eastAsia="zh-CN"/>
        </w:rPr>
        <w:t>联系实际说明研究结果的学术意义及直接或潜在的应用价值；</w:t>
      </w:r>
    </w:p>
    <w:p>
      <w:pPr>
        <w:pStyle w:val="Normal"/>
        <w:tabs>
          <w:tab w:val="clear" w:pos="420"/>
          <w:tab w:val="left" w:pos="9781" w:leader="none"/>
          <w:tab w:val="left" w:pos="9923" w:leader="none"/>
        </w:tabs>
        <w:spacing w:lineRule="auto" w:line="360"/>
        <w:ind w:firstLineChars="200" w:startChars="0" w:start="0" w:endChars="0" w:end="0"/>
        <w:rPr>
          <w:kern w:val="0"/>
          <w:sz w:val="28"/>
          <w:szCs w:val="28"/>
        </w:rPr>
      </w:pPr>
      <w:r>
        <w:rPr>
          <w:kern w:val="0"/>
          <w:sz w:val="28"/>
          <w:szCs w:val="28"/>
          <w:lang w:val="zh-CN" w:eastAsia="zh-CN"/>
        </w:rPr>
        <w:t>——</w:t>
      </w:r>
      <w:r>
        <w:rPr>
          <w:kern w:val="0"/>
          <w:sz w:val="28"/>
          <w:szCs w:val="28"/>
          <w:lang w:val="zh-CN" w:eastAsia="zh-CN"/>
        </w:rPr>
        <w:t>对意外的发现或现象以及尚未定论的观点提出猜测，或指出研究的局限性。</w:t>
      </w:r>
    </w:p>
    <w:p>
      <w:pPr>
        <w:pStyle w:val="Normal"/>
        <w:spacing w:lineRule="auto" w:line="360"/>
        <w:ind w:firstLineChars="200" w:startChars="0" w:start="0" w:endChars="0" w:end="0"/>
        <w:rPr>
          <w:kern w:val="0"/>
          <w:sz w:val="28"/>
          <w:szCs w:val="28"/>
        </w:rPr>
      </w:pPr>
      <w:r>
        <w:rPr>
          <w:kern w:val="0"/>
          <w:sz w:val="28"/>
          <w:szCs w:val="28"/>
        </w:rPr>
        <w:t xml:space="preserve">讨论是试验研究类论文正文的必要要素，最能体现水平和理解的深度。通常是引文之外，引用文献最多的部分。 </w:t>
      </w:r>
    </w:p>
    <w:p>
      <w:pPr>
        <w:pStyle w:val="Normal"/>
        <w:numPr>
          <w:ilvl w:val="0"/>
          <w:numId w:val="6"/>
        </w:numPr>
        <w:spacing w:lineRule="auto" w:line="360"/>
        <w:ind w:hanging="0" w:start="0" w:end="0"/>
        <w:rPr>
          <w:b/>
          <w:kern w:val="0"/>
          <w:sz w:val="28"/>
        </w:rPr>
      </w:pPr>
      <w:r>
        <w:rPr>
          <w:rFonts w:hint="eastAsia"/>
          <w:b/>
          <w:kern w:val="0"/>
          <w:sz w:val="28"/>
        </w:rPr>
        <w:t xml:space="preserve"> </w:t>
      </w:r>
      <w:r>
        <w:rPr>
          <w:b/>
          <w:kern w:val="0"/>
          <w:sz w:val="28"/>
        </w:rPr>
        <w:t>结论</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结论是对包括讨论在内的整个研究工作的最后总结，应准确、完整、明确、精炼，强调最终判断的客观性和概括性。结论宜包括下述内容：</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w:t>
      </w:r>
      <w:r>
        <w:rPr>
          <w:kern w:val="0"/>
          <w:sz w:val="28"/>
          <w:szCs w:val="21"/>
          <w:lang w:val="zh-CN" w:eastAsia="zh-CN"/>
        </w:rPr>
        <w:t>归纳、总结出研究的新发现和新观点；</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w:t>
      </w:r>
      <w:r>
        <w:rPr>
          <w:kern w:val="0"/>
          <w:sz w:val="28"/>
          <w:szCs w:val="21"/>
          <w:lang w:val="zh-CN" w:eastAsia="zh-CN"/>
        </w:rPr>
        <w:t>对研究对象本质和规律性的认识进行科学抽象和高度概括；</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w:t>
      </w:r>
      <w:r>
        <w:rPr>
          <w:kern w:val="0"/>
          <w:sz w:val="28"/>
          <w:szCs w:val="21"/>
          <w:lang w:val="zh-CN" w:eastAsia="zh-CN"/>
        </w:rPr>
        <w:t>判断本项研究的理论意义和应用价值；</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w:t>
      </w:r>
      <w:r>
        <w:rPr>
          <w:kern w:val="0"/>
          <w:sz w:val="28"/>
          <w:szCs w:val="21"/>
          <w:lang w:val="zh-CN" w:eastAsia="zh-CN"/>
        </w:rPr>
        <w:t>指出进一步的研究方向。</w:t>
      </w:r>
    </w:p>
    <w:p>
      <w:pPr>
        <w:pStyle w:val="Normal"/>
        <w:spacing w:lineRule="auto" w:line="360"/>
        <w:ind w:firstLineChars="200" w:startChars="0" w:start="0" w:endChars="0" w:end="0"/>
        <w:rPr>
          <w:kern w:val="0"/>
          <w:sz w:val="28"/>
          <w:szCs w:val="21"/>
          <w:lang w:val="zh-CN" w:eastAsia="zh-CN"/>
        </w:rPr>
      </w:pPr>
      <w:r>
        <w:rPr>
          <w:kern w:val="0"/>
          <w:sz w:val="28"/>
          <w:szCs w:val="21"/>
          <w:lang w:val="zh-CN" w:eastAsia="zh-CN"/>
        </w:rPr>
        <w:t>结论或结语应与引言相呼应。</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结论宜采用</w:t>
      </w:r>
      <w:r>
        <w:rPr>
          <w:rFonts w:hint="eastAsia"/>
          <w:kern w:val="0"/>
          <w:sz w:val="28"/>
          <w:szCs w:val="21"/>
          <w:lang w:val="zh-CN" w:eastAsia="zh-CN"/>
        </w:rPr>
        <w:t>（</w:t>
      </w:r>
      <w:r>
        <w:rPr>
          <w:kern w:val="0"/>
          <w:sz w:val="28"/>
          <w:szCs w:val="21"/>
        </w:rPr>
        <w:t>1</w:t>
      </w:r>
      <w:r>
        <w:rPr>
          <w:rFonts w:hint="eastAsia"/>
          <w:kern w:val="0"/>
          <w:sz w:val="28"/>
          <w:szCs w:val="21"/>
          <w:lang w:val="zh-CN" w:eastAsia="zh-CN"/>
        </w:rPr>
        <w:t>）</w:t>
      </w:r>
      <w:r>
        <w:rPr>
          <w:kern w:val="0"/>
          <w:sz w:val="28"/>
          <w:szCs w:val="21"/>
          <w:lang w:val="zh-CN" w:eastAsia="zh-CN"/>
        </w:rPr>
        <w:t>，</w:t>
      </w:r>
      <w:r>
        <w:rPr>
          <w:rFonts w:hint="eastAsia"/>
          <w:kern w:val="0"/>
          <w:sz w:val="28"/>
          <w:szCs w:val="21"/>
          <w:lang w:val="zh-CN" w:eastAsia="zh-CN"/>
        </w:rPr>
        <w:t>（</w:t>
      </w:r>
      <w:r>
        <w:rPr>
          <w:kern w:val="0"/>
          <w:sz w:val="28"/>
          <w:szCs w:val="21"/>
        </w:rPr>
        <w:t>2</w:t>
      </w:r>
      <w:r>
        <w:rPr>
          <w:rFonts w:hint="eastAsia"/>
          <w:kern w:val="0"/>
          <w:sz w:val="28"/>
          <w:szCs w:val="21"/>
          <w:lang w:val="zh-CN" w:eastAsia="zh-CN"/>
        </w:rPr>
        <w:t>）</w:t>
      </w:r>
      <w:r>
        <w:rPr>
          <w:kern w:val="0"/>
          <w:sz w:val="28"/>
          <w:szCs w:val="21"/>
          <w:lang w:val="zh-CN" w:eastAsia="zh-CN"/>
        </w:rPr>
        <w:t>，</w:t>
      </w:r>
      <w:r>
        <w:rPr>
          <w:rFonts w:hint="eastAsia"/>
          <w:kern w:val="0"/>
          <w:sz w:val="28"/>
          <w:szCs w:val="21"/>
          <w:lang w:val="zh-CN" w:eastAsia="zh-CN"/>
        </w:rPr>
        <w:t>（</w:t>
      </w:r>
      <w:r>
        <w:rPr>
          <w:kern w:val="0"/>
          <w:sz w:val="28"/>
          <w:szCs w:val="21"/>
        </w:rPr>
        <w:t>3</w:t>
      </w:r>
      <w:r>
        <w:rPr>
          <w:rFonts w:hint="eastAsia"/>
          <w:kern w:val="0"/>
          <w:sz w:val="28"/>
          <w:szCs w:val="21"/>
          <w:lang w:val="zh-CN" w:eastAsia="zh-CN"/>
        </w:rPr>
        <w:t>）</w:t>
      </w:r>
      <w:r>
        <w:rPr>
          <w:kern w:val="0"/>
          <w:sz w:val="28"/>
          <w:szCs w:val="21"/>
          <w:lang w:val="zh-CN" w:eastAsia="zh-CN"/>
        </w:rPr>
        <w:t>……的形式列项说明。</w:t>
      </w:r>
    </w:p>
    <w:p>
      <w:pPr>
        <w:pStyle w:val="Normal"/>
        <w:tabs>
          <w:tab w:val="clear" w:pos="420"/>
          <w:tab w:val="left" w:pos="9781" w:leader="none"/>
          <w:tab w:val="left" w:pos="9923" w:leader="none"/>
        </w:tabs>
        <w:spacing w:lineRule="auto" w:line="360"/>
        <w:ind w:firstLineChars="200" w:startChars="0" w:start="0" w:endChars="0" w:end="0"/>
        <w:rPr>
          <w:kern w:val="0"/>
          <w:sz w:val="28"/>
          <w:szCs w:val="21"/>
          <w:lang w:val="zh-CN" w:eastAsia="zh-CN"/>
        </w:rPr>
      </w:pPr>
      <w:r>
        <w:rPr>
          <w:kern w:val="0"/>
          <w:sz w:val="28"/>
          <w:szCs w:val="21"/>
          <w:lang w:val="zh-CN" w:eastAsia="zh-CN"/>
        </w:rPr>
        <w:t>如果文章推导不出结论，则应在讨论中提出建议或待研究解决的问题等。</w:t>
      </w:r>
    </w:p>
    <w:p>
      <w:pPr>
        <w:pStyle w:val="Pa0"/>
        <w:jc w:val="both"/>
        <w:rPr>
          <w:rFonts w:ascii="Times New Roman" w:hAnsi="Times New Roman"/>
          <w:kern w:val="0"/>
          <w:sz w:val="28"/>
          <w:szCs w:val="20"/>
          <w:lang w:val="zh-CN" w:eastAsia="zh-CN"/>
        </w:rPr>
      </w:pPr>
      <w:r>
        <w:rPr>
          <w:rFonts w:ascii="Times New Roman" w:hAnsi="Times New Roman"/>
          <w:kern w:val="0"/>
          <w:sz w:val="28"/>
          <w:szCs w:val="20"/>
          <w:lang w:val="zh-CN" w:eastAsia="zh-CN"/>
        </w:rPr>
      </w:r>
      <w:r>
        <w:br w:type="page"/>
      </w:r>
    </w:p>
    <w:p>
      <w:pPr>
        <w:pStyle w:val="Reference"/>
        <w:spacing w:lineRule="auto" w:line="360"/>
        <w:rPr>
          <w:rFonts w:eastAsia="宋体;SimSun"/>
          <w:sz w:val="28"/>
          <w:szCs w:val="24"/>
        </w:rPr>
      </w:pPr>
      <w:r>
        <w:rPr>
          <w:rFonts w:eastAsia="宋体;SimSun"/>
          <w:sz w:val="28"/>
          <w:szCs w:val="24"/>
        </w:rPr>
        <w:t>参考文献</w:t>
      </w:r>
    </w:p>
    <w:p>
      <w:pPr>
        <w:pStyle w:val="Normal"/>
        <w:numPr>
          <w:ilvl w:val="0"/>
          <w:numId w:val="8"/>
        </w:numPr>
        <w:snapToGrid w:val="false"/>
        <w:spacing w:lineRule="auto" w:line="360"/>
        <w:ind w:firstLineChars="0" w:firstLine="0" w:startChars="-1" w:endChars="0" w:end="0"/>
        <w:rPr>
          <w:rFonts w:eastAsia="华文楷体"/>
          <w:color w:val="FF0000"/>
          <w:sz w:val="24"/>
        </w:rPr>
      </w:pPr>
      <w:r>
        <w:rPr>
          <w:rFonts w:eastAsia="华文楷体"/>
          <w:color w:val="FF0000"/>
          <w:sz w:val="24"/>
        </w:rPr>
        <w:t>参考文献著录应遵守</w:t>
      </w:r>
      <w:r>
        <w:rPr>
          <w:rFonts w:eastAsia="华文楷体"/>
          <w:color w:val="FF0000"/>
          <w:sz w:val="24"/>
        </w:rPr>
        <w:t>GB 7714—2015</w:t>
      </w:r>
      <w:r>
        <w:rPr>
          <w:rFonts w:eastAsia="华文楷体"/>
          <w:color w:val="FF0000"/>
          <w:sz w:val="24"/>
        </w:rPr>
        <w:t>的规定，本刊著录格式采用顺序编码制。</w:t>
      </w:r>
    </w:p>
    <w:p>
      <w:pPr>
        <w:pStyle w:val="Normal"/>
        <w:numPr>
          <w:ilvl w:val="0"/>
          <w:numId w:val="8"/>
        </w:numPr>
        <w:snapToGrid w:val="false"/>
        <w:spacing w:lineRule="auto" w:line="360"/>
        <w:ind w:firstLineChars="0" w:firstLine="0" w:startChars="-1" w:endChars="0" w:end="0"/>
        <w:rPr>
          <w:rFonts w:eastAsia="华文楷体"/>
          <w:color w:val="FF0000"/>
          <w:sz w:val="24"/>
        </w:rPr>
      </w:pPr>
      <w:r>
        <w:rPr>
          <w:rFonts w:eastAsia="华文楷体"/>
          <w:color w:val="FF0000"/>
          <w:sz w:val="24"/>
        </w:rPr>
        <w:t>未公开发表的资料不能作为参考文献。</w:t>
      </w:r>
    </w:p>
    <w:p>
      <w:pPr>
        <w:pStyle w:val="Normal"/>
        <w:numPr>
          <w:ilvl w:val="0"/>
          <w:numId w:val="8"/>
        </w:numPr>
        <w:snapToGrid w:val="false"/>
        <w:spacing w:lineRule="auto" w:line="360"/>
        <w:ind w:firstLineChars="0" w:firstLine="0" w:startChars="-1" w:endChars="0" w:end="0"/>
        <w:rPr>
          <w:rFonts w:eastAsia="华文楷体"/>
          <w:color w:val="FF0000"/>
          <w:sz w:val="24"/>
        </w:rPr>
      </w:pPr>
      <w:r>
        <w:rPr>
          <w:rFonts w:eastAsia="华文楷体"/>
          <w:color w:val="FF0000"/>
          <w:sz w:val="24"/>
        </w:rPr>
        <w:t>文献作者最多只列出</w:t>
      </w:r>
      <w:r>
        <w:rPr>
          <w:rFonts w:eastAsia="华文楷体"/>
          <w:color w:val="FF0000"/>
          <w:sz w:val="24"/>
        </w:rPr>
        <w:t>3</w:t>
      </w:r>
      <w:r>
        <w:rPr>
          <w:rFonts w:eastAsia="华文楷体"/>
          <w:color w:val="FF0000"/>
          <w:sz w:val="24"/>
        </w:rPr>
        <w:t>人，英文后接</w:t>
      </w:r>
      <w:r>
        <w:rPr>
          <w:rFonts w:hint="eastAsia" w:eastAsia="华文楷体"/>
          <w:color w:val="FF0000"/>
          <w:sz w:val="24"/>
        </w:rPr>
        <w:t>“</w:t>
      </w:r>
      <w:r>
        <w:rPr>
          <w:rFonts w:eastAsia="华文楷体"/>
          <w:color w:val="FF0000"/>
          <w:sz w:val="24"/>
        </w:rPr>
        <w:t>et al</w:t>
      </w:r>
      <w:r>
        <w:rPr>
          <w:rFonts w:eastAsia="华文楷体" w:hint="eastAsia"/>
          <w:color w:val="FF0000"/>
          <w:sz w:val="24"/>
        </w:rPr>
        <w:t>”</w:t>
      </w:r>
      <w:r>
        <w:rPr>
          <w:rFonts w:eastAsia="华文楷体"/>
          <w:color w:val="FF0000"/>
          <w:sz w:val="24"/>
        </w:rPr>
        <w:t>，中文后接</w:t>
      </w:r>
      <w:r>
        <w:rPr>
          <w:rFonts w:hint="eastAsia" w:eastAsia="华文楷体"/>
          <w:color w:val="FF0000"/>
          <w:sz w:val="24"/>
        </w:rPr>
        <w:t>“</w:t>
      </w:r>
      <w:r>
        <w:rPr>
          <w:rFonts w:eastAsia="华文楷体"/>
          <w:color w:val="FF0000"/>
          <w:sz w:val="24"/>
        </w:rPr>
        <w:t>等</w:t>
      </w:r>
      <w:r>
        <w:rPr>
          <w:rFonts w:hint="eastAsia" w:eastAsia="华文楷体"/>
          <w:color w:val="FF0000"/>
          <w:sz w:val="24"/>
        </w:rPr>
        <w:t>”</w:t>
      </w:r>
      <w:r>
        <w:rPr>
          <w:rFonts w:eastAsia="华文楷体"/>
          <w:color w:val="FF0000"/>
          <w:sz w:val="24"/>
        </w:rPr>
        <w:t>。</w:t>
      </w:r>
    </w:p>
    <w:p>
      <w:pPr>
        <w:pStyle w:val="Normal"/>
        <w:numPr>
          <w:ilvl w:val="0"/>
          <w:numId w:val="8"/>
        </w:numPr>
        <w:snapToGrid w:val="false"/>
        <w:spacing w:lineRule="auto" w:line="360"/>
        <w:ind w:firstLineChars="0" w:firstLine="0" w:startChars="-1" w:endChars="0" w:end="0"/>
        <w:rPr>
          <w:rFonts w:eastAsia="华文楷体"/>
          <w:color w:val="FF0000"/>
          <w:sz w:val="24"/>
        </w:rPr>
      </w:pPr>
      <w:r>
        <w:rPr>
          <w:rFonts w:eastAsia="华文楷体"/>
          <w:color w:val="FF0000"/>
          <w:sz w:val="24"/>
        </w:rPr>
        <w:t>中文参考文献应按上述格式以中英文对照的形式呈现。</w:t>
      </w:r>
    </w:p>
    <w:p>
      <w:pPr>
        <w:pStyle w:val="Normal"/>
        <w:numPr>
          <w:ilvl w:val="0"/>
          <w:numId w:val="8"/>
        </w:numPr>
        <w:snapToGrid w:val="false"/>
        <w:spacing w:lineRule="auto" w:line="360"/>
        <w:ind w:firstLineChars="0" w:firstLine="0" w:startChars="-1" w:endChars="0" w:end="0"/>
        <w:rPr>
          <w:rFonts w:eastAsia="华文楷体"/>
          <w:color w:val="FF0000"/>
          <w:sz w:val="24"/>
        </w:rPr>
      </w:pPr>
      <w:r>
        <w:rPr>
          <w:rFonts w:hint="eastAsia" w:eastAsia="华文楷体"/>
          <w:color w:val="FF0000"/>
          <w:sz w:val="24"/>
        </w:rPr>
        <w:t>中文文献中</w:t>
      </w:r>
      <w:r>
        <w:rPr>
          <w:rFonts w:eastAsia="华文楷体"/>
          <w:color w:val="FF0000"/>
          <w:sz w:val="24"/>
        </w:rPr>
        <w:t>人名，姓全大写，名不缩写：如</w:t>
      </w:r>
      <w:r>
        <w:rPr>
          <w:rFonts w:hint="eastAsia" w:eastAsia="华文楷体"/>
          <w:color w:val="FF0000"/>
          <w:sz w:val="24"/>
        </w:rPr>
        <w:t>“</w:t>
      </w:r>
      <w:r>
        <w:rPr>
          <w:rFonts w:eastAsia="华文楷体"/>
          <w:color w:val="FF0000"/>
          <w:sz w:val="24"/>
        </w:rPr>
        <w:t>Shi Yigong</w:t>
      </w:r>
      <w:r>
        <w:rPr>
          <w:rFonts w:eastAsia="华文楷体" w:hint="eastAsia"/>
          <w:color w:val="FF0000"/>
          <w:sz w:val="24"/>
        </w:rPr>
        <w:t>”</w:t>
      </w:r>
      <w:r>
        <w:rPr>
          <w:rFonts w:eastAsia="华文楷体"/>
          <w:color w:val="FF0000"/>
          <w:sz w:val="24"/>
        </w:rPr>
        <w:t>应写为</w:t>
      </w:r>
      <w:r>
        <w:rPr>
          <w:rFonts w:hint="eastAsia" w:eastAsia="华文楷体"/>
          <w:color w:val="FF0000"/>
          <w:sz w:val="24"/>
        </w:rPr>
        <w:t>“</w:t>
      </w:r>
      <w:r>
        <w:rPr>
          <w:rFonts w:eastAsia="华文楷体"/>
          <w:color w:val="FF0000"/>
          <w:sz w:val="24"/>
        </w:rPr>
        <w:t>SHI Yigong</w:t>
      </w:r>
      <w:r>
        <w:rPr>
          <w:rFonts w:eastAsia="华文楷体" w:hint="eastAsia"/>
          <w:color w:val="FF0000"/>
          <w:sz w:val="24"/>
        </w:rPr>
        <w:t>”</w:t>
      </w:r>
      <w:r>
        <w:rPr>
          <w:rFonts w:eastAsia="华文楷体"/>
          <w:color w:val="FF0000"/>
          <w:sz w:val="24"/>
        </w:rPr>
        <w:t>。</w:t>
      </w:r>
    </w:p>
    <w:p>
      <w:pPr>
        <w:pStyle w:val="Normal"/>
        <w:numPr>
          <w:ilvl w:val="0"/>
          <w:numId w:val="8"/>
        </w:numPr>
        <w:snapToGrid w:val="false"/>
        <w:spacing w:lineRule="auto" w:line="360"/>
        <w:ind w:firstLineChars="0" w:firstLine="0" w:startChars="-1" w:endChars="0" w:end="0"/>
        <w:rPr>
          <w:rFonts w:eastAsia="华文楷体"/>
          <w:color w:val="FF0000"/>
          <w:sz w:val="24"/>
        </w:rPr>
      </w:pPr>
      <w:r>
        <w:rPr>
          <w:rFonts w:hint="eastAsia" w:eastAsia="华文楷体"/>
          <w:color w:val="FF0000"/>
          <w:sz w:val="24"/>
        </w:rPr>
        <w:t>英文文献中</w:t>
      </w:r>
      <w:r>
        <w:rPr>
          <w:rFonts w:eastAsia="华文楷体"/>
          <w:color w:val="FF0000"/>
          <w:sz w:val="24"/>
        </w:rPr>
        <w:t>人名，姓全大写，名</w:t>
      </w:r>
      <w:r>
        <w:rPr>
          <w:rFonts w:hint="eastAsia" w:eastAsia="华文楷体"/>
          <w:color w:val="FF0000"/>
          <w:sz w:val="24"/>
        </w:rPr>
        <w:t>应</w:t>
      </w:r>
      <w:r>
        <w:rPr>
          <w:rFonts w:eastAsia="华文楷体"/>
          <w:color w:val="FF0000"/>
          <w:sz w:val="24"/>
        </w:rPr>
        <w:t>缩写：如</w:t>
      </w:r>
      <w:r>
        <w:rPr>
          <w:rFonts w:hint="eastAsia" w:eastAsia="华文楷体"/>
          <w:color w:val="FF0000"/>
          <w:sz w:val="24"/>
        </w:rPr>
        <w:t>“</w:t>
      </w:r>
      <w:r>
        <w:rPr>
          <w:rFonts w:eastAsia="华文楷体"/>
          <w:color w:val="FF0000"/>
          <w:sz w:val="24"/>
        </w:rPr>
        <w:t>ISLAM M</w:t>
      </w:r>
      <w:r>
        <w:rPr>
          <w:rFonts w:eastAsia="华文楷体" w:hint="eastAsia"/>
          <w:color w:val="FF0000"/>
          <w:sz w:val="24"/>
        </w:rPr>
        <w:t>”</w:t>
      </w:r>
      <w:r>
        <w:rPr>
          <w:rFonts w:hint="eastAsia" w:eastAsia="华文楷体"/>
          <w:color w:val="FF0000"/>
          <w:sz w:val="24"/>
        </w:rPr>
        <w:t>、“</w:t>
      </w:r>
      <w:r>
        <w:rPr>
          <w:rFonts w:eastAsia="华文楷体" w:hint="eastAsia"/>
          <w:color w:val="FF0000"/>
          <w:sz w:val="24"/>
        </w:rPr>
        <w:t>SHI Y G”</w:t>
      </w:r>
      <w:r>
        <w:rPr>
          <w:rFonts w:eastAsia="华文楷体"/>
          <w:color w:val="FF0000"/>
          <w:sz w:val="24"/>
        </w:rPr>
        <w:t>。</w:t>
      </w:r>
    </w:p>
    <w:p>
      <w:pPr>
        <w:pStyle w:val="Normal"/>
        <w:snapToGrid w:val="false"/>
        <w:spacing w:lineRule="auto" w:line="360"/>
        <w:ind w:start="-2" w:end="0"/>
        <w:rPr>
          <w:rFonts w:eastAsia="华文楷体"/>
          <w:color w:val="FF0000"/>
          <w:sz w:val="24"/>
        </w:rPr>
      </w:pPr>
      <w:r>
        <w:rPr>
          <w:rFonts w:eastAsia="华文楷体"/>
          <w:color w:val="FF0000"/>
          <w:sz w:val="24"/>
        </w:rPr>
      </w:r>
    </w:p>
    <w:p>
      <w:pPr>
        <w:pStyle w:val="Normal"/>
        <w:snapToGrid w:val="false"/>
        <w:spacing w:lineRule="auto" w:line="360"/>
        <w:ind w:start="-2" w:end="0"/>
        <w:rPr>
          <w:rFonts w:eastAsia="华文楷体"/>
          <w:color w:val="FF0000"/>
          <w:sz w:val="24"/>
        </w:rPr>
      </w:pPr>
      <w:r>
        <w:rPr>
          <w:rFonts w:eastAsia="华文楷体"/>
          <w:color w:val="FF0000"/>
          <w:sz w:val="24"/>
        </w:rPr>
        <w:t>按照国标规定，</w:t>
      </w:r>
      <w:r>
        <w:rPr>
          <w:rFonts w:hint="eastAsia" w:eastAsia="华文楷体"/>
          <w:color w:val="FF0000"/>
          <w:sz w:val="24"/>
        </w:rPr>
        <w:t>本刊对</w:t>
      </w:r>
      <w:r>
        <w:rPr>
          <w:rFonts w:eastAsia="华文楷体"/>
          <w:color w:val="FF0000"/>
          <w:sz w:val="24"/>
        </w:rPr>
        <w:t>常用类别文献的著录示例如下：</w:t>
      </w:r>
    </w:p>
    <w:p>
      <w:pPr>
        <w:pStyle w:val="TextofReference"/>
        <w:numPr>
          <w:ilvl w:val="0"/>
          <w:numId w:val="0"/>
        </w:numPr>
        <w:spacing w:lineRule="auto" w:line="360"/>
        <w:ind w:hanging="0" w:start="0"/>
        <w:rPr>
          <w:rFonts w:eastAsia="华文楷体"/>
          <w:b/>
          <w:color w:val="FF0000"/>
          <w:kern w:val="2"/>
          <w:sz w:val="24"/>
          <w:szCs w:val="24"/>
        </w:rPr>
      </w:pPr>
      <w:r>
        <w:rPr>
          <w:rFonts w:eastAsia="华文楷体"/>
          <w:b/>
          <w:color w:val="FF0000"/>
          <w:kern w:val="2"/>
          <w:sz w:val="24"/>
          <w:szCs w:val="24"/>
        </w:rPr>
        <w:t xml:space="preserve">1. </w:t>
      </w:r>
      <w:r>
        <w:rPr>
          <w:rFonts w:eastAsia="华文楷体"/>
          <w:b/>
          <w:color w:val="FF0000"/>
          <w:kern w:val="2"/>
          <w:sz w:val="24"/>
          <w:szCs w:val="24"/>
        </w:rPr>
        <w:t>期刊等连续出版物类的析出文献：</w:t>
      </w:r>
    </w:p>
    <w:p>
      <w:pPr>
        <w:pStyle w:val="Normal"/>
        <w:spacing w:lineRule="auto" w:line="360"/>
        <w:rPr>
          <w:sz w:val="24"/>
        </w:rPr>
      </w:pPr>
      <w:r>
        <w:rPr>
          <w:sz w:val="24"/>
        </w:rPr>
        <w:t xml:space="preserve">[1] </w:t>
      </w:r>
      <w:r>
        <w:rPr>
          <w:sz w:val="24"/>
        </w:rPr>
        <w:t>王振国</w:t>
      </w:r>
      <w:r>
        <w:rPr>
          <w:sz w:val="24"/>
        </w:rPr>
        <w:t xml:space="preserve">, </w:t>
      </w:r>
      <w:r>
        <w:rPr>
          <w:sz w:val="24"/>
        </w:rPr>
        <w:t>丁伟</w:t>
      </w:r>
      <w:r>
        <w:rPr>
          <w:sz w:val="24"/>
        </w:rPr>
        <w:t xml:space="preserve">. </w:t>
      </w:r>
      <w:r>
        <w:rPr>
          <w:sz w:val="24"/>
        </w:rPr>
        <w:t>烟草野火病发生与防治的研究进展</w:t>
      </w:r>
      <w:r>
        <w:rPr>
          <w:sz w:val="24"/>
        </w:rPr>
        <w:t xml:space="preserve">[J]. </w:t>
      </w:r>
      <w:r>
        <w:rPr>
          <w:sz w:val="24"/>
        </w:rPr>
        <w:t>中国烟草学报</w:t>
      </w:r>
      <w:r>
        <w:rPr>
          <w:sz w:val="24"/>
        </w:rPr>
        <w:t>, 2012, 18(2): 101</w:t>
      </w:r>
      <w:r>
        <w:rPr>
          <w:color w:val="FF0000"/>
          <w:sz w:val="24"/>
        </w:rPr>
        <w:t>–</w:t>
      </w:r>
      <w:r>
        <w:rPr>
          <w:sz w:val="24"/>
        </w:rPr>
        <w:t>106.</w:t>
      </w:r>
    </w:p>
    <w:p>
      <w:pPr>
        <w:pStyle w:val="Normal"/>
        <w:spacing w:lineRule="auto" w:line="360"/>
        <w:rPr>
          <w:sz w:val="24"/>
        </w:rPr>
      </w:pPr>
      <w:r>
        <w:rPr>
          <w:color w:val="FF0000"/>
          <w:sz w:val="24"/>
        </w:rPr>
        <w:t>WANG</w:t>
      </w:r>
      <w:r>
        <w:rPr>
          <w:sz w:val="24"/>
        </w:rPr>
        <w:t xml:space="preserve"> </w:t>
      </w:r>
      <w:r>
        <w:rPr>
          <w:color w:val="FF0000"/>
          <w:sz w:val="24"/>
        </w:rPr>
        <w:t>Z</w:t>
      </w:r>
      <w:r>
        <w:rPr>
          <w:sz w:val="24"/>
        </w:rPr>
        <w:t xml:space="preserve">henguo, </w:t>
      </w:r>
      <w:r>
        <w:rPr>
          <w:color w:val="FF0000"/>
          <w:sz w:val="24"/>
        </w:rPr>
        <w:t>DING</w:t>
      </w:r>
      <w:r>
        <w:rPr>
          <w:sz w:val="24"/>
        </w:rPr>
        <w:t xml:space="preserve"> </w:t>
      </w:r>
      <w:r>
        <w:rPr>
          <w:color w:val="FF0000"/>
          <w:sz w:val="24"/>
        </w:rPr>
        <w:t>W</w:t>
      </w:r>
      <w:r>
        <w:rPr>
          <w:sz w:val="24"/>
        </w:rPr>
        <w:t xml:space="preserve">ei. Research progeress in tocacco wildfire disease’s occurrence and control[J]. </w:t>
      </w:r>
      <w:r>
        <w:rPr>
          <w:color w:val="FF0000"/>
          <w:sz w:val="24"/>
        </w:rPr>
        <w:t>A</w:t>
      </w:r>
      <w:r>
        <w:rPr>
          <w:sz w:val="24"/>
        </w:rPr>
        <w:t xml:space="preserve">cta </w:t>
      </w:r>
      <w:r>
        <w:rPr>
          <w:color w:val="FF0000"/>
          <w:sz w:val="24"/>
        </w:rPr>
        <w:t>T</w:t>
      </w:r>
      <w:r>
        <w:rPr>
          <w:sz w:val="24"/>
        </w:rPr>
        <w:t xml:space="preserve">abacaria </w:t>
      </w:r>
      <w:r>
        <w:rPr>
          <w:color w:val="FF0000"/>
          <w:sz w:val="24"/>
        </w:rPr>
        <w:t>S</w:t>
      </w:r>
      <w:r>
        <w:rPr>
          <w:sz w:val="24"/>
        </w:rPr>
        <w:t>inica, 2012, 18(2): 101</w:t>
      </w:r>
      <w:r>
        <w:rPr>
          <w:color w:val="FF0000"/>
          <w:sz w:val="24"/>
        </w:rPr>
        <w:t>–</w:t>
      </w:r>
      <w:r>
        <w:rPr>
          <w:sz w:val="24"/>
        </w:rPr>
        <w:t>106.</w:t>
      </w:r>
    </w:p>
    <w:p>
      <w:pPr>
        <w:pStyle w:val="TextofReference"/>
        <w:numPr>
          <w:ilvl w:val="0"/>
          <w:numId w:val="0"/>
        </w:numPr>
        <w:spacing w:lineRule="auto" w:line="360"/>
        <w:ind w:hanging="0" w:start="0"/>
        <w:rPr>
          <w:sz w:val="24"/>
          <w:szCs w:val="24"/>
        </w:rPr>
      </w:pPr>
      <w:r>
        <w:rPr>
          <w:sz w:val="24"/>
          <w:szCs w:val="24"/>
        </w:rPr>
        <w:t xml:space="preserve">[2] </w:t>
      </w:r>
      <w:r>
        <w:rPr>
          <w:color w:val="FF0000"/>
          <w:sz w:val="24"/>
          <w:szCs w:val="24"/>
        </w:rPr>
        <w:t>WANG Y Y</w:t>
      </w:r>
      <w:r>
        <w:rPr>
          <w:sz w:val="24"/>
          <w:szCs w:val="24"/>
        </w:rPr>
        <w:t xml:space="preserve">, </w:t>
      </w:r>
      <w:r>
        <w:rPr>
          <w:color w:val="FF0000"/>
          <w:sz w:val="24"/>
          <w:szCs w:val="24"/>
        </w:rPr>
        <w:t>ZHANG H B</w:t>
      </w:r>
      <w:r>
        <w:rPr>
          <w:sz w:val="24"/>
          <w:szCs w:val="24"/>
        </w:rPr>
        <w:t xml:space="preserve">. Molecular mechanisms of drought resistance in transgenic tobacco overexpressing </w:t>
      </w:r>
      <w:r>
        <w:rPr>
          <w:i/>
          <w:iCs/>
          <w:sz w:val="24"/>
          <w:szCs w:val="24"/>
        </w:rPr>
        <w:t>NtHPL1</w:t>
      </w:r>
      <w:r>
        <w:rPr>
          <w:sz w:val="24"/>
          <w:szCs w:val="24"/>
        </w:rPr>
        <w:t xml:space="preserve">[J]. </w:t>
      </w:r>
      <w:r>
        <w:rPr>
          <w:color w:val="FF0000"/>
          <w:sz w:val="24"/>
          <w:szCs w:val="24"/>
        </w:rPr>
        <w:t>P</w:t>
      </w:r>
      <w:r>
        <w:rPr>
          <w:sz w:val="24"/>
          <w:szCs w:val="24"/>
        </w:rPr>
        <w:t xml:space="preserve">lant </w:t>
      </w:r>
      <w:r>
        <w:rPr>
          <w:color w:val="FF0000"/>
          <w:sz w:val="24"/>
          <w:szCs w:val="24"/>
        </w:rPr>
        <w:t>B</w:t>
      </w:r>
      <w:r>
        <w:rPr>
          <w:sz w:val="24"/>
          <w:szCs w:val="24"/>
        </w:rPr>
        <w:t>iotechnology</w:t>
      </w:r>
      <w:r>
        <w:rPr>
          <w:color w:val="FF0000"/>
          <w:sz w:val="24"/>
          <w:szCs w:val="24"/>
        </w:rPr>
        <w:t xml:space="preserve"> J</w:t>
      </w:r>
      <w:r>
        <w:rPr>
          <w:sz w:val="24"/>
          <w:szCs w:val="24"/>
        </w:rPr>
        <w:t>ournal, 2022, 20(8): 1450</w:t>
      </w:r>
      <w:r>
        <w:rPr>
          <w:color w:val="FF0000"/>
          <w:sz w:val="24"/>
          <w:szCs w:val="24"/>
        </w:rPr>
        <w:t>–</w:t>
      </w:r>
      <w:r>
        <w:rPr>
          <w:sz w:val="24"/>
          <w:szCs w:val="24"/>
        </w:rPr>
        <w:t>1462.</w:t>
      </w:r>
    </w:p>
    <w:p>
      <w:pPr>
        <w:pStyle w:val="TextofReference"/>
        <w:numPr>
          <w:ilvl w:val="0"/>
          <w:numId w:val="0"/>
        </w:numPr>
        <w:spacing w:lineRule="auto" w:line="360"/>
        <w:ind w:hanging="0" w:start="0"/>
        <w:rPr>
          <w:rFonts w:eastAsia="华文楷体"/>
          <w:b/>
          <w:color w:val="FF0000"/>
          <w:kern w:val="2"/>
          <w:sz w:val="24"/>
          <w:szCs w:val="24"/>
        </w:rPr>
      </w:pPr>
      <w:r>
        <w:rPr>
          <w:rFonts w:eastAsia="华文楷体"/>
          <w:b/>
          <w:color w:val="FF0000"/>
          <w:kern w:val="2"/>
          <w:sz w:val="24"/>
          <w:szCs w:val="24"/>
        </w:rPr>
        <w:t xml:space="preserve">2. </w:t>
      </w:r>
      <w:r>
        <w:rPr>
          <w:rFonts w:eastAsia="华文楷体"/>
          <w:b/>
          <w:color w:val="FF0000"/>
          <w:kern w:val="2"/>
          <w:sz w:val="24"/>
          <w:szCs w:val="24"/>
        </w:rPr>
        <w:t>书籍：</w:t>
      </w:r>
    </w:p>
    <w:p>
      <w:pPr>
        <w:pStyle w:val="Normal"/>
        <w:spacing w:lineRule="auto" w:line="360"/>
        <w:rPr>
          <w:rFonts w:hint="eastAsia"/>
          <w:sz w:val="24"/>
        </w:rPr>
      </w:pPr>
      <w:r>
        <w:rPr>
          <w:rFonts w:hint="eastAsia"/>
          <w:sz w:val="24"/>
        </w:rPr>
        <w:t xml:space="preserve">[1] </w:t>
      </w:r>
      <w:r>
        <w:rPr>
          <w:rFonts w:hint="eastAsia"/>
          <w:sz w:val="24"/>
        </w:rPr>
        <w:t>宫长荣</w:t>
      </w:r>
      <w:r>
        <w:rPr>
          <w:rFonts w:hint="eastAsia"/>
          <w:sz w:val="24"/>
        </w:rPr>
        <w:t xml:space="preserve">, </w:t>
      </w:r>
      <w:r>
        <w:rPr>
          <w:rFonts w:hint="eastAsia"/>
          <w:sz w:val="24"/>
        </w:rPr>
        <w:t>杨焕文</w:t>
      </w:r>
      <w:r>
        <w:rPr>
          <w:rFonts w:hint="eastAsia"/>
          <w:sz w:val="24"/>
        </w:rPr>
        <w:t xml:space="preserve">, </w:t>
      </w:r>
      <w:r>
        <w:rPr>
          <w:rFonts w:hint="eastAsia"/>
          <w:sz w:val="24"/>
        </w:rPr>
        <w:t>艾复清</w:t>
      </w:r>
      <w:r>
        <w:rPr>
          <w:rFonts w:hint="eastAsia"/>
          <w:sz w:val="24"/>
        </w:rPr>
        <w:t xml:space="preserve">, </w:t>
      </w:r>
      <w:r>
        <w:rPr>
          <w:rFonts w:hint="eastAsia"/>
          <w:sz w:val="24"/>
        </w:rPr>
        <w:t>等</w:t>
      </w:r>
      <w:r>
        <w:rPr>
          <w:rFonts w:hint="eastAsia"/>
          <w:sz w:val="24"/>
        </w:rPr>
        <w:t xml:space="preserve">. </w:t>
      </w:r>
      <w:r>
        <w:rPr>
          <w:rFonts w:hint="eastAsia"/>
          <w:sz w:val="24"/>
        </w:rPr>
        <w:t>烟草调制学</w:t>
      </w:r>
      <w:r>
        <w:rPr>
          <w:rFonts w:hint="eastAsia"/>
          <w:sz w:val="24"/>
        </w:rPr>
        <w:t xml:space="preserve">[M]. </w:t>
      </w:r>
      <w:r>
        <w:rPr>
          <w:rFonts w:hint="eastAsia"/>
          <w:sz w:val="24"/>
        </w:rPr>
        <w:t>北京</w:t>
      </w:r>
      <w:r>
        <w:rPr>
          <w:rFonts w:hint="eastAsia"/>
          <w:sz w:val="24"/>
        </w:rPr>
        <w:t xml:space="preserve">: </w:t>
      </w:r>
      <w:r>
        <w:rPr>
          <w:rFonts w:hint="eastAsia"/>
          <w:sz w:val="24"/>
        </w:rPr>
        <w:t>中国农业出版社</w:t>
      </w:r>
      <w:r>
        <w:rPr>
          <w:rFonts w:hint="eastAsia"/>
          <w:sz w:val="24"/>
        </w:rPr>
        <w:t>, 2003.</w:t>
      </w:r>
    </w:p>
    <w:p>
      <w:pPr>
        <w:pStyle w:val="Normal"/>
        <w:spacing w:lineRule="auto" w:line="360"/>
        <w:rPr>
          <w:rFonts w:hint="eastAsia"/>
          <w:sz w:val="24"/>
        </w:rPr>
      </w:pPr>
      <w:r>
        <w:rPr>
          <w:rFonts w:hint="eastAsia"/>
          <w:color w:val="FF0000"/>
          <w:sz w:val="24"/>
        </w:rPr>
        <w:t>GONG</w:t>
      </w:r>
      <w:r>
        <w:rPr>
          <w:rFonts w:hint="eastAsia"/>
          <w:sz w:val="24"/>
        </w:rPr>
        <w:t xml:space="preserve"> </w:t>
      </w:r>
      <w:r>
        <w:rPr>
          <w:rFonts w:hint="eastAsia"/>
          <w:color w:val="FF0000"/>
          <w:sz w:val="24"/>
        </w:rPr>
        <w:t>C</w:t>
      </w:r>
      <w:r>
        <w:rPr>
          <w:rFonts w:hint="eastAsia"/>
          <w:sz w:val="24"/>
        </w:rPr>
        <w:t xml:space="preserve">hangrong, </w:t>
      </w:r>
      <w:r>
        <w:rPr>
          <w:rFonts w:hint="eastAsia"/>
          <w:color w:val="FF0000"/>
          <w:sz w:val="24"/>
        </w:rPr>
        <w:t>YANG</w:t>
      </w:r>
      <w:r>
        <w:rPr>
          <w:rFonts w:hint="eastAsia"/>
          <w:sz w:val="24"/>
        </w:rPr>
        <w:t xml:space="preserve"> </w:t>
      </w:r>
      <w:r>
        <w:rPr>
          <w:rFonts w:hint="eastAsia"/>
          <w:color w:val="FF0000"/>
          <w:sz w:val="24"/>
        </w:rPr>
        <w:t>H</w:t>
      </w:r>
      <w:r>
        <w:rPr>
          <w:rFonts w:hint="eastAsia"/>
          <w:sz w:val="24"/>
        </w:rPr>
        <w:t xml:space="preserve">uanwen, </w:t>
      </w:r>
      <w:r>
        <w:rPr>
          <w:rFonts w:hint="eastAsia"/>
          <w:color w:val="FF0000"/>
          <w:sz w:val="24"/>
        </w:rPr>
        <w:t>AI</w:t>
      </w:r>
      <w:r>
        <w:rPr>
          <w:rFonts w:hint="eastAsia"/>
          <w:sz w:val="24"/>
        </w:rPr>
        <w:t xml:space="preserve"> </w:t>
      </w:r>
      <w:r>
        <w:rPr>
          <w:rFonts w:hint="eastAsia"/>
          <w:color w:val="FF0000"/>
          <w:sz w:val="24"/>
        </w:rPr>
        <w:t>F</w:t>
      </w:r>
      <w:r>
        <w:rPr>
          <w:rFonts w:hint="eastAsia"/>
          <w:sz w:val="24"/>
        </w:rPr>
        <w:t xml:space="preserve">uqing, et al. Tobacco curing[M]. </w:t>
      </w:r>
      <w:r>
        <w:rPr>
          <w:rFonts w:hint="eastAsia"/>
          <w:color w:val="FF0000"/>
          <w:sz w:val="24"/>
        </w:rPr>
        <w:t>B</w:t>
      </w:r>
      <w:r>
        <w:rPr>
          <w:rFonts w:hint="eastAsia"/>
          <w:sz w:val="24"/>
        </w:rPr>
        <w:t xml:space="preserve">eijing: </w:t>
      </w:r>
      <w:r>
        <w:rPr>
          <w:rFonts w:hint="eastAsia"/>
          <w:color w:val="FF0000"/>
          <w:sz w:val="24"/>
        </w:rPr>
        <w:t>C</w:t>
      </w:r>
      <w:r>
        <w:rPr>
          <w:rFonts w:hint="eastAsia"/>
          <w:sz w:val="24"/>
        </w:rPr>
        <w:t xml:space="preserve">hinese </w:t>
      </w:r>
      <w:r>
        <w:rPr>
          <w:rFonts w:hint="eastAsia"/>
          <w:color w:val="FF0000"/>
          <w:sz w:val="24"/>
        </w:rPr>
        <w:t>A</w:t>
      </w:r>
      <w:r>
        <w:rPr>
          <w:rFonts w:hint="eastAsia"/>
          <w:sz w:val="24"/>
        </w:rPr>
        <w:t xml:space="preserve">gricultural </w:t>
      </w:r>
      <w:r>
        <w:rPr>
          <w:rFonts w:hint="eastAsia"/>
          <w:color w:val="FF0000"/>
          <w:sz w:val="24"/>
        </w:rPr>
        <w:t>P</w:t>
      </w:r>
      <w:r>
        <w:rPr>
          <w:rFonts w:hint="eastAsia"/>
          <w:sz w:val="24"/>
        </w:rPr>
        <w:t>ress, 2003.</w:t>
      </w:r>
    </w:p>
    <w:p>
      <w:pPr>
        <w:pStyle w:val="TextofReference"/>
        <w:numPr>
          <w:ilvl w:val="0"/>
          <w:numId w:val="0"/>
        </w:numPr>
        <w:spacing w:lineRule="auto" w:line="360"/>
        <w:ind w:hanging="0" w:start="0"/>
        <w:rPr>
          <w:rFonts w:eastAsia="华文楷体"/>
          <w:b/>
          <w:color w:val="FF0000"/>
          <w:kern w:val="2"/>
          <w:sz w:val="24"/>
          <w:szCs w:val="24"/>
        </w:rPr>
      </w:pPr>
      <w:r>
        <w:rPr>
          <w:rFonts w:hint="eastAsia"/>
          <w:sz w:val="24"/>
          <w:szCs w:val="24"/>
        </w:rPr>
        <w:t xml:space="preserve">[2] </w:t>
      </w:r>
      <w:r>
        <w:rPr>
          <w:rFonts w:hint="eastAsia"/>
          <w:color w:val="FF0000"/>
          <w:sz w:val="24"/>
          <w:szCs w:val="24"/>
        </w:rPr>
        <w:t>BROWN R</w:t>
      </w:r>
      <w:r>
        <w:rPr>
          <w:rFonts w:hint="eastAsia"/>
          <w:sz w:val="24"/>
          <w:szCs w:val="24"/>
        </w:rPr>
        <w:t xml:space="preserve">. Tobacco chemistry: from cultivation to combustion[M]. 2nd ed. </w:t>
      </w:r>
      <w:r>
        <w:rPr>
          <w:rFonts w:hint="eastAsia"/>
          <w:color w:val="FF0000"/>
          <w:sz w:val="24"/>
          <w:szCs w:val="24"/>
        </w:rPr>
        <w:t>N</w:t>
      </w:r>
      <w:r>
        <w:rPr>
          <w:rFonts w:hint="eastAsia"/>
          <w:sz w:val="24"/>
          <w:szCs w:val="24"/>
        </w:rPr>
        <w:t xml:space="preserve">ew </w:t>
      </w:r>
      <w:r>
        <w:rPr>
          <w:rFonts w:hint="eastAsia"/>
          <w:color w:val="FF0000"/>
          <w:sz w:val="24"/>
          <w:szCs w:val="24"/>
        </w:rPr>
        <w:t>Y</w:t>
      </w:r>
      <w:r>
        <w:rPr>
          <w:rFonts w:hint="eastAsia"/>
          <w:sz w:val="24"/>
          <w:szCs w:val="24"/>
        </w:rPr>
        <w:t>ork:</w:t>
      </w:r>
      <w:r>
        <w:rPr>
          <w:rFonts w:hint="eastAsia"/>
          <w:color w:val="FF0000"/>
          <w:sz w:val="24"/>
          <w:szCs w:val="24"/>
        </w:rPr>
        <w:t xml:space="preserve"> S</w:t>
      </w:r>
      <w:r>
        <w:rPr>
          <w:rFonts w:hint="eastAsia"/>
          <w:sz w:val="24"/>
          <w:szCs w:val="24"/>
        </w:rPr>
        <w:t>pringer, 2021.</w:t>
      </w:r>
    </w:p>
    <w:p>
      <w:pPr>
        <w:pStyle w:val="TextofReference"/>
        <w:numPr>
          <w:ilvl w:val="0"/>
          <w:numId w:val="0"/>
        </w:numPr>
        <w:spacing w:lineRule="auto" w:line="360"/>
        <w:ind w:hanging="0" w:start="0"/>
        <w:rPr>
          <w:rFonts w:eastAsia="华文楷体"/>
          <w:b/>
          <w:color w:val="FF0000"/>
          <w:kern w:val="2"/>
          <w:sz w:val="24"/>
          <w:szCs w:val="24"/>
        </w:rPr>
      </w:pPr>
      <w:r>
        <w:rPr>
          <w:rFonts w:eastAsia="华文楷体" w:hint="eastAsia"/>
          <w:b/>
          <w:color w:val="FF0000"/>
          <w:kern w:val="2"/>
          <w:sz w:val="24"/>
          <w:szCs w:val="24"/>
        </w:rPr>
        <w:t xml:space="preserve">3. </w:t>
      </w:r>
      <w:r>
        <w:rPr>
          <w:rFonts w:eastAsia="华文楷体"/>
          <w:b/>
          <w:color w:val="FF0000"/>
          <w:kern w:val="2"/>
          <w:sz w:val="24"/>
          <w:szCs w:val="24"/>
        </w:rPr>
        <w:t>学位论文</w:t>
      </w:r>
    </w:p>
    <w:p>
      <w:pPr>
        <w:pStyle w:val="Normal"/>
        <w:spacing w:lineRule="auto" w:line="360"/>
        <w:rPr>
          <w:rFonts w:hint="eastAsia"/>
          <w:sz w:val="24"/>
        </w:rPr>
      </w:pPr>
      <w:r>
        <w:rPr>
          <w:rFonts w:hint="eastAsia"/>
          <w:sz w:val="24"/>
        </w:rPr>
        <w:t xml:space="preserve">[1] </w:t>
      </w:r>
      <w:r>
        <w:rPr>
          <w:rFonts w:hint="eastAsia"/>
          <w:sz w:val="24"/>
        </w:rPr>
        <w:t>卢涛</w:t>
      </w:r>
      <w:r>
        <w:rPr>
          <w:rFonts w:hint="eastAsia"/>
          <w:sz w:val="24"/>
        </w:rPr>
        <w:t xml:space="preserve">. </w:t>
      </w:r>
      <w:r>
        <w:rPr>
          <w:rFonts w:hint="eastAsia"/>
          <w:sz w:val="24"/>
        </w:rPr>
        <w:t>毛细多孔介质干燥过程中传热传质模型研究及应用</w:t>
      </w:r>
      <w:r>
        <w:rPr>
          <w:rFonts w:hint="eastAsia"/>
          <w:sz w:val="24"/>
        </w:rPr>
        <w:t xml:space="preserve">[D]. </w:t>
      </w:r>
      <w:r>
        <w:rPr>
          <w:rFonts w:hint="eastAsia"/>
          <w:sz w:val="24"/>
        </w:rPr>
        <w:t>大连理工大学</w:t>
      </w:r>
      <w:r>
        <w:rPr>
          <w:rFonts w:hint="eastAsia"/>
          <w:sz w:val="24"/>
        </w:rPr>
        <w:t>, 2003.</w:t>
      </w:r>
    </w:p>
    <w:p>
      <w:pPr>
        <w:pStyle w:val="Normal"/>
        <w:spacing w:lineRule="auto" w:line="360"/>
        <w:rPr>
          <w:rFonts w:hint="eastAsia"/>
          <w:sz w:val="24"/>
        </w:rPr>
      </w:pPr>
      <w:r>
        <w:rPr>
          <w:rFonts w:hint="eastAsia"/>
          <w:color w:val="FF0000"/>
          <w:sz w:val="24"/>
        </w:rPr>
        <w:t>LU Tao</w:t>
      </w:r>
      <w:r>
        <w:rPr>
          <w:rFonts w:hint="eastAsia"/>
          <w:sz w:val="24"/>
        </w:rPr>
        <w:t xml:space="preserve">. Study and application of model for heat and mass transfer in capillary porous media during drying[D]. </w:t>
      </w:r>
      <w:r>
        <w:rPr>
          <w:rFonts w:hint="eastAsia"/>
          <w:color w:val="FF0000"/>
          <w:sz w:val="24"/>
        </w:rPr>
        <w:t>D</w:t>
      </w:r>
      <w:r>
        <w:rPr>
          <w:rFonts w:hint="eastAsia"/>
          <w:sz w:val="24"/>
        </w:rPr>
        <w:t xml:space="preserve">alian </w:t>
      </w:r>
      <w:r>
        <w:rPr>
          <w:rFonts w:hint="eastAsia"/>
          <w:color w:val="FF0000"/>
          <w:sz w:val="24"/>
        </w:rPr>
        <w:t>U</w:t>
      </w:r>
      <w:r>
        <w:rPr>
          <w:rFonts w:hint="eastAsia"/>
          <w:sz w:val="24"/>
        </w:rPr>
        <w:t xml:space="preserve">niversity of </w:t>
      </w:r>
      <w:r>
        <w:rPr>
          <w:rFonts w:hint="eastAsia"/>
          <w:color w:val="FF0000"/>
          <w:sz w:val="24"/>
        </w:rPr>
        <w:t>T</w:t>
      </w:r>
      <w:r>
        <w:rPr>
          <w:rFonts w:hint="eastAsia"/>
          <w:sz w:val="24"/>
        </w:rPr>
        <w:t>echnology, 2003.</w:t>
      </w:r>
    </w:p>
    <w:p>
      <w:pPr>
        <w:pStyle w:val="Style25"/>
        <w:snapToGrid w:val="false"/>
        <w:spacing w:lineRule="auto" w:line="360"/>
        <w:rPr>
          <w:rFonts w:ascii="Times New Roman" w:hAnsi="Times New Roman" w:eastAsia="华文楷体" w:cs="Times New Roman"/>
          <w:b/>
          <w:color w:val="FF0000"/>
          <w:sz w:val="24"/>
          <w:szCs w:val="24"/>
        </w:rPr>
      </w:pPr>
      <w:r>
        <w:rPr>
          <w:rFonts w:cs="Times New Roman" w:hint="eastAsia" w:ascii="Times New Roman" w:hAnsi="Times New Roman"/>
          <w:sz w:val="24"/>
          <w:szCs w:val="24"/>
        </w:rPr>
        <w:t xml:space="preserve">[2] </w:t>
      </w:r>
      <w:r>
        <w:rPr>
          <w:rFonts w:cs="Times New Roman" w:hint="eastAsia" w:ascii="Times New Roman" w:hAnsi="Times New Roman"/>
          <w:color w:val="FF0000"/>
          <w:sz w:val="24"/>
          <w:szCs w:val="24"/>
        </w:rPr>
        <w:t>CHEN L L</w:t>
      </w:r>
      <w:r>
        <w:rPr>
          <w:rFonts w:cs="Times New Roman" w:hint="eastAsia" w:ascii="Times New Roman" w:hAnsi="Times New Roman"/>
          <w:sz w:val="24"/>
          <w:szCs w:val="24"/>
        </w:rPr>
        <w:t xml:space="preserve">. Genetic improvement of low-nicotine tobacco through CRISPR-Cas9-mediated gene editing[D]. </w:t>
      </w:r>
      <w:r>
        <w:rPr>
          <w:rFonts w:cs="Times New Roman" w:hint="eastAsia" w:ascii="Times New Roman" w:hAnsi="Times New Roman"/>
          <w:color w:val="FF0000"/>
          <w:sz w:val="24"/>
          <w:szCs w:val="24"/>
        </w:rPr>
        <w:t>U</w:t>
      </w:r>
      <w:r>
        <w:rPr>
          <w:rFonts w:cs="Times New Roman" w:hint="eastAsia" w:ascii="Times New Roman" w:hAnsi="Times New Roman"/>
          <w:sz w:val="24"/>
          <w:szCs w:val="24"/>
        </w:rPr>
        <w:t xml:space="preserve">niversity of </w:t>
      </w:r>
      <w:r>
        <w:rPr>
          <w:rFonts w:cs="Times New Roman" w:hint="eastAsia" w:ascii="Times New Roman" w:hAnsi="Times New Roman"/>
          <w:color w:val="FF0000"/>
          <w:sz w:val="24"/>
          <w:szCs w:val="24"/>
        </w:rPr>
        <w:t>K</w:t>
      </w:r>
      <w:r>
        <w:rPr>
          <w:rFonts w:cs="Times New Roman" w:hint="eastAsia" w:ascii="Times New Roman" w:hAnsi="Times New Roman"/>
          <w:sz w:val="24"/>
          <w:szCs w:val="24"/>
        </w:rPr>
        <w:t>entucky, 2020.</w:t>
      </w:r>
    </w:p>
    <w:p>
      <w:pPr>
        <w:pStyle w:val="TextofReference"/>
        <w:numPr>
          <w:ilvl w:val="0"/>
          <w:numId w:val="0"/>
        </w:numPr>
        <w:spacing w:lineRule="auto" w:line="360"/>
        <w:ind w:hanging="0" w:start="0"/>
        <w:rPr>
          <w:rFonts w:eastAsia="华文楷体"/>
          <w:b/>
          <w:color w:val="FF0000"/>
          <w:kern w:val="2"/>
          <w:sz w:val="24"/>
          <w:szCs w:val="24"/>
        </w:rPr>
      </w:pPr>
      <w:r>
        <w:rPr>
          <w:rFonts w:eastAsia="华文楷体" w:hint="eastAsia"/>
          <w:b/>
          <w:color w:val="FF0000"/>
          <w:kern w:val="2"/>
          <w:sz w:val="24"/>
          <w:szCs w:val="24"/>
        </w:rPr>
        <w:t xml:space="preserve">4. </w:t>
      </w:r>
      <w:r>
        <w:rPr>
          <w:rFonts w:eastAsia="华文楷体"/>
          <w:b/>
          <w:color w:val="FF0000"/>
          <w:kern w:val="2"/>
          <w:sz w:val="24"/>
          <w:szCs w:val="24"/>
        </w:rPr>
        <w:t>标准</w:t>
      </w:r>
    </w:p>
    <w:p>
      <w:pPr>
        <w:pStyle w:val="Normal"/>
        <w:spacing w:lineRule="auto" w:line="360"/>
        <w:rPr>
          <w:sz w:val="24"/>
        </w:rPr>
      </w:pPr>
      <w:r>
        <w:rPr>
          <w:sz w:val="24"/>
        </w:rPr>
        <w:t>[</w:t>
      </w:r>
      <w:r>
        <w:rPr>
          <w:rFonts w:hint="eastAsia"/>
          <w:sz w:val="24"/>
        </w:rPr>
        <w:t>1</w:t>
      </w:r>
      <w:r>
        <w:rPr>
          <w:sz w:val="24"/>
        </w:rPr>
        <w:t xml:space="preserve">] </w:t>
      </w:r>
      <w:r>
        <w:rPr>
          <w:sz w:val="24"/>
        </w:rPr>
        <w:t>国家技术监督局</w:t>
      </w:r>
      <w:r>
        <w:rPr>
          <w:sz w:val="24"/>
        </w:rPr>
        <w:t xml:space="preserve">. </w:t>
      </w:r>
      <w:r>
        <w:rPr>
          <w:sz w:val="24"/>
        </w:rPr>
        <w:t>农作物种子检验规程 发芽试验</w:t>
      </w:r>
      <w:r>
        <w:rPr>
          <w:sz w:val="24"/>
        </w:rPr>
        <w:t>: GB/T3543.4—1995 [S].</w:t>
      </w:r>
      <w:r>
        <w:rPr>
          <w:sz w:val="24"/>
        </w:rPr>
        <w:t>北京</w:t>
      </w:r>
      <w:r>
        <w:rPr>
          <w:sz w:val="24"/>
        </w:rPr>
        <w:t xml:space="preserve">: </w:t>
      </w:r>
      <w:r>
        <w:rPr>
          <w:sz w:val="24"/>
        </w:rPr>
        <w:t>中国标准出版社</w:t>
      </w:r>
      <w:r>
        <w:rPr>
          <w:sz w:val="24"/>
        </w:rPr>
        <w:t>, 1995.</w:t>
      </w:r>
    </w:p>
    <w:p>
      <w:pPr>
        <w:pStyle w:val="Style25"/>
        <w:snapToGrid w:val="false"/>
        <w:spacing w:lineRule="auto" w:line="360"/>
        <w:rPr>
          <w:rFonts w:ascii="Times New Roman" w:hAnsi="Times New Roman" w:eastAsia="华文楷体" w:cs="Times New Roman"/>
          <w:b/>
          <w:color w:val="FF0000"/>
          <w:sz w:val="24"/>
          <w:szCs w:val="24"/>
        </w:rPr>
      </w:pPr>
      <w:r>
        <w:rPr>
          <w:rFonts w:cs="Times New Roman" w:ascii="Times New Roman" w:hAnsi="Times New Roman"/>
          <w:color w:val="FF0000"/>
          <w:sz w:val="24"/>
          <w:szCs w:val="24"/>
        </w:rPr>
        <w:t>S</w:t>
      </w:r>
      <w:r>
        <w:rPr>
          <w:rFonts w:cs="Times New Roman" w:ascii="Times New Roman" w:hAnsi="Times New Roman"/>
          <w:sz w:val="24"/>
          <w:szCs w:val="24"/>
        </w:rPr>
        <w:t xml:space="preserve">tate </w:t>
      </w:r>
      <w:r>
        <w:rPr>
          <w:rFonts w:cs="Times New Roman" w:ascii="Times New Roman" w:hAnsi="Times New Roman"/>
          <w:color w:val="FF0000"/>
          <w:sz w:val="24"/>
          <w:szCs w:val="24"/>
        </w:rPr>
        <w:t>B</w:t>
      </w:r>
      <w:r>
        <w:rPr>
          <w:rFonts w:cs="Times New Roman" w:ascii="Times New Roman" w:hAnsi="Times New Roman"/>
          <w:sz w:val="24"/>
          <w:szCs w:val="24"/>
        </w:rPr>
        <w:t xml:space="preserve">ureau of </w:t>
      </w:r>
      <w:r>
        <w:rPr>
          <w:rFonts w:cs="Times New Roman" w:ascii="Times New Roman" w:hAnsi="Times New Roman"/>
          <w:color w:val="FF0000"/>
          <w:sz w:val="24"/>
          <w:szCs w:val="24"/>
        </w:rPr>
        <w:t>T</w:t>
      </w:r>
      <w:r>
        <w:rPr>
          <w:rFonts w:cs="Times New Roman" w:ascii="Times New Roman" w:hAnsi="Times New Roman"/>
          <w:sz w:val="24"/>
          <w:szCs w:val="24"/>
        </w:rPr>
        <w:t xml:space="preserve">echnical </w:t>
      </w:r>
      <w:r>
        <w:rPr>
          <w:rFonts w:cs="Times New Roman" w:ascii="Times New Roman" w:hAnsi="Times New Roman"/>
          <w:color w:val="FF0000"/>
          <w:sz w:val="24"/>
          <w:szCs w:val="24"/>
        </w:rPr>
        <w:t>S</w:t>
      </w:r>
      <w:r>
        <w:rPr>
          <w:rFonts w:cs="Times New Roman" w:ascii="Times New Roman" w:hAnsi="Times New Roman"/>
          <w:sz w:val="24"/>
          <w:szCs w:val="24"/>
        </w:rPr>
        <w:t xml:space="preserve">upervision. </w:t>
      </w:r>
      <w:r>
        <w:rPr>
          <w:rFonts w:cs="Times New Roman" w:ascii="Times New Roman" w:hAnsi="Times New Roman"/>
          <w:color w:val="FF0000"/>
          <w:sz w:val="24"/>
          <w:szCs w:val="24"/>
        </w:rPr>
        <w:t>R</w:t>
      </w:r>
      <w:r>
        <w:rPr>
          <w:rFonts w:cs="Times New Roman" w:ascii="Times New Roman" w:hAnsi="Times New Roman"/>
          <w:sz w:val="24"/>
          <w:szCs w:val="24"/>
        </w:rPr>
        <w:t>ules for agricultural seed testing—Germination</w:t>
      </w:r>
      <w:r>
        <w:rPr>
          <w:rFonts w:cs="Times New Roman" w:hint="eastAsia" w:ascii="Times New Roman" w:hAnsi="Times New Roman"/>
          <w:sz w:val="24"/>
          <w:szCs w:val="24"/>
        </w:rPr>
        <w:t xml:space="preserve"> </w:t>
      </w:r>
      <w:r>
        <w:rPr>
          <w:rFonts w:cs="Times New Roman" w:ascii="Times New Roman" w:hAnsi="Times New Roman"/>
          <w:sz w:val="24"/>
          <w:szCs w:val="24"/>
        </w:rPr>
        <w:t xml:space="preserve">test: GB/T3543.41995[S]. </w:t>
      </w:r>
      <w:r>
        <w:rPr>
          <w:rFonts w:cs="Times New Roman" w:ascii="Times New Roman" w:hAnsi="Times New Roman"/>
          <w:color w:val="FF0000"/>
          <w:sz w:val="24"/>
          <w:szCs w:val="24"/>
        </w:rPr>
        <w:t>B</w:t>
      </w:r>
      <w:r>
        <w:rPr>
          <w:rFonts w:cs="Times New Roman" w:ascii="Times New Roman" w:hAnsi="Times New Roman"/>
          <w:sz w:val="24"/>
          <w:szCs w:val="24"/>
        </w:rPr>
        <w:t xml:space="preserve">eijing: </w:t>
      </w:r>
      <w:r>
        <w:rPr>
          <w:rFonts w:cs="Times New Roman" w:ascii="Times New Roman" w:hAnsi="Times New Roman"/>
          <w:color w:val="FF0000"/>
          <w:sz w:val="24"/>
          <w:szCs w:val="24"/>
        </w:rPr>
        <w:t>C</w:t>
      </w:r>
      <w:r>
        <w:rPr>
          <w:rFonts w:cs="Times New Roman" w:ascii="Times New Roman" w:hAnsi="Times New Roman"/>
          <w:sz w:val="24"/>
          <w:szCs w:val="24"/>
        </w:rPr>
        <w:t xml:space="preserve">hina </w:t>
      </w:r>
      <w:r>
        <w:rPr>
          <w:rFonts w:cs="Times New Roman" w:ascii="Times New Roman" w:hAnsi="Times New Roman"/>
          <w:color w:val="FF0000"/>
          <w:sz w:val="24"/>
          <w:szCs w:val="24"/>
        </w:rPr>
        <w:t>S</w:t>
      </w:r>
      <w:r>
        <w:rPr>
          <w:rFonts w:cs="Times New Roman" w:ascii="Times New Roman" w:hAnsi="Times New Roman"/>
          <w:sz w:val="24"/>
          <w:szCs w:val="24"/>
        </w:rPr>
        <w:t xml:space="preserve">tandard </w:t>
      </w:r>
      <w:r>
        <w:rPr>
          <w:rFonts w:cs="Times New Roman" w:ascii="Times New Roman" w:hAnsi="Times New Roman"/>
          <w:color w:val="FF0000"/>
          <w:sz w:val="24"/>
          <w:szCs w:val="24"/>
        </w:rPr>
        <w:t>P</w:t>
      </w:r>
      <w:r>
        <w:rPr>
          <w:rFonts w:cs="Times New Roman" w:ascii="Times New Roman" w:hAnsi="Times New Roman"/>
          <w:sz w:val="24"/>
          <w:szCs w:val="24"/>
        </w:rPr>
        <w:t>ress, 1995.</w:t>
      </w:r>
    </w:p>
    <w:p>
      <w:pPr>
        <w:pStyle w:val="TextofReference"/>
        <w:numPr>
          <w:ilvl w:val="0"/>
          <w:numId w:val="2"/>
        </w:numPr>
        <w:spacing w:lineRule="auto" w:line="360"/>
        <w:ind w:hanging="0" w:start="0" w:end="0"/>
        <w:rPr>
          <w:rFonts w:eastAsia="华文楷体"/>
          <w:b/>
          <w:color w:val="FF0000"/>
          <w:kern w:val="2"/>
          <w:sz w:val="24"/>
          <w:szCs w:val="24"/>
        </w:rPr>
      </w:pPr>
      <w:r>
        <w:rPr>
          <w:rFonts w:eastAsia="华文楷体"/>
          <w:b/>
          <w:color w:val="FF0000"/>
          <w:kern w:val="2"/>
          <w:sz w:val="24"/>
          <w:szCs w:val="24"/>
        </w:rPr>
        <w:t>会议文集中析出的文献</w:t>
      </w:r>
    </w:p>
    <w:p>
      <w:pPr>
        <w:pStyle w:val="Normal"/>
        <w:spacing w:lineRule="auto" w:line="360"/>
        <w:rPr>
          <w:rFonts w:hint="eastAsia"/>
          <w:sz w:val="24"/>
        </w:rPr>
      </w:pPr>
      <w:r>
        <w:rPr>
          <w:rFonts w:hint="eastAsia"/>
          <w:sz w:val="24"/>
        </w:rPr>
        <w:t xml:space="preserve">[1] </w:t>
      </w:r>
      <w:r>
        <w:rPr>
          <w:rFonts w:hint="eastAsia"/>
          <w:sz w:val="24"/>
        </w:rPr>
        <w:t>张阁</w:t>
      </w:r>
      <w:r>
        <w:rPr>
          <w:rFonts w:hint="eastAsia"/>
          <w:sz w:val="24"/>
        </w:rPr>
        <w:t xml:space="preserve">, </w:t>
      </w:r>
      <w:r>
        <w:rPr>
          <w:rFonts w:hint="eastAsia"/>
          <w:sz w:val="24"/>
        </w:rPr>
        <w:t>陈珂</w:t>
      </w:r>
      <w:r>
        <w:rPr>
          <w:rFonts w:hint="eastAsia"/>
          <w:sz w:val="24"/>
        </w:rPr>
        <w:t xml:space="preserve">, </w:t>
      </w:r>
      <w:r>
        <w:rPr>
          <w:rFonts w:hint="eastAsia"/>
          <w:sz w:val="24"/>
        </w:rPr>
        <w:t>耿昌乐</w:t>
      </w:r>
      <w:r>
        <w:rPr>
          <w:rFonts w:hint="eastAsia"/>
          <w:sz w:val="24"/>
        </w:rPr>
        <w:t xml:space="preserve">, </w:t>
      </w:r>
      <w:r>
        <w:rPr>
          <w:rFonts w:hint="eastAsia"/>
          <w:sz w:val="24"/>
        </w:rPr>
        <w:t>等</w:t>
      </w:r>
      <w:r>
        <w:rPr>
          <w:rFonts w:hint="eastAsia"/>
          <w:sz w:val="24"/>
        </w:rPr>
        <w:t>. MIR-01</w:t>
      </w:r>
      <w:r>
        <w:rPr>
          <w:rFonts w:hint="eastAsia"/>
          <w:sz w:val="24"/>
        </w:rPr>
        <w:t>机制雪茄烟卷制机内胚烟重量特性研究</w:t>
      </w:r>
      <w:r>
        <w:rPr>
          <w:rFonts w:hint="eastAsia"/>
          <w:sz w:val="24"/>
        </w:rPr>
        <w:t>[C]//</w:t>
      </w:r>
      <w:r>
        <w:rPr>
          <w:rFonts w:hint="eastAsia"/>
          <w:sz w:val="24"/>
        </w:rPr>
        <w:t>山东省烟草学会</w:t>
      </w:r>
      <w:r>
        <w:rPr>
          <w:rFonts w:hint="eastAsia"/>
          <w:sz w:val="24"/>
        </w:rPr>
        <w:t>2017</w:t>
      </w:r>
      <w:r>
        <w:rPr>
          <w:rFonts w:hint="eastAsia"/>
          <w:sz w:val="24"/>
        </w:rPr>
        <w:t>年论文集</w:t>
      </w:r>
      <w:r>
        <w:rPr>
          <w:rFonts w:hint="eastAsia"/>
          <w:sz w:val="24"/>
        </w:rPr>
        <w:t xml:space="preserve">. </w:t>
      </w:r>
      <w:r>
        <w:rPr>
          <w:rFonts w:hint="eastAsia"/>
          <w:sz w:val="24"/>
        </w:rPr>
        <w:t>济南</w:t>
      </w:r>
      <w:r>
        <w:rPr>
          <w:rFonts w:hint="eastAsia"/>
          <w:sz w:val="24"/>
        </w:rPr>
        <w:t xml:space="preserve">: </w:t>
      </w:r>
      <w:r>
        <w:rPr>
          <w:rFonts w:hint="eastAsia"/>
          <w:sz w:val="24"/>
        </w:rPr>
        <w:t>山东省烟草学会</w:t>
      </w:r>
      <w:r>
        <w:rPr>
          <w:rFonts w:hint="eastAsia"/>
          <w:sz w:val="24"/>
        </w:rPr>
        <w:t>, 2017.</w:t>
      </w:r>
    </w:p>
    <w:p>
      <w:pPr>
        <w:pStyle w:val="Normal"/>
        <w:spacing w:lineRule="auto" w:line="360"/>
        <w:rPr>
          <w:rFonts w:hint="eastAsia"/>
          <w:sz w:val="24"/>
        </w:rPr>
      </w:pPr>
      <w:r>
        <w:rPr>
          <w:rFonts w:hint="eastAsia"/>
          <w:color w:val="FF0000"/>
          <w:sz w:val="24"/>
        </w:rPr>
        <w:t>ZHANG</w:t>
      </w:r>
      <w:r>
        <w:rPr>
          <w:rFonts w:hint="eastAsia"/>
          <w:sz w:val="24"/>
        </w:rPr>
        <w:t xml:space="preserve"> </w:t>
      </w:r>
      <w:r>
        <w:rPr>
          <w:rFonts w:hint="eastAsia"/>
          <w:color w:val="FF0000"/>
          <w:sz w:val="24"/>
        </w:rPr>
        <w:t>G</w:t>
      </w:r>
      <w:r>
        <w:rPr>
          <w:rFonts w:hint="eastAsia"/>
          <w:sz w:val="24"/>
        </w:rPr>
        <w:t xml:space="preserve">e, </w:t>
      </w:r>
      <w:r>
        <w:rPr>
          <w:rFonts w:hint="eastAsia"/>
          <w:color w:val="FF0000"/>
          <w:sz w:val="24"/>
        </w:rPr>
        <w:t>CHEN K</w:t>
      </w:r>
      <w:r>
        <w:rPr>
          <w:rFonts w:hint="eastAsia"/>
          <w:sz w:val="24"/>
        </w:rPr>
        <w:t xml:space="preserve">e, </w:t>
      </w:r>
      <w:r>
        <w:rPr>
          <w:rFonts w:hint="eastAsia"/>
          <w:color w:val="FF0000"/>
          <w:sz w:val="24"/>
        </w:rPr>
        <w:t>GENG</w:t>
      </w:r>
      <w:r>
        <w:rPr>
          <w:rFonts w:hint="eastAsia"/>
          <w:sz w:val="24"/>
        </w:rPr>
        <w:t xml:space="preserve"> </w:t>
      </w:r>
      <w:r>
        <w:rPr>
          <w:rFonts w:hint="eastAsia"/>
          <w:color w:val="FF0000"/>
          <w:sz w:val="24"/>
        </w:rPr>
        <w:t>C</w:t>
      </w:r>
      <w:r>
        <w:rPr>
          <w:rFonts w:hint="eastAsia"/>
          <w:sz w:val="24"/>
        </w:rPr>
        <w:t>hangle, et al. Study on mass characteristics of cigar filler produced by MIR-01 cigar making machine[C]</w:t>
      </w:r>
      <w:r>
        <w:rPr>
          <w:rFonts w:hint="eastAsia"/>
          <w:color w:val="FF0000"/>
          <w:sz w:val="24"/>
        </w:rPr>
        <w:t>//P</w:t>
      </w:r>
      <w:r>
        <w:rPr>
          <w:rFonts w:hint="eastAsia"/>
          <w:sz w:val="24"/>
        </w:rPr>
        <w:t xml:space="preserve">roceedings of </w:t>
      </w:r>
      <w:r>
        <w:rPr>
          <w:rFonts w:hint="eastAsia"/>
          <w:color w:val="FF0000"/>
          <w:sz w:val="24"/>
        </w:rPr>
        <w:t>S</w:t>
      </w:r>
      <w:r>
        <w:rPr>
          <w:rFonts w:hint="eastAsia"/>
          <w:sz w:val="24"/>
        </w:rPr>
        <w:t xml:space="preserve">handong </w:t>
      </w:r>
      <w:r>
        <w:rPr>
          <w:rFonts w:hint="eastAsia"/>
          <w:color w:val="FF0000"/>
          <w:sz w:val="24"/>
        </w:rPr>
        <w:t>T</w:t>
      </w:r>
      <w:r>
        <w:rPr>
          <w:rFonts w:hint="eastAsia"/>
          <w:sz w:val="24"/>
        </w:rPr>
        <w:t xml:space="preserve">obacco </w:t>
      </w:r>
      <w:r>
        <w:rPr>
          <w:rFonts w:hint="eastAsia"/>
          <w:color w:val="FF0000"/>
          <w:sz w:val="24"/>
        </w:rPr>
        <w:t>S</w:t>
      </w:r>
      <w:r>
        <w:rPr>
          <w:rFonts w:hint="eastAsia"/>
          <w:sz w:val="24"/>
        </w:rPr>
        <w:t xml:space="preserve">ociety 2017, Jinan: Shandong Tobacco Society, 2017. </w:t>
      </w:r>
    </w:p>
    <w:p>
      <w:pPr>
        <w:pStyle w:val="Normal"/>
        <w:numPr>
          <w:ilvl w:val="0"/>
          <w:numId w:val="1"/>
        </w:numPr>
        <w:spacing w:lineRule="auto" w:line="360"/>
        <w:rPr>
          <w:sz w:val="24"/>
        </w:rPr>
      </w:pPr>
      <w:r>
        <w:rPr>
          <w:rFonts w:hint="eastAsia"/>
          <w:color w:val="FF0000"/>
          <w:sz w:val="24"/>
        </w:rPr>
        <w:t>DAVIS M</w:t>
      </w:r>
      <w:r>
        <w:rPr>
          <w:rFonts w:hint="eastAsia"/>
          <w:color w:val="000000"/>
          <w:sz w:val="24"/>
        </w:rPr>
        <w:t>,</w:t>
      </w:r>
      <w:r>
        <w:rPr>
          <w:rFonts w:hint="eastAsia"/>
          <w:sz w:val="24"/>
        </w:rPr>
        <w:t xml:space="preserve"> </w:t>
      </w:r>
      <w:r>
        <w:rPr>
          <w:rFonts w:hint="eastAsia"/>
          <w:color w:val="FF0000"/>
          <w:sz w:val="24"/>
        </w:rPr>
        <w:t>TAYLOR R</w:t>
      </w:r>
      <w:r>
        <w:rPr>
          <w:rFonts w:hint="eastAsia"/>
          <w:sz w:val="24"/>
        </w:rPr>
        <w:t>. Formation of tobacco-specific nitrosamines during curing processes[C]//Proceedings of the 65th CORESTA Congress. Kyoto: Springer, 2024.</w:t>
      </w:r>
    </w:p>
    <w:p>
      <w:pPr>
        <w:pStyle w:val="Style25"/>
        <w:snapToGrid w:val="false"/>
        <w:spacing w:lineRule="auto" w:line="360"/>
        <w:rPr>
          <w:rFonts w:ascii="Times New Roman" w:hAnsi="Times New Roman" w:eastAsia="华文楷体" w:cs="Times New Roman"/>
          <w:b/>
          <w:color w:val="FF0000"/>
          <w:sz w:val="22"/>
          <w:szCs w:val="22"/>
        </w:rPr>
      </w:pPr>
      <w:r>
        <w:rPr>
          <w:rFonts w:ascii="Times New Roman" w:hAnsi="Times New Roman" w:cs="Times New Roman" w:hint="eastAsia"/>
          <w:sz w:val="22"/>
          <w:szCs w:val="22"/>
        </w:rPr>
        <w:t>注：有出版社注明出版社，无出版社注明会议主办方</w:t>
      </w:r>
    </w:p>
    <w:p>
      <w:pPr>
        <w:pStyle w:val="TextofReference"/>
        <w:numPr>
          <w:ilvl w:val="0"/>
          <w:numId w:val="2"/>
        </w:numPr>
        <w:spacing w:lineRule="auto" w:line="360"/>
        <w:ind w:hanging="0" w:start="0" w:end="0"/>
        <w:rPr>
          <w:rFonts w:eastAsia="华文楷体"/>
          <w:b/>
          <w:color w:val="FF0000"/>
          <w:kern w:val="2"/>
          <w:sz w:val="24"/>
          <w:szCs w:val="24"/>
        </w:rPr>
      </w:pPr>
      <w:r>
        <w:rPr>
          <w:rFonts w:eastAsia="华文楷体"/>
          <w:b/>
          <w:color w:val="FF0000"/>
          <w:kern w:val="2"/>
          <w:sz w:val="24"/>
          <w:szCs w:val="24"/>
        </w:rPr>
        <w:t>专利文献</w:t>
      </w:r>
    </w:p>
    <w:p>
      <w:pPr>
        <w:pStyle w:val="Normal"/>
        <w:spacing w:lineRule="auto" w:line="360"/>
        <w:rPr>
          <w:rFonts w:hint="eastAsia"/>
          <w:sz w:val="24"/>
        </w:rPr>
      </w:pPr>
      <w:r>
        <w:rPr>
          <w:rFonts w:hint="eastAsia"/>
          <w:sz w:val="24"/>
        </w:rPr>
        <w:t xml:space="preserve">[1] </w:t>
      </w:r>
      <w:r>
        <w:rPr>
          <w:rFonts w:hint="eastAsia"/>
          <w:sz w:val="24"/>
        </w:rPr>
        <w:t>韦策尔</w:t>
      </w:r>
      <w:r>
        <w:rPr>
          <w:rFonts w:hint="eastAsia"/>
          <w:sz w:val="24"/>
        </w:rPr>
        <w:t xml:space="preserve">P, </w:t>
      </w:r>
      <w:r>
        <w:rPr>
          <w:rFonts w:hint="eastAsia"/>
          <w:sz w:val="24"/>
        </w:rPr>
        <w:t>比勒</w:t>
      </w:r>
      <w:r>
        <w:rPr>
          <w:rFonts w:hint="eastAsia"/>
          <w:sz w:val="24"/>
        </w:rPr>
        <w:t xml:space="preserve">F. </w:t>
      </w:r>
      <w:r>
        <w:rPr>
          <w:rFonts w:hint="eastAsia"/>
          <w:sz w:val="24"/>
        </w:rPr>
        <w:t>制备烟草混合物的方法及相关设备</w:t>
      </w:r>
      <w:r>
        <w:rPr>
          <w:rFonts w:hint="eastAsia"/>
          <w:sz w:val="24"/>
        </w:rPr>
        <w:t xml:space="preserve">: CN102036574B [P]. 2013-08-28. </w:t>
      </w:r>
    </w:p>
    <w:p>
      <w:pPr>
        <w:pStyle w:val="Normal"/>
        <w:spacing w:lineRule="auto" w:line="360"/>
        <w:rPr>
          <w:sz w:val="24"/>
        </w:rPr>
      </w:pPr>
      <w:r>
        <w:rPr>
          <w:rFonts w:hint="eastAsia"/>
          <w:color w:val="FF0000"/>
          <w:sz w:val="24"/>
        </w:rPr>
        <w:t>WITZEL P</w:t>
      </w:r>
      <w:r>
        <w:rPr>
          <w:rFonts w:hint="eastAsia"/>
          <w:sz w:val="24"/>
        </w:rPr>
        <w:t xml:space="preserve">, </w:t>
      </w:r>
      <w:r>
        <w:rPr>
          <w:rFonts w:hint="eastAsia"/>
          <w:color w:val="FF0000"/>
          <w:sz w:val="24"/>
        </w:rPr>
        <w:t>BEAHLER F</w:t>
      </w:r>
      <w:r>
        <w:rPr>
          <w:rFonts w:hint="eastAsia"/>
          <w:sz w:val="24"/>
        </w:rPr>
        <w:t xml:space="preserve">. A relating equipment and method of preparation tobacco mixtures: CN 102036574B[P]. 2013-08-28. </w:t>
      </w:r>
    </w:p>
    <w:p>
      <w:pPr>
        <w:pStyle w:val="TextofReference"/>
        <w:numPr>
          <w:ilvl w:val="0"/>
          <w:numId w:val="0"/>
        </w:numPr>
        <w:spacing w:lineRule="auto" w:line="360"/>
        <w:ind w:hanging="0" w:start="0"/>
        <w:rPr>
          <w:rFonts w:eastAsia="华文楷体"/>
          <w:b/>
          <w:color w:val="FF0000"/>
          <w:kern w:val="2"/>
          <w:sz w:val="24"/>
          <w:szCs w:val="24"/>
        </w:rPr>
      </w:pPr>
      <w:r>
        <w:rPr>
          <w:rFonts w:hint="eastAsia"/>
          <w:sz w:val="24"/>
          <w:szCs w:val="24"/>
        </w:rPr>
        <w:t xml:space="preserve">[2] </w:t>
      </w:r>
      <w:r>
        <w:rPr>
          <w:rFonts w:hint="eastAsia"/>
          <w:color w:val="FF0000"/>
          <w:sz w:val="24"/>
          <w:szCs w:val="24"/>
        </w:rPr>
        <w:t>JOHNSON T</w:t>
      </w:r>
      <w:r>
        <w:rPr>
          <w:rFonts w:hint="eastAsia"/>
          <w:sz w:val="24"/>
          <w:szCs w:val="24"/>
        </w:rPr>
        <w:t>. Method for reducing TSNA formation in tobacco leaves: US 11234567B2[P]. 2023-05-11</w:t>
      </w:r>
    </w:p>
    <w:p>
      <w:pPr>
        <w:pStyle w:val="TextofReference"/>
        <w:numPr>
          <w:ilvl w:val="0"/>
          <w:numId w:val="2"/>
        </w:numPr>
        <w:spacing w:lineRule="auto" w:line="360"/>
        <w:ind w:hanging="0" w:start="0" w:end="0"/>
        <w:rPr>
          <w:rFonts w:eastAsia="华文楷体"/>
          <w:b/>
          <w:color w:val="FF0000"/>
          <w:kern w:val="2"/>
          <w:sz w:val="24"/>
          <w:szCs w:val="24"/>
        </w:rPr>
      </w:pPr>
      <w:r>
        <w:rPr>
          <w:rFonts w:eastAsia="华文楷体"/>
          <w:b/>
          <w:color w:val="FF0000"/>
          <w:kern w:val="2"/>
          <w:sz w:val="24"/>
          <w:szCs w:val="24"/>
        </w:rPr>
        <w:t>网络文章等电子资源文献：</w:t>
      </w:r>
    </w:p>
    <w:p>
      <w:pPr>
        <w:pStyle w:val="Normal"/>
        <w:spacing w:lineRule="auto" w:line="360"/>
        <w:rPr>
          <w:rFonts w:hint="eastAsia"/>
          <w:sz w:val="24"/>
        </w:rPr>
      </w:pPr>
      <w:r>
        <w:rPr>
          <w:rFonts w:hint="eastAsia"/>
          <w:sz w:val="24"/>
        </w:rPr>
        <w:t xml:space="preserve">[1] </w:t>
      </w:r>
      <w:r>
        <w:rPr>
          <w:rFonts w:hint="eastAsia"/>
          <w:sz w:val="24"/>
        </w:rPr>
        <w:t>侯延琨</w:t>
      </w:r>
      <w:r>
        <w:rPr>
          <w:rFonts w:hint="eastAsia"/>
          <w:sz w:val="24"/>
        </w:rPr>
        <w:t xml:space="preserve">. </w:t>
      </w:r>
      <w:r>
        <w:rPr>
          <w:rFonts w:hint="eastAsia"/>
          <w:sz w:val="24"/>
        </w:rPr>
        <w:t>中国创新潮出现在哪些领域？</w:t>
      </w:r>
      <w:r>
        <w:rPr>
          <w:rFonts w:hint="eastAsia"/>
          <w:sz w:val="24"/>
        </w:rPr>
        <w:t>[N/OL]. FT</w:t>
      </w:r>
      <w:r>
        <w:rPr>
          <w:rFonts w:hint="eastAsia"/>
          <w:sz w:val="24"/>
        </w:rPr>
        <w:t>中文网</w:t>
      </w:r>
      <w:r>
        <w:rPr>
          <w:rFonts w:hint="eastAsia"/>
          <w:sz w:val="24"/>
        </w:rPr>
        <w:t xml:space="preserve">. (2018-01-25)[2019-04-24]. </w:t>
      </w:r>
      <w:hyperlink r:id="rId3">
        <w:r>
          <w:rPr>
            <w:rStyle w:val="Hyperlink"/>
            <w:rFonts w:hint="eastAsia"/>
            <w:sz w:val="24"/>
          </w:rPr>
          <w:t>http://www.ftchinese.com/story/001076032?page=1&amp;archive.</w:t>
        </w:r>
      </w:hyperlink>
    </w:p>
    <w:p>
      <w:pPr>
        <w:pStyle w:val="TextofReference"/>
        <w:numPr>
          <w:ilvl w:val="0"/>
          <w:numId w:val="0"/>
        </w:numPr>
        <w:spacing w:lineRule="auto" w:line="360"/>
        <w:ind w:hanging="0" w:start="0"/>
        <w:rPr>
          <w:rFonts w:hint="eastAsia"/>
          <w:sz w:val="24"/>
          <w:szCs w:val="24"/>
        </w:rPr>
      </w:pPr>
      <w:r>
        <w:rPr>
          <w:rFonts w:hint="eastAsia"/>
          <w:sz w:val="24"/>
          <w:szCs w:val="24"/>
        </w:rPr>
        <w:t xml:space="preserve">[2] SMITH J, JOHNSON M. The future of sustainable tobacco farming [EB/OL]. (2023-05-12) [2025-11-13]. </w:t>
      </w:r>
      <w:hyperlink r:id="rId4">
        <w:r>
          <w:rPr>
            <w:rStyle w:val="Hyperlink"/>
            <w:rFonts w:hint="eastAsia"/>
            <w:sz w:val="24"/>
            <w:szCs w:val="24"/>
          </w:rPr>
          <w:t>https://www.example-sustainable-tobacco-2023.</w:t>
        </w:r>
      </w:hyperlink>
    </w:p>
    <w:p>
      <w:pPr>
        <w:pStyle w:val="TextofReference"/>
        <w:numPr>
          <w:ilvl w:val="0"/>
          <w:numId w:val="0"/>
        </w:numPr>
        <w:spacing w:lineRule="auto" w:line="360"/>
        <w:ind w:hanging="0" w:start="0"/>
        <w:rPr>
          <w:rFonts w:hint="eastAsia"/>
          <w:sz w:val="24"/>
          <w:szCs w:val="24"/>
        </w:rPr>
      </w:pPr>
      <w:r>
        <w:rPr>
          <w:rFonts w:hint="eastAsia"/>
          <w:sz w:val="24"/>
          <w:szCs w:val="24"/>
        </w:rPr>
      </w:r>
    </w:p>
    <w:p>
      <w:pPr>
        <w:pStyle w:val="TextofReference"/>
        <w:numPr>
          <w:ilvl w:val="0"/>
          <w:numId w:val="0"/>
        </w:numPr>
        <w:spacing w:lineRule="auto" w:line="360"/>
        <w:ind w:hanging="0" w:start="0"/>
        <w:rPr/>
      </w:pPr>
      <w:r>
        <w:rPr>
          <w:rFonts w:hint="eastAsia"/>
          <w:sz w:val="24"/>
          <w:szCs w:val="24"/>
        </w:rPr>
        <w:t>注：请注意以上标红处格式；本刊亦在官网上更新了</w:t>
      </w:r>
      <w:r>
        <w:rPr>
          <w:rFonts w:hint="eastAsia"/>
          <w:b/>
          <w:bCs/>
          <w:color w:val="FF0000"/>
          <w:sz w:val="24"/>
          <w:szCs w:val="24"/>
          <w:highlight w:val="yellow"/>
        </w:rPr>
        <w:t>《中国烟草学报》论文写作规范清单</w:t>
      </w:r>
      <w:r>
        <w:rPr>
          <w:rFonts w:hint="eastAsia"/>
          <w:b/>
          <w:bCs/>
          <w:color w:val="FF0000"/>
          <w:sz w:val="24"/>
          <w:szCs w:val="24"/>
          <w:highlight w:val="yellow"/>
        </w:rPr>
        <w:t>2025</w:t>
      </w:r>
      <w:r>
        <w:rPr>
          <w:rFonts w:hint="eastAsia"/>
          <w:sz w:val="24"/>
          <w:szCs w:val="24"/>
        </w:rPr>
        <w:t>，请作者对照本模板和该清单核对并更正在论文写作过程中可能出现的错误。</w:t>
      </w:r>
    </w:p>
    <w:sectPr>
      <w:footerReference w:type="default" r:id="rId5"/>
      <w:type w:val="nextPage"/>
      <w:pgSz w:w="11906" w:h="16838"/>
      <w:pgMar w:left="1418" w:right="1134" w:gutter="0" w:header="0" w:top="1134" w:footer="992" w:bottom="113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宋体">
    <w:altName w:val="SimSun"/>
    <w:charset w:val="86"/>
    <w:family w:val="auto"/>
    <w:pitch w:val="variable"/>
  </w:font>
  <w:font w:name="Arial">
    <w:charset w:val="86"/>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fldChar w:fldCharType="begin"/>
    </w:r>
    <w:r>
      <w:rPr/>
      <w:instrText xml:space="preserve"> PAGE </w:instrText>
    </w:r>
    <w:r>
      <w:rPr/>
      <w:fldChar w:fldCharType="separate"/>
    </w:r>
    <w:r>
      <w:rPr/>
      <w:t>13</w:t>
    </w:r>
    <w:r>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
    </w:rPr>
  </w:style>
  <w:style w:type="character" w:styleId="WW8Num6z0">
    <w:name w:val="WW8Num6z0"/>
    <w:qFormat/>
    <w:rPr/>
  </w:style>
  <w:style w:type="character" w:styleId="WW8Num7z0">
    <w:name w:val="WW8Num7z0"/>
    <w:qFormat/>
    <w:rPr>
      <w:rFonts w:ascii="Times New Roman" w:hAnsi="Times New Roman" w:eastAsia="宋体;SimSun"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Style15">
    <w:name w:val="批注文字 字符"/>
    <w:qFormat/>
    <w:rPr>
      <w:kern w:val="2"/>
      <w:sz w:val="21"/>
      <w:szCs w:val="24"/>
    </w:rPr>
  </w:style>
  <w:style w:type="character" w:styleId="Style16">
    <w:name w:val="纯文本 字符"/>
    <w:qFormat/>
    <w:rPr>
      <w:rFonts w:ascii="宋体;SimSun" w:hAnsi="宋体;SimSun" w:cs="Courier New"/>
      <w:kern w:val="2"/>
      <w:sz w:val="21"/>
      <w:szCs w:val="21"/>
    </w:rPr>
  </w:style>
  <w:style w:type="character" w:styleId="Style17">
    <w:name w:val="批注框文本 字符"/>
    <w:qFormat/>
    <w:rPr>
      <w:kern w:val="2"/>
      <w:sz w:val="18"/>
      <w:szCs w:val="18"/>
    </w:rPr>
  </w:style>
  <w:style w:type="character" w:styleId="Style18">
    <w:name w:val="页脚 字符"/>
    <w:qFormat/>
    <w:rPr>
      <w:sz w:val="15"/>
      <w:szCs w:val="18"/>
      <w:lang w:bidi="ar-SA"/>
    </w:rPr>
  </w:style>
  <w:style w:type="character" w:styleId="Style19">
    <w:name w:val="页眉 字符"/>
    <w:qFormat/>
    <w:rPr>
      <w:kern w:val="2"/>
      <w:sz w:val="18"/>
      <w:szCs w:val="18"/>
    </w:rPr>
  </w:style>
  <w:style w:type="character" w:styleId="HTML">
    <w:name w:val="HTML 预设格式 字符"/>
    <w:qFormat/>
    <w:rPr>
      <w:rFonts w:ascii="宋体;SimSun" w:hAnsi="宋体;SimSun" w:cs="宋体;SimSun"/>
      <w:sz w:val="24"/>
      <w:szCs w:val="24"/>
    </w:rPr>
  </w:style>
  <w:style w:type="character" w:styleId="Style20">
    <w:name w:val="批注主题 字符"/>
    <w:qFormat/>
    <w:rPr>
      <w:b/>
      <w:bCs/>
    </w:rPr>
  </w:style>
  <w:style w:type="character" w:styleId="Hyperlink">
    <w:name w:val="Hyperlink"/>
    <w:rPr>
      <w:color w:val="0000FF"/>
      <w:u w:val="single"/>
    </w:rPr>
  </w:style>
  <w:style w:type="character" w:styleId="Style21">
    <w:name w:val="批注引用"/>
    <w:qFormat/>
    <w:rPr>
      <w:sz w:val="21"/>
      <w:szCs w:val="21"/>
    </w:rPr>
  </w:style>
  <w:style w:type="paragraph" w:styleId="Style22">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3">
    <w:name w:val="索引"/>
    <w:basedOn w:val="Normal"/>
    <w:qFormat/>
    <w:pPr>
      <w:suppressLineNumbers/>
    </w:pPr>
    <w:rPr>
      <w:rFonts w:cs="Lucida Sans"/>
    </w:rPr>
  </w:style>
  <w:style w:type="paragraph" w:styleId="Style24">
    <w:name w:val="批注文字"/>
    <w:basedOn w:val="Normal"/>
    <w:qFormat/>
    <w:pPr>
      <w:jc w:val="start"/>
    </w:pPr>
    <w:rPr/>
  </w:style>
  <w:style w:type="paragraph" w:styleId="Style25">
    <w:name w:val="纯文本"/>
    <w:basedOn w:val="Normal"/>
    <w:qFormat/>
    <w:pPr/>
    <w:rPr>
      <w:rFonts w:ascii="宋体;SimSun" w:hAnsi="宋体;SimSun" w:cs="Courier New"/>
      <w:szCs w:val="21"/>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SimSun"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28">
    <w:name w:val="批注主题"/>
    <w:basedOn w:val="Style24"/>
    <w:next w:val="Style24"/>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SimHei"/>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29">
    <w:name w:val="列表段落"/>
    <w:basedOn w:val="Normal"/>
    <w:qFormat/>
    <w:pPr>
      <w:ind w:firstLineChars="200" w:startChars="0" w:start="0" w:endChars="0" w:end="0"/>
    </w:pPr>
    <w:rPr>
      <w:rFonts w:ascii="等线;DengXian" w:hAnsi="等线;DengXian" w:eastAsia="等线;DengXian" w:cs="等线;DengXian"/>
      <w:szCs w:val="22"/>
    </w:rPr>
  </w:style>
  <w:style w:type="paragraph" w:styleId="Pa0">
    <w:name w:val="Pa0"/>
    <w:basedOn w:val="Normal"/>
    <w:next w:val="Normal"/>
    <w:qFormat/>
    <w:pPr>
      <w:autoSpaceDE w:val="false"/>
      <w:spacing w:lineRule="atLeast" w:line="211"/>
      <w:jc w:val="start"/>
    </w:pPr>
    <w:rPr>
      <w:rFonts w:ascii="宋体;SimSun" w:hAnsi="宋体;SimSun"/>
      <w:kern w:val="0"/>
      <w:sz w:val="24"/>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2019-09-02T18:43:00Z</dcterms:created>
  <dc:creator>DELL</dc:creator>
  <dc:description/>
  <cp:keywords/>
  <dc:language>zh-CN</dc:language>
  <cp:lastModifiedBy>皮 竽 皮</cp:lastModifiedBy>
  <cp:lastPrinted>2019-08-08T18:39:00Z</cp:lastPrinted>
  <dcterms:modified xsi:type="dcterms:W3CDTF">2026-08-23T12:28:00Z</dcterms:modified>
  <cp:revision>2</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