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4.png" ContentType="image/png"/>
  <Override PartName="/word/media/rId27.png" ContentType="image/png"/>
  <Override PartName="/word/media/rId34.png" ContentType="image/png"/>
  <Override PartName="/word/media/rId37.png" ContentType="image/png"/>
  <Override PartName="/word/media/rId40.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基于因果森林的卷烟品规供给收缩异质性排序</w:t>
      </w:r>
    </w:p>
    <w:bookmarkStart w:id="9" w:name="基于因果森林的卷烟品规供给收缩异质性排序"/>
    <w:p>
      <w:pPr>
        <w:pStyle w:val="Heading1"/>
      </w:pPr>
      <w:r>
        <w:rPr>
          <w:rFonts w:hint="eastAsia"/>
        </w:rPr>
        <w:t xml:space="preserve">基于因果森林的卷烟品规供给收缩异质性排序</w:t>
      </w:r>
    </w:p>
    <w:p>
      <w:pPr>
        <w:pStyle w:val="FirstParagraph"/>
      </w:pPr>
      <w:r>
        <w:t xml:space="preserve">Heterogeneous ranking of cigarette specifications under supply contraction based on a causal forest</w:t>
      </w:r>
    </w:p>
    <w:p>
      <w:pPr>
        <w:pStyle w:val="BodyText"/>
      </w:pPr>
      <w:r>
        <w:rPr>
          <w:rFonts w:hint="eastAsia"/>
        </w:rPr>
        <w:t xml:space="preserve">作者：［请填写真实作者姓名，作者之间用中文逗号分隔］</w:t>
      </w:r>
    </w:p>
    <w:p>
      <w:pPr>
        <w:pStyle w:val="BodyText"/>
      </w:pPr>
      <w:r>
        <w:rPr>
          <w:rFonts w:hint="eastAsia"/>
        </w:rPr>
        <w:t xml:space="preserve">单位：［请填写单位全称、部门全称、省市通讯地址、邮政编码］</w:t>
      </w:r>
    </w:p>
    <w:p>
      <w:pPr>
        <w:pStyle w:val="BodyText"/>
      </w:pPr>
      <w:r>
        <w:rPr>
          <w:rFonts w:hint="eastAsia"/>
        </w:rPr>
        <w:t xml:space="preserve">基金项目：［请填写基金项目全称及合同编号；无基金项目请删除本行］</w:t>
      </w:r>
    </w:p>
    <w:p>
      <w:pPr>
        <w:pStyle w:val="BodyText"/>
      </w:pPr>
      <w:r>
        <w:rPr>
          <w:rFonts w:hint="eastAsia"/>
        </w:rPr>
        <w:t xml:space="preserve">作者简介：［姓名（出生年—），最高学历，职称，主要研究方向，Tel，Email］</w:t>
      </w:r>
    </w:p>
    <w:p>
      <w:pPr>
        <w:pStyle w:val="BodyText"/>
      </w:pPr>
      <w:r>
        <w:rPr>
          <w:rFonts w:hint="eastAsia"/>
        </w:rPr>
        <w:t xml:space="preserve">通信作者：［姓名（出生年—），最高学历，职称，主要研究方向，Tel，Email］</w:t>
      </w:r>
    </w:p>
    <w:p>
      <w:pPr>
        <w:pStyle w:val="BodyText"/>
      </w:pPr>
      <w:r>
        <w:rPr>
          <w:rFonts w:hint="eastAsia"/>
        </w:rPr>
        <w:t xml:space="preserve">收稿日期：由编辑部填写</w:t>
      </w:r>
      <w:r>
        <w:t xml:space="preserve">　　</w:t>
      </w:r>
      <w:r>
        <w:rPr>
          <w:rFonts w:hint="eastAsia"/>
        </w:rPr>
        <w:t xml:space="preserve">中图分类号：F713.5；TP399</w:t>
      </w:r>
      <w:r>
        <w:t xml:space="preserve">　　</w:t>
      </w:r>
      <w:r>
        <w:rPr>
          <w:rFonts w:hint="eastAsia"/>
        </w:rPr>
        <w:t xml:space="preserve">文献标志码：A</w:t>
      </w:r>
    </w:p>
    <w:p>
      <w:pPr>
        <w:pStyle w:val="BodyText"/>
      </w:pPr>
      <w:r>
        <w:rPr>
          <w:rFonts w:hint="eastAsia"/>
        </w:rPr>
        <w:t xml:space="preserve">摘</w:t>
      </w:r>
      <w:r>
        <w:t xml:space="preserve">　</w:t>
      </w:r>
      <w:r>
        <w:rPr>
          <w:rFonts w:hint="eastAsia"/>
        </w:rPr>
        <w:t xml:space="preserve">要：</w:t>
      </w:r>
    </w:p>
    <w:p>
      <w:pPr>
        <w:pStyle w:val="BodyText"/>
      </w:pPr>
      <w:r>
        <w:rPr>
          <w:rFonts w:hint="eastAsia"/>
        </w:rPr>
        <w:t xml:space="preserve">【目的】识别卷烟品规对供给收缩的差异化响应，降低平均指标用于月度投放时的对象误判。</w:t>
      </w:r>
    </w:p>
    <w:p>
      <w:pPr>
        <w:pStyle w:val="BodyText"/>
      </w:pPr>
      <w:r>
        <w:rPr>
          <w:rFonts w:hint="eastAsia"/>
        </w:rPr>
        <w:t xml:space="preserve">【方法】基于某市覆盖2025年1月至2026年6月（18个月，2026年7月仅用于构造滞后结果）的203个品规、2886条品规×月份样本，以顺价、毛利、库存消化和动销构建不含订单满足率、投放量及货源利用率的结果评分；采用按品规分组交叉拟合的诚实因果森林估计条件平均处理效应，并以双向固定效应、倾向得分匹配、E-value、置换与处理前负对照检验复核。</w:t>
      </w:r>
    </w:p>
    <w:p>
      <w:pPr>
        <w:pStyle w:val="BodyText"/>
      </w:pPr>
      <w:r>
        <w:rPr>
          <w:rFonts w:hint="eastAsia"/>
        </w:rPr>
        <w:t xml:space="preserve">【结果】（1）平均处理效应为0.66，95%置信区间为-1.68～3.00，未显示普遍正向效应。（2）双向固定效应为1.20（P=0.075），阈值调整后方向一致但显著性不稳。（3）匹配后平均绝对标准化差异降至0.057，但处理前负对照显著（P&lt;0.001），表明残余选择偏差尚未排除。</w:t>
      </w:r>
    </w:p>
    <w:p>
      <w:pPr>
        <w:pStyle w:val="BodyText"/>
      </w:pPr>
      <w:r>
        <w:rPr>
          <w:rFonts w:hint="eastAsia"/>
        </w:rPr>
        <w:t xml:space="preserve">【结论】供给收缩不宜按平均效应统一执行；模型可作为品规排序和人工复核工具，但在获得真实调控幅度和前瞻试验前，不应解释为自动决策或无偏部署效果。</w:t>
      </w:r>
    </w:p>
    <w:p>
      <w:pPr>
        <w:pStyle w:val="BodyText"/>
      </w:pPr>
      <w:r>
        <w:rPr>
          <w:rFonts w:hint="eastAsia"/>
        </w:rPr>
        <w:t xml:space="preserve">关键词：卷烟品规；诚实因果森林；条件平均处理效应；供给收缩；负对照；差异化调控</w:t>
      </w:r>
    </w:p>
    <w:p>
      <w:pPr>
        <w:pStyle w:val="BodyText"/>
      </w:pPr>
      <w:r>
        <w:t xml:space="preserve">Abstract:</w:t>
      </w:r>
    </w:p>
    <w:p>
      <w:pPr>
        <w:pStyle w:val="BodyText"/>
      </w:pPr>
      <w:r>
        <w:t xml:space="preserve">[Objective] To identify heterogeneous responses of cigarette specifications to supply contraction and reduce target misclassification in monthly allocation.</w:t>
      </w:r>
    </w:p>
    <w:p>
      <w:pPr>
        <w:pStyle w:val="BodyText"/>
      </w:pPr>
      <w:r>
        <w:t xml:space="preserve">[Methods] A panel of 2886 specification-month observations for 203 specifications over 18 months (from January 2025 to June 2026; July 2026 used only to construct the lagged outcome) was analyzed. A treatment-independent outcome score was constructed from price order, profitability, inventory digestion and sell-through, excluding order fulfillment, allocation volume and supply utilization. Conditional average treatment effects were estimated using an honest causal forest with specification-block cross-fitting and examined using two-way fixed effects, propensity-score matching, an E-value, permutation tests and a pre-treatment negative-control outcome.</w:t>
      </w:r>
    </w:p>
    <w:p>
      <w:pPr>
        <w:pStyle w:val="BodyText"/>
      </w:pPr>
      <w:r>
        <w:t xml:space="preserve">[Results] (1) The average treatment effect was 0.66 (95% CI: -1.68 to 3.00), providing no evidence of a universally beneficial effect. (2) The two-way fixed-effects estimate was 1.20 (P=0.075); its direction was stable but significance varied across treatment thresholds. (3) Matching reduced the mean absolute standardized difference to 0.057, whereas the pre-treatment negative control remained significant (P&lt;0.001), indicating residual selection bias.</w:t>
      </w:r>
    </w:p>
    <w:p>
      <w:pPr>
        <w:pStyle w:val="BodyText"/>
      </w:pPr>
      <w:r>
        <w:t xml:space="preserve">[Conclusion] Supply contraction should not be uniformly applied on the basis of an average effect. The model may support specification ranking and human review, but should not be interpreted as an automated or unbiased deployment rule before prospective validation.</w:t>
      </w:r>
    </w:p>
    <w:p>
      <w:pPr>
        <w:pStyle w:val="BodyText"/>
      </w:pPr>
      <w:r>
        <w:t xml:space="preserve">Keywords: cigarette specification; honest causal forest; conditional average treatment effect; supply contraction; negative control; differentiated regulation</w:t>
      </w:r>
    </w:p>
    <w:bookmarkEnd w:id="9"/>
    <w:bookmarkStart w:id="10" w:name="引言"/>
    <w:p>
      <w:pPr>
        <w:pStyle w:val="Heading1"/>
      </w:pPr>
      <w:r>
        <w:t xml:space="preserve">0　</w:t>
      </w:r>
      <w:r>
        <w:rPr>
          <w:rFonts w:hint="eastAsia"/>
        </w:rPr>
        <w:t xml:space="preserve">引言</w:t>
      </w:r>
    </w:p>
    <w:p>
      <w:pPr>
        <w:pStyle w:val="FirstParagraph"/>
      </w:pPr>
      <w:r>
        <w:rPr>
          <w:rFonts w:hint="eastAsia"/>
        </w:rPr>
        <w:t xml:space="preserve">卷烟品规是商业企业组织货源投放、库存调节、价格维护和终端服务的核心对象，科学的月度投放调控对稳定价盘、化解库存压力、提升终端盈利具有基础性作用。在实际经营中，供给收缩是常用的调控动作，但投放复核多依赖客户经理经验和全品规平均指标，主要存在三方面不足：一是难以区分调控对象，平均效应把不同品规压缩为一个值，无法回答供给收缩对哪些品规有效、对哪些品规无效，甚至可能对不适合供给收缩的品规造成误伤；二是响应滞后，从指标异常到人工识别对象再到执行供给收缩存在较长时滞；三是复核缺乏解释，即便识别出候选对象，也难以说明其效应来源，无法形成可复核、可反馈的差异化清单。为此，需要从品规层面估计供给收缩的异质性处理效应，并将其转化为可执行的调控清单。</w:t>
      </w:r>
    </w:p>
    <w:p>
      <w:pPr>
        <w:pStyle w:val="BodyText"/>
      </w:pPr>
      <w:r>
        <w:rPr>
          <w:rFonts w:hint="eastAsia"/>
        </w:rPr>
        <w:t xml:space="preserve">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莫玉华等[5]基于消费行为数据构建卷烟消费迁移定量测算方法。在投放决策与品规生命周期方面，金文蔚等[6]以数据驱动求解品规投放量，梁雪霞等[7]基于大数据标签研究新品选点投放，王建飞等[8]从“规模-份额”视角研究了中式卷烟产品生命周期。</w:t>
      </w:r>
    </w:p>
    <w:p>
      <w:pPr>
        <w:pStyle w:val="BodyText"/>
      </w:pPr>
      <w:r>
        <w:rPr>
          <w:rFonts w:hint="eastAsia"/>
        </w:rPr>
        <w:t xml:space="preserve">总体看，上述研究较好地回答了市场状态如何评价、调控对象如何刻画、投放规模如何确定等问题，但较少在同一调控动作层面估计其异质性效应：市场状态评价输出的是状态类别而非调控收益，画像研究刻画的是对象特征而非供给收缩成效，投放优化求解的是总量而非对象排序。当需要判断某一品规是否应当供给收缩时，这些方法难以提供分品规效应证据，月度复核因此仍较多依赖经验与平均指标。处理效应识别需要能同时应对非随机处理与异质性效应的因果推断方法。</w:t>
      </w:r>
    </w:p>
    <w:p>
      <w:pPr>
        <w:pStyle w:val="BodyText"/>
      </w:pPr>
      <w:r>
        <w:rPr>
          <w:rFonts w:hint="eastAsia"/>
        </w:rPr>
        <w:t xml:space="preserve">在因果推断方法层面，Wager和Athey利用随机森林估计异质性处理效应并给出诚实的推断[9]，Athey等将随机森林推广为广义随机森林以适配局部矩估计[10]，Nie和Wager提出的正交化残差学习可增强观测数据下的估计稳健性[11]，Chernozhukov等发展了去偏机器学习（double/debiased</w:t>
      </w:r>
      <w:r>
        <w:t xml:space="preserve"> machine </w:t>
      </w:r>
      <w:r>
        <w:rPr>
          <w:rFonts w:hint="eastAsia"/>
        </w:rPr>
        <w:t xml:space="preserve">learning，DML）框架[12]。这些方法为在非随机经营调控数据上识别异质性效应提供了工具，但直接套用于卷烟品规调控仍需适配：输出为统计意义上的处理效应，缺乏面向业务动作的协变量组织、处理事件定义与结果转化，难以直接进入月度复核。</w:t>
      </w:r>
    </w:p>
    <w:p>
      <w:pPr>
        <w:pStyle w:val="BodyText"/>
      </w:pPr>
      <w:r>
        <w:rPr>
          <w:rFonts w:hint="eastAsia"/>
        </w:rPr>
        <w:t xml:space="preserve">为此，本文提出面向卷烟品规调控场景的诚实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区别于追求“供给收缩普遍有效”的最优结果，本文把识别目标定位于“哪些品规当缩、哪些品规不宜缩”，在诚实口径下同时报告平均效应与异质性，从而规避一刀切供给收缩的对象误伤。本文的主要工作可归纳为三点：其一，从烟草经营机理出发剔除了与处理定义机械相关的指标，构建不含订单满足率、投放量与货源利用率的处理无关结果评分，从指标集合上切断处理—结果循环；其二，采用按品规分组交叉拟合的诚实因果森林估计条件平均处理效应，并以双向固定效应、倾向得分匹配、E-value、置换与处理前负对照多重诊断界定证据边界；其三，把模型输出转化为“优先人工复核、观察复核、暂缓供给收缩”三档清单和“预筛—复核—动作—反馈”闭环，使因果结论以风险受控的方式进入月度投放复核。</w:t>
      </w:r>
    </w:p>
    <w:bookmarkEnd w:id="10"/>
    <w:bookmarkStart w:id="13" w:name="数据收集与处理"/>
    <w:p>
      <w:pPr>
        <w:pStyle w:val="Heading1"/>
      </w:pPr>
      <w:r>
        <w:t xml:space="preserve">1　</w:t>
      </w:r>
      <w:r>
        <w:rPr>
          <w:rFonts w:hint="eastAsia"/>
        </w:rPr>
        <w:t xml:space="preserve">数据收集与处理</w:t>
      </w:r>
    </w:p>
    <w:bookmarkStart w:id="11" w:name="数据来源与研究对象"/>
    <w:p>
      <w:pPr>
        <w:pStyle w:val="Heading2"/>
      </w:pPr>
      <w:r>
        <w:t xml:space="preserve">1.1　</w:t>
      </w:r>
      <w:r>
        <w:rPr>
          <w:rFonts w:hint="eastAsia"/>
        </w:rPr>
        <w:t xml:space="preserve">数据来源与研究对象</w:t>
      </w:r>
    </w:p>
    <w:p>
      <w:pPr>
        <w:pStyle w:val="FirstParagraph"/>
      </w:pPr>
      <w:r>
        <w:rPr>
          <w:rFonts w:hint="eastAsia"/>
        </w:rPr>
        <w:t xml:space="preserve">研究数据覆盖某市2025年1月至2026年6月（18个月）的品规层级经营管理汇总数据，分析单元为品规×月份；2026年7月的观测仅用于构造2026年6月样本的滞后一期结果，不参与当月估计。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pStyle w:val="BodyText"/>
      </w:pPr>
      <w:r>
        <w:rPr>
          <w:rFonts w:hint="eastAsia"/>
        </w:rPr>
        <w:t xml:space="preserve">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2886条品规×月份观测，其中发生供给收缩的处理组258条、对照组2628条。处理组占比约8.9%，说明供给收缩在样本期内属于有条件触发的管理动作而非普遍事件，该结构决定本文不宜采用简单均值比较，而需使用能够处理非随机处理和异质性效应的诚实因果森林方法。</w:t>
      </w:r>
    </w:p>
    <w:p>
      <w:pPr>
        <w:pStyle w:val="BodyText"/>
      </w:pPr>
      <w:r>
        <w:rPr>
          <w:rFonts w:hint="eastAsia"/>
        </w:rPr>
        <w:t xml:space="preserve">数据可得性与匿名汇总声明：本文所用数据均为商业企业经营管理汇总口径，已剔除消费者个人信息及零售客户姓名、联系方式、证件号等可识别字段，仅保留品规层级汇总统计量；分析对象为品规×月份聚合单元，不涉及个体终端可识别信息，可按本文处理流程在其他商业企业相同口径数据上复现。由于本文的目标是方法论验证，进一步公开逐条明细或将违反数据保密要求，故仅提供汇总口径与可复现代码流程。</w:t>
      </w:r>
    </w:p>
    <w:bookmarkEnd w:id="11"/>
    <w:bookmarkStart w:id="12" w:name="状态指标体系与变量口径"/>
    <w:p>
      <w:pPr>
        <w:pStyle w:val="Heading2"/>
      </w:pPr>
      <w:r>
        <w:t xml:space="preserve">1.2　</w:t>
      </w:r>
      <w:r>
        <w:rPr>
          <w:rFonts w:hint="eastAsia"/>
        </w:rPr>
        <w:t xml:space="preserve">状态指标体系与变量口径</w:t>
      </w:r>
    </w:p>
    <w:p>
      <w:pPr>
        <w:pStyle w:val="FirstParagraph"/>
      </w:pPr>
      <w:r>
        <w:rPr>
          <w:rFonts w:hint="eastAsia"/>
        </w:rPr>
        <w:t xml:space="preserve">本文将卷烟品规市场状态划分为规模表现、价格秩序、库存压力、需求承接和渠道覆盖5类一级维度，每类维度下设置可由经营数据直接计算的二级指标。该设计并非把所有字段简单投入模型，而是先从烟草经营机理出发确定指标边界，再由统计筛选和业务复核保留最终变量。指标体系结构及口径见表1。</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结果维度</w:t>
            </w:r>
          </w:p>
        </w:tc>
        <w:tc>
          <w:tcPr/>
          <w:p>
            <w:pPr>
              <w:pStyle w:val="Compact"/>
            </w:pPr>
            <w:r>
              <w:rPr>
                <w:rFonts w:hint="eastAsia"/>
              </w:rPr>
              <w:t xml:space="preserve">指标</w:t>
            </w:r>
          </w:p>
        </w:tc>
        <w:tc>
          <w:tcPr/>
          <w:p>
            <w:pPr>
              <w:pStyle w:val="Compact"/>
            </w:pPr>
            <w:r>
              <w:rPr>
                <w:rFonts w:hint="eastAsia"/>
              </w:rPr>
              <w:t xml:space="preserve">方向</w:t>
            </w:r>
          </w:p>
        </w:tc>
        <w:tc>
          <w:tcPr/>
          <w:p>
            <w:pPr>
              <w:pStyle w:val="Compact"/>
            </w:pPr>
            <w:r>
              <w:rPr>
                <w:rFonts w:hint="eastAsia"/>
              </w:rPr>
              <w:t xml:space="preserve">业务含义</w:t>
            </w:r>
          </w:p>
        </w:tc>
      </w:tr>
      <w:tr>
        <w:tc>
          <w:tcPr/>
          <w:p>
            <w:pPr>
              <w:pStyle w:val="Compact"/>
            </w:pPr>
            <w:r>
              <w:rPr>
                <w:rFonts w:hint="eastAsia"/>
              </w:rPr>
              <w:t xml:space="preserve">价格秩序</w:t>
            </w:r>
          </w:p>
        </w:tc>
        <w:tc>
          <w:tcPr/>
          <w:p>
            <w:pPr>
              <w:pStyle w:val="Compact"/>
            </w:pPr>
            <w:r>
              <w:rPr>
                <w:rFonts w:hint="eastAsia"/>
              </w:rPr>
              <w:t xml:space="preserve">顺价指数</w:t>
            </w:r>
          </w:p>
        </w:tc>
        <w:tc>
          <w:tcPr/>
          <w:p>
            <w:pPr>
              <w:pStyle w:val="Compact"/>
            </w:pPr>
            <w:r>
              <w:rPr>
                <w:rFonts w:hint="eastAsia"/>
              </w:rPr>
              <w:t xml:space="preserve">正向</w:t>
            </w:r>
          </w:p>
        </w:tc>
        <w:tc>
          <w:tcPr/>
          <w:p>
            <w:pPr>
              <w:pStyle w:val="Compact"/>
            </w:pPr>
            <w:r>
              <w:rPr>
                <w:rFonts w:hint="eastAsia"/>
              </w:rPr>
              <w:t xml:space="preserve">反映零售价格相对批发价格的修复程度</w:t>
            </w:r>
          </w:p>
        </w:tc>
      </w:tr>
      <w:tr>
        <w:tc>
          <w:tcPr/>
          <w:p>
            <w:pPr>
              <w:pStyle w:val="Compact"/>
            </w:pPr>
            <w:r>
              <w:rPr>
                <w:rFonts w:hint="eastAsia"/>
              </w:rPr>
              <w:t xml:space="preserve">终端盈利</w:t>
            </w:r>
          </w:p>
        </w:tc>
        <w:tc>
          <w:tcPr/>
          <w:p>
            <w:pPr>
              <w:pStyle w:val="Compact"/>
            </w:pPr>
            <w:r>
              <w:rPr>
                <w:rFonts w:hint="eastAsia"/>
              </w:rPr>
              <w:t xml:space="preserve">毛利率</w:t>
            </w:r>
          </w:p>
        </w:tc>
        <w:tc>
          <w:tcPr/>
          <w:p>
            <w:pPr>
              <w:pStyle w:val="Compact"/>
            </w:pPr>
            <w:r>
              <w:rPr>
                <w:rFonts w:hint="eastAsia"/>
              </w:rPr>
              <w:t xml:space="preserve">正向</w:t>
            </w:r>
          </w:p>
        </w:tc>
        <w:tc>
          <w:tcPr/>
          <w:p>
            <w:pPr>
              <w:pStyle w:val="Compact"/>
            </w:pPr>
            <w:r>
              <w:rPr>
                <w:rFonts w:hint="eastAsia"/>
              </w:rPr>
              <w:t xml:space="preserve">反映终端盈利基础</w:t>
            </w:r>
          </w:p>
        </w:tc>
      </w:tr>
      <w:tr>
        <w:tc>
          <w:tcPr/>
          <w:p>
            <w:pPr>
              <w:pStyle w:val="Compact"/>
            </w:pPr>
            <w:r>
              <w:rPr>
                <w:rFonts w:hint="eastAsia"/>
              </w:rPr>
              <w:t xml:space="preserve">库存消化</w:t>
            </w:r>
          </w:p>
        </w:tc>
        <w:tc>
          <w:tcPr/>
          <w:p>
            <w:pPr>
              <w:pStyle w:val="Compact"/>
            </w:pPr>
            <w:r>
              <w:rPr>
                <w:rFonts w:hint="eastAsia"/>
              </w:rPr>
              <w:t xml:space="preserve">存销比、社会库存、可销天数</w:t>
            </w:r>
          </w:p>
        </w:tc>
        <w:tc>
          <w:tcPr/>
          <w:p>
            <w:pPr>
              <w:pStyle w:val="Compact"/>
            </w:pPr>
            <w:r>
              <w:rPr>
                <w:rFonts w:hint="eastAsia"/>
              </w:rPr>
              <w:t xml:space="preserve">负向</w:t>
            </w:r>
          </w:p>
        </w:tc>
        <w:tc>
          <w:tcPr/>
          <w:p>
            <w:pPr>
              <w:pStyle w:val="Compact"/>
            </w:pPr>
            <w:r>
              <w:rPr>
                <w:rFonts w:hint="eastAsia"/>
              </w:rPr>
              <w:t xml:space="preserve">反映库存压力与消化速度</w:t>
            </w:r>
          </w:p>
        </w:tc>
      </w:tr>
      <w:tr>
        <w:tc>
          <w:tcPr/>
          <w:p>
            <w:pPr>
              <w:pStyle w:val="Compact"/>
            </w:pPr>
            <w:r>
              <w:rPr>
                <w:rFonts w:hint="eastAsia"/>
              </w:rPr>
              <w:t xml:space="preserve">市场动销</w:t>
            </w:r>
          </w:p>
        </w:tc>
        <w:tc>
          <w:tcPr/>
          <w:p>
            <w:pPr>
              <w:pStyle w:val="Compact"/>
            </w:pPr>
            <w:r>
              <w:rPr>
                <w:rFonts w:hint="eastAsia"/>
              </w:rPr>
              <w:t xml:space="preserve">动销率</w:t>
            </w:r>
          </w:p>
        </w:tc>
        <w:tc>
          <w:tcPr/>
          <w:p>
            <w:pPr>
              <w:pStyle w:val="Compact"/>
            </w:pPr>
            <w:r>
              <w:rPr>
                <w:rFonts w:hint="eastAsia"/>
              </w:rPr>
              <w:t xml:space="preserve">正向</w:t>
            </w:r>
          </w:p>
        </w:tc>
        <w:tc>
          <w:tcPr/>
          <w:p>
            <w:pPr>
              <w:pStyle w:val="Compact"/>
            </w:pPr>
            <w:r>
              <w:rPr>
                <w:rFonts w:hint="eastAsia"/>
              </w:rPr>
              <w:t xml:space="preserve">反映终端销售承接</w:t>
            </w:r>
          </w:p>
        </w:tc>
      </w:tr>
      <w:tr>
        <w:tc>
          <w:tcPr/>
          <w:p>
            <w:pPr>
              <w:pStyle w:val="Compact"/>
            </w:pPr>
            <w:r>
              <w:rPr>
                <w:rFonts w:hint="eastAsia"/>
              </w:rPr>
              <w:t xml:space="preserve">明确排除</w:t>
            </w:r>
          </w:p>
        </w:tc>
        <w:tc>
          <w:tcPr/>
          <w:p>
            <w:pPr>
              <w:pStyle w:val="Compact"/>
            </w:pPr>
            <w:r>
              <w:rPr>
                <w:rFonts w:hint="eastAsia"/>
              </w:rPr>
              <w:t xml:space="preserve">订单满足率、需求缺口率、投放量、货源利用率</w:t>
            </w:r>
          </w:p>
        </w:tc>
        <w:tc>
          <w:tcPr/>
          <w:p>
            <w:pPr>
              <w:pStyle w:val="Compact"/>
            </w:pPr>
            <w:r>
              <w:rPr>
                <w:rFonts w:hint="eastAsia"/>
              </w:rPr>
              <w:t xml:space="preserve">不进入结果评分</w:t>
            </w:r>
          </w:p>
        </w:tc>
        <w:tc>
          <w:tcPr/>
          <w:p>
            <w:pPr>
              <w:pStyle w:val="Compact"/>
            </w:pPr>
            <w:r>
              <w:rPr>
                <w:rFonts w:hint="eastAsia"/>
              </w:rPr>
              <w:t xml:space="preserve">避免处理定义与结果变量机械相关</w:t>
            </w:r>
          </w:p>
        </w:tc>
      </w:tr>
    </w:tbl>
    <w:p>
      <w:pPr>
        <w:pStyle w:val="BodyText"/>
      </w:pPr>
      <w:r>
        <w:rPr>
          <w:rFonts w:hint="eastAsia"/>
        </w:rPr>
        <w:t xml:space="preserve">表1</w:t>
      </w:r>
      <w:r>
        <w:t xml:space="preserve">　</w:t>
      </w:r>
      <w:r>
        <w:rPr>
          <w:rFonts w:hint="eastAsia"/>
        </w:rPr>
        <w:t xml:space="preserve">处理无关结果评分指标体系</w:t>
      </w:r>
      <w:r>
        <w:br/>
      </w:r>
      <w:r>
        <w:t xml:space="preserve">Tab. 1 Indicator system for the treatment-independent outcome score</w:t>
      </w:r>
    </w:p>
    <w:p>
      <w:pPr>
        <w:pStyle w:val="BodyText"/>
      </w:pPr>
      <w:r>
        <w:rPr>
          <w:rFonts w:hint="eastAsia"/>
        </w:rPr>
        <w:t xml:space="preserve">注：存销比按“月末社会库存（条）/当月销量（条）×30（天）”口径计算；顺价指数按“零售实际成交价/建议批发价”派生；订单满足率按“实际投放量/终端订货需求量”计算。</w:t>
      </w:r>
    </w:p>
    <w:bookmarkEnd w:id="12"/>
    <w:bookmarkEnd w:id="13"/>
    <w:bookmarkStart w:id="23" w:name="研究方法"/>
    <w:p>
      <w:pPr>
        <w:pStyle w:val="Heading1"/>
      </w:pPr>
      <w:r>
        <w:t xml:space="preserve">2　</w:t>
      </w:r>
      <w:r>
        <w:rPr>
          <w:rFonts w:hint="eastAsia"/>
        </w:rPr>
        <w:t xml:space="preserve">研究方法</w:t>
      </w:r>
    </w:p>
    <w:bookmarkStart w:id="17" w:name="调控体系与技术路线"/>
    <w:p>
      <w:pPr>
        <w:pStyle w:val="Heading2"/>
      </w:pPr>
      <w:r>
        <w:t xml:space="preserve">2.1　</w:t>
      </w:r>
      <w:r>
        <w:rPr>
          <w:rFonts w:hint="eastAsia"/>
        </w:rPr>
        <w:t xml:space="preserve">调控体系与技术路线</w:t>
      </w:r>
    </w:p>
    <w:p>
      <w:pPr>
        <w:pStyle w:val="FirstParagraph"/>
      </w:pPr>
      <w:r>
        <w:drawing>
          <wp:inline>
            <wp:extent cx="5334000" cy="2934449"/>
            <wp:effectExtent b="0" l="0" r="0" t="0"/>
            <wp:docPr descr="框架图" title="" id="15" name="Picture"/>
            <a:graphic>
              <a:graphicData uri="http://schemas.openxmlformats.org/drawingml/2006/picture">
                <pic:pic>
                  <pic:nvPicPr>
                    <pic:cNvPr descr="figures/fig1_framework.png" id="16" name="Picture"/>
                    <pic:cNvPicPr>
                      <a:picLocks noChangeArrowheads="1" noChangeAspect="1"/>
                    </pic:cNvPicPr>
                  </pic:nvPicPr>
                  <pic:blipFill>
                    <a:blip r:embed="rId14"/>
                    <a:stretch>
                      <a:fillRect/>
                    </a:stretch>
                  </pic:blipFill>
                  <pic:spPr bwMode="auto">
                    <a:xfrm>
                      <a:off x="0" y="0"/>
                      <a:ext cx="5334000" cy="2934449"/>
                    </a:xfrm>
                    <a:prstGeom prst="rect">
                      <a:avLst/>
                    </a:prstGeom>
                    <a:noFill/>
                    <a:ln w="9525">
                      <a:noFill/>
                      <a:headEnd/>
                      <a:tailEnd/>
                    </a:ln>
                  </pic:spPr>
                </pic:pic>
              </a:graphicData>
            </a:graphic>
          </wp:inline>
        </w:drawing>
      </w:r>
    </w:p>
    <w:p>
      <w:pPr>
        <w:pStyle w:val="BodyText"/>
      </w:pPr>
      <w:r>
        <w:rPr>
          <w:rFonts w:hint="eastAsia"/>
        </w:rPr>
        <w:t xml:space="preserve">图1</w:t>
      </w:r>
      <w:r>
        <w:t xml:space="preserve">　</w:t>
      </w:r>
      <w:r>
        <w:rPr>
          <w:rFonts w:hint="eastAsia"/>
        </w:rPr>
        <w:t xml:space="preserve">卷烟品规差异化调控研究框架</w:t>
      </w:r>
      <w:r>
        <w:br/>
      </w:r>
      <w:r>
        <w:t xml:space="preserve">Fig. 1 Research framework for differentiated regulation of cigarette specifications</w:t>
      </w:r>
    </w:p>
    <w:p>
      <w:pPr>
        <w:pStyle w:val="BodyText"/>
      </w:pPr>
      <w:r>
        <w:rPr>
          <w:rFonts w:hint="eastAsia"/>
        </w:rPr>
        <w:t xml:space="preserve">图1展示修订后的识别链：处理变量仍由当月供给收缩定义，结果评分仅使用顺价、毛利、库存消化和动销指标，明确排除订单满足率、需求缺口率、投放量和货源利用率；23维协变量全部滞后一期。诚实因果森林负责估计CATE，双向固定效应、匹配、E-value、置换和处理前负对照分别检验可观测与不可观测偏差。</w:t>
      </w:r>
    </w:p>
    <w:bookmarkEnd w:id="17"/>
    <w:bookmarkStart w:id="18" w:name="品规经营状态量化与供给收缩事件定义"/>
    <w:p>
      <w:pPr>
        <w:pStyle w:val="Heading2"/>
      </w:pPr>
      <w:r>
        <w:t xml:space="preserve">2.2　</w:t>
      </w:r>
      <w:r>
        <w:rPr>
          <w:rFonts w:hint="eastAsia"/>
        </w:rPr>
        <w:t xml:space="preserve">品规经营状态量化与供给收缩事件定义</w:t>
      </w:r>
    </w:p>
    <w:p>
      <w:pPr>
        <w:pStyle w:val="FirstParagraph"/>
      </w:pPr>
      <w:r>
        <w:rPr>
          <w:rFonts w:hint="eastAsia"/>
        </w:rPr>
        <w:t xml:space="preserve">设品规i在月份t的第j项处理无关标准化结果指标为z*ijt，权重为wj，则状态评分S*由顺价指数、毛利率、存销比、社会库存、可销天数、动销率共6项指标构成。负向指标（存销比、社会库存、可销天数）在标准化前先取负号统一方向，使z*ijt数值增大均表示状态改善；权重采用熵权法与CRITIC法的等权融合，处理定义涉及的供给指标不参与结果评分。</w:t>
      </w:r>
    </w:p>
    <w:p>
      <w:pPr>
        <w:pStyle w:val="BodyText"/>
      </w:pPr>
      <w:r>
        <w:rPr>
          <w:rFonts w:hint="eastAsia"/>
        </w:rPr>
        <w:t xml:space="preserve">S*ᵢₜ=100×Σⱼwⱼz*ᵢⱼₜ，Σⱼwⱼ=1</w:t>
      </w:r>
      <w:r>
        <w:t xml:space="preserve">　</w:t>
      </w:r>
      <w:r>
        <w:rPr>
          <w:rFonts w:hint="eastAsia"/>
        </w:rPr>
        <w:t xml:space="preserve">（1）</w:t>
      </w:r>
    </w:p>
    <w:p>
      <w:pPr>
        <w:pStyle w:val="BodyText"/>
      </w:pPr>
      <w:r>
        <w:rPr>
          <w:rFonts w:hint="eastAsia"/>
        </w:rPr>
        <w:t xml:space="preserve">式（1）中，进入状态评分的核心指标共6项，权重由熵权法与CRITIC法等权融合得到（指标体系见表1）。结果变量定义为下一期状态评分变化：</w:t>
      </w:r>
    </w:p>
    <w:p>
      <w:pPr>
        <w:pStyle w:val="BodyText"/>
      </w:pPr>
      <w:r>
        <w:t xml:space="preserve">Yᵢₜ=S*ᵢ,ₜ₊₁-S*ᵢₜ　</w:t>
      </w:r>
      <w:r>
        <w:rPr>
          <w:rFonts w:hint="eastAsia"/>
        </w:rPr>
        <w:t xml:space="preserve">（2）</w:t>
      </w:r>
    </w:p>
    <w:p>
      <w:pPr>
        <w:pStyle w:val="BodyText"/>
      </w:pPr>
      <w:r>
        <w:rPr>
          <w:rFonts w:hint="eastAsia"/>
        </w:rPr>
        <w:t xml:space="preserve">式（2）中，Y&gt;0表示下一期价格、盈利、库存消化和动销的综合状态改善。处理T仍按订单满足率的月内位置及环比下降定义；所有用于异质性识别的经营画像均取t-1期，从时间顺序和指标集合两方面切断处理—结果机械相关。</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变量角色</w:t>
            </w:r>
          </w:p>
        </w:tc>
        <w:tc>
          <w:tcPr/>
          <w:p>
            <w:pPr>
              <w:pStyle w:val="Compact"/>
            </w:pPr>
            <w:r>
              <w:rPr>
                <w:rFonts w:hint="eastAsia"/>
              </w:rPr>
              <w:t xml:space="preserve">变量</w:t>
            </w:r>
          </w:p>
        </w:tc>
        <w:tc>
          <w:tcPr/>
          <w:p>
            <w:pPr>
              <w:pStyle w:val="Compact"/>
            </w:pPr>
            <w:r>
              <w:rPr>
                <w:rFonts w:hint="eastAsia"/>
              </w:rPr>
              <w:t xml:space="preserve">定义口径</w:t>
            </w:r>
          </w:p>
        </w:tc>
        <w:tc>
          <w:tcPr/>
          <w:p>
            <w:pPr>
              <w:pStyle w:val="Compact"/>
            </w:pPr>
            <w:r>
              <w:rPr>
                <w:rFonts w:hint="eastAsia"/>
              </w:rPr>
              <w:t xml:space="preserve">识别作用</w:t>
            </w:r>
          </w:p>
        </w:tc>
      </w:tr>
      <w:tr>
        <w:tc>
          <w:tcPr/>
          <w:p>
            <w:pPr>
              <w:pStyle w:val="Compact"/>
            </w:pPr>
            <w:r>
              <w:rPr>
                <w:rFonts w:hint="eastAsia"/>
              </w:rPr>
              <w:t xml:space="preserve">结果变量Y</w:t>
            </w:r>
          </w:p>
        </w:tc>
        <w:tc>
          <w:tcPr/>
          <w:p>
            <w:pPr>
              <w:pStyle w:val="Compact"/>
            </w:pPr>
            <w:r>
              <w:rPr>
                <w:rFonts w:hint="eastAsia"/>
              </w:rPr>
              <w:t xml:space="preserve">处理无关状态变化</w:t>
            </w:r>
          </w:p>
        </w:tc>
        <w:tc>
          <w:tcPr/>
          <w:p>
            <w:pPr>
              <w:pStyle w:val="Compact"/>
            </w:pPr>
            <w:r>
              <w:rPr>
                <w:rFonts w:hint="eastAsia"/>
              </w:rPr>
              <w:t xml:space="preserve">Y=S*ᵢ,ₜ₊₁-S*ᵢ,ₜ；S*仅含价格、毛利、库存消化和动销指标</w:t>
            </w:r>
          </w:p>
        </w:tc>
        <w:tc>
          <w:tcPr/>
          <w:p>
            <w:pPr>
              <w:pStyle w:val="Compact"/>
            </w:pPr>
            <w:r>
              <w:rPr>
                <w:rFonts w:hint="eastAsia"/>
              </w:rPr>
              <w:t xml:space="preserve">避免处理—结果循环构造</w:t>
            </w:r>
          </w:p>
        </w:tc>
      </w:tr>
      <w:tr>
        <w:tc>
          <w:tcPr/>
          <w:p>
            <w:pPr>
              <w:pStyle w:val="Compact"/>
            </w:pPr>
            <w:r>
              <w:rPr>
                <w:rFonts w:hint="eastAsia"/>
              </w:rPr>
              <w:t xml:space="preserve">处理变量T</w:t>
            </w:r>
          </w:p>
        </w:tc>
        <w:tc>
          <w:tcPr/>
          <w:p>
            <w:pPr>
              <w:pStyle w:val="Compact"/>
            </w:pPr>
            <w:r>
              <w:rPr>
                <w:rFonts w:hint="eastAsia"/>
              </w:rPr>
              <w:t xml:space="preserve">供给收缩事件</w:t>
            </w:r>
          </w:p>
        </w:tc>
        <w:tc>
          <w:tcPr/>
          <w:p>
            <w:pPr>
              <w:pStyle w:val="Compact"/>
            </w:pPr>
            <w:r>
              <w:rPr>
                <w:rFonts w:hint="eastAsia"/>
              </w:rPr>
              <w:t xml:space="preserve">订单满足率≤同月35%分位且环比下降&gt;2个百分点</w:t>
            </w:r>
          </w:p>
        </w:tc>
        <w:tc>
          <w:tcPr/>
          <w:p>
            <w:pPr>
              <w:pStyle w:val="Compact"/>
            </w:pPr>
            <w:r>
              <w:rPr>
                <w:rFonts w:hint="eastAsia"/>
              </w:rPr>
              <w:t xml:space="preserve">识别可核对的供给收缩事件</w:t>
            </w:r>
          </w:p>
        </w:tc>
      </w:tr>
      <w:tr>
        <w:tc>
          <w:tcPr/>
          <w:p>
            <w:pPr>
              <w:pStyle w:val="Compact"/>
            </w:pPr>
            <w:r>
              <w:rPr>
                <w:rFonts w:hint="eastAsia"/>
              </w:rPr>
              <w:t xml:space="preserve">异质性变量X</w:t>
            </w:r>
          </w:p>
        </w:tc>
        <w:tc>
          <w:tcPr/>
          <w:p>
            <w:pPr>
              <w:pStyle w:val="Compact"/>
            </w:pPr>
            <w:r>
              <w:rPr>
                <w:rFonts w:hint="eastAsia"/>
              </w:rPr>
              <w:t xml:space="preserve">23维t-1期画像</w:t>
            </w:r>
          </w:p>
        </w:tc>
        <w:tc>
          <w:tcPr/>
          <w:p>
            <w:pPr>
              <w:pStyle w:val="Compact"/>
            </w:pPr>
            <w:r>
              <w:rPr>
                <w:rFonts w:hint="eastAsia"/>
              </w:rPr>
              <w:t xml:space="preserve">供需、价格、库存、渠道及品规结构</w:t>
            </w:r>
          </w:p>
        </w:tc>
        <w:tc>
          <w:tcPr/>
          <w:p>
            <w:pPr>
              <w:pStyle w:val="Compact"/>
            </w:pPr>
            <w:r>
              <w:rPr>
                <w:rFonts w:hint="eastAsia"/>
              </w:rPr>
              <w:t xml:space="preserve">控制供给收缩前差异并估计CATE</w:t>
            </w:r>
          </w:p>
        </w:tc>
      </w:tr>
      <w:tr>
        <w:tc>
          <w:tcPr/>
          <w:p>
            <w:pPr>
              <w:pStyle w:val="Compact"/>
            </w:pPr>
            <w:r>
              <w:rPr>
                <w:rFonts w:hint="eastAsia"/>
              </w:rPr>
              <w:t xml:space="preserve">固定效应</w:t>
            </w:r>
          </w:p>
        </w:tc>
        <w:tc>
          <w:tcPr/>
          <w:p>
            <w:pPr>
              <w:pStyle w:val="Compact"/>
            </w:pPr>
            <w:r>
              <w:rPr>
                <w:rFonts w:hint="eastAsia"/>
              </w:rPr>
              <w:t xml:space="preserve">品规与月份虚拟变量</w:t>
            </w:r>
          </w:p>
        </w:tc>
        <w:tc>
          <w:tcPr/>
          <w:p>
            <w:pPr>
              <w:pStyle w:val="Compact"/>
            </w:pPr>
            <w:r>
              <w:rPr>
                <w:rFonts w:hint="eastAsia"/>
              </w:rPr>
              <w:t xml:space="preserve">双向固定效应补充模型</w:t>
            </w:r>
          </w:p>
        </w:tc>
        <w:tc>
          <w:tcPr/>
          <w:p>
            <w:pPr>
              <w:pStyle w:val="Compact"/>
            </w:pPr>
            <w:r>
              <w:rPr>
                <w:rFonts w:hint="eastAsia"/>
              </w:rPr>
              <w:t xml:space="preserve">控制不随时间变化的品规差异和共同月份冲击</w:t>
            </w:r>
          </w:p>
        </w:tc>
      </w:tr>
    </w:tbl>
    <w:p>
      <w:pPr>
        <w:pStyle w:val="BodyText"/>
      </w:pPr>
      <w:r>
        <w:rPr>
          <w:rFonts w:hint="eastAsia"/>
        </w:rPr>
        <w:t xml:space="preserve">表2</w:t>
      </w:r>
      <w:r>
        <w:t xml:space="preserve">　</w:t>
      </w:r>
      <w:r>
        <w:rPr>
          <w:rFonts w:hint="eastAsia"/>
        </w:rPr>
        <w:t xml:space="preserve">结果变量、处理变量与协变量定义</w:t>
      </w:r>
      <w:r>
        <w:br/>
      </w:r>
      <w:r>
        <w:t xml:space="preserve">Tab. 2 Definitions of outcome, treatment and covariates</w:t>
      </w:r>
    </w:p>
    <w:bookmarkEnd w:id="18"/>
    <w:bookmarkStart w:id="20" w:name="因果森林识别方法"/>
    <w:p>
      <w:pPr>
        <w:pStyle w:val="Heading2"/>
      </w:pPr>
      <w:r>
        <w:t xml:space="preserve">2.3　</w:t>
      </w:r>
      <w:r>
        <w:rPr>
          <w:rFonts w:hint="eastAsia"/>
        </w:rPr>
        <w:t xml:space="preserve">因果森林识别方法</w:t>
      </w:r>
    </w:p>
    <w:bookmarkStart w:id="19" w:name="面板识别假设与分组交叉拟合"/>
    <w:p>
      <w:pPr>
        <w:pStyle w:val="Heading3"/>
      </w:pPr>
      <w:r>
        <w:t xml:space="preserve">2.3.1　</w:t>
      </w:r>
      <w:r>
        <w:rPr>
          <w:rFonts w:hint="eastAsia"/>
        </w:rPr>
        <w:t xml:space="preserve">面板识别假设与分组交叉拟合</w:t>
      </w:r>
    </w:p>
    <w:p>
      <w:pPr>
        <w:pStyle w:val="FirstParagraph"/>
      </w:pPr>
      <w:r>
        <w:rPr>
          <w:rFonts w:hint="eastAsia"/>
        </w:rPr>
        <w:t xml:space="preserve">本研究将品规作为面板聚类单元。5折交叉拟合按品规分组实施，同一品规的全部月份观测只进入训练折或验证折之一，避免同一品规跨折出现造成信息泄漏。识别依赖3项假设：一是条件无混淆性，即在给定供给收缩前经营画像后，供给收缩事件与潜在结果独立；二是重叠性，即各类画像下均存在发生和未发生供给收缩的样本；三是稳定单元处理值假设，即某品规当月供给收缩不直接改变其他品规的潜在结果。考虑到相邻月份可能存在序列相关，标准误采用品规层级聚类稳健估计，子样本检验也按品规分组抽样。</w:t>
      </w:r>
    </w:p>
    <w:p>
      <w:pPr>
        <w:pStyle w:val="BodyText"/>
      </w:pPr>
      <w:r>
        <w:rPr>
          <w:rFonts w:hint="eastAsia"/>
        </w:rPr>
        <w:t xml:space="preserve">滞后一期结果用于评价当月动作，2026年7月只用于构造2026年6月的滞后结果，训练和评价中不使用动作发生后的未来字段。处理组的供给收缩在时序上先于待评价结果，据此前置于满足条件无混淆的前提下。</w:t>
      </w:r>
    </w:p>
    <w:p>
      <w:pPr>
        <w:pStyle w:val="BodyText"/>
      </w:pPr>
      <w:r>
        <w:rPr>
          <w:rFonts w:hint="eastAsia"/>
        </w:rPr>
        <w:t xml:space="preserve">本文关注的目标不是平均处理效应，而是给定品规画像</w:t>
      </w:r>
      <w:r>
        <w:rPr>
          <w:i/>
          <w:iCs/>
        </w:rPr>
        <w:t xml:space="preserve">x</w:t>
      </w:r>
      <w:r>
        <w:rPr>
          <w:rFonts w:hint="eastAsia"/>
        </w:rPr>
        <w:t xml:space="preserve">后的条件平均处理效应：</w:t>
      </w:r>
    </w:p>
    <w:p>
      <w:pPr>
        <w:pStyle w:val="BodyText"/>
      </w:pPr>
      <w:r>
        <w:t xml:space="preserve">τ(x)=E[Y(1)-Y(0)|X=x]</w:t>
      </w:r>
      <w:r>
        <w:t xml:space="preserve"> </w:t>
      </w:r>
      <w:r>
        <w:rPr>
          <w:rFonts w:hint="eastAsia"/>
        </w:rPr>
        <w:t xml:space="preserve">（3）</w:t>
      </w:r>
    </w:p>
    <w:p>
      <w:pPr>
        <w:pStyle w:val="BodyText"/>
      </w:pPr>
      <w:r>
        <w:rPr>
          <w:rFonts w:hint="eastAsia"/>
        </w:rPr>
        <w:t xml:space="preserve">式（3）中的</w:t>
      </w:r>
      <w:r>
        <w:rPr>
          <w:i/>
          <w:iCs/>
        </w:rPr>
        <w:t xml:space="preserve">τ(x)</w:t>
      </w:r>
      <w:r>
        <w:rPr>
          <w:rFonts w:hint="eastAsia"/>
        </w:rPr>
        <w:t xml:space="preserve">即CATE，表示具有经营画像</w:t>
      </w:r>
      <w:r>
        <w:rPr>
          <w:i/>
          <w:iCs/>
        </w:rPr>
        <w:t xml:space="preserve">x</w:t>
      </w:r>
      <w:r>
        <w:rPr>
          <w:rFonts w:hint="eastAsia"/>
        </w:rPr>
        <w:t xml:space="preserve">的品规在发生供给收缩时，相对于未发生情形下一期状态改善的增量。由于观测数据处理事件并非随机发生，直接比较处理组与对照组会混入库存基础、价位结构、渠道覆盖等混杂因素，本文采用R-learner框架，先估计结果模型和处理模型：</w:t>
      </w:r>
    </w:p>
    <w:p>
      <w:pPr>
        <w:pStyle w:val="BodyText"/>
      </w:pPr>
      <w:r>
        <w:t xml:space="preserve">m(x)=E(Y|X=x),　e(x)=P(T=1|X=x)</w:t>
      </w:r>
      <w:r>
        <w:t xml:space="preserve"> </w:t>
      </w:r>
      <w:r>
        <w:rPr>
          <w:rFonts w:hint="eastAsia"/>
        </w:rPr>
        <w:t xml:space="preserve">（4）</w:t>
      </w:r>
    </w:p>
    <w:p>
      <w:pPr>
        <w:pStyle w:val="BodyText"/>
      </w:pPr>
      <w:r>
        <w:rPr>
          <w:rFonts w:hint="eastAsia"/>
        </w:rPr>
        <w:t xml:space="preserve">其中，</w:t>
      </w:r>
      <w:r>
        <w:rPr>
          <w:i/>
          <w:iCs/>
        </w:rPr>
        <w:t xml:space="preserve">m(x)</w:t>
      </w:r>
      <w:r>
        <w:rPr>
          <w:rFonts w:hint="eastAsia"/>
        </w:rPr>
        <w:t xml:space="preserve">表示给定画像不区分是否供给收缩时下一期状态变化的基准期望，</w:t>
      </w:r>
      <w:r>
        <w:rPr>
          <w:i/>
          <w:iCs/>
        </w:rPr>
        <w:t xml:space="preserve">e(x)</w:t>
      </w:r>
      <w:r>
        <w:rPr>
          <w:rFonts w:hint="eastAsia"/>
        </w:rPr>
        <w:t xml:space="preserve">表示同样画像下当期发生供给收缩的倾向概率，分别对应结果基线与处理倾向。本文采用5折交叉拟合，每次用4折训练</w:t>
      </w:r>
      <w:r>
        <w:rPr>
          <w:i/>
          <w:iCs/>
        </w:rPr>
        <w:t xml:space="preserve">m̂(x)</w:t>
      </w:r>
      <w:r>
        <w:rPr>
          <w:rFonts w:hint="eastAsia"/>
        </w:rPr>
        <w:t xml:space="preserve">和</w:t>
      </w:r>
      <w:r>
        <w:rPr>
          <w:i/>
          <w:iCs/>
        </w:rPr>
        <w:t xml:space="preserve">ê(x)</w:t>
      </w:r>
      <w:r>
        <w:rPr>
          <w:rFonts w:hint="eastAsia"/>
        </w:rPr>
        <w:t xml:space="preserve">、在剩余1折生成样本外预测，重复5次使所有样本得到未参与自身训练的预测，从而降低个体噪声学习风险、减少处理效应高估。据此构造正交残差：</w:t>
      </w:r>
    </w:p>
    <w:p>
      <w:pPr>
        <w:pStyle w:val="BodyText"/>
      </w:pPr>
      <w:r>
        <w:t xml:space="preserve">Ŷ</w:t>
      </w:r>
      <w:r>
        <w:rPr>
          <w:vertAlign w:val="subscript"/>
        </w:rPr>
        <w:t xml:space="preserve">i</w:t>
      </w:r>
      <w:r>
        <w:t xml:space="preserve">=Y</w:t>
      </w:r>
      <w:r>
        <w:rPr>
          <w:vertAlign w:val="subscript"/>
        </w:rPr>
        <w:t xml:space="preserve">i</w:t>
      </w:r>
      <w:r>
        <w:t xml:space="preserve">-m̂(X</w:t>
      </w:r>
      <w:r>
        <w:rPr>
          <w:vertAlign w:val="subscript"/>
        </w:rPr>
        <w:t xml:space="preserve">i</w:t>
      </w:r>
      <w:r>
        <w:t xml:space="preserve">),　T̃</w:t>
      </w:r>
      <w:r>
        <w:rPr>
          <w:vertAlign w:val="subscript"/>
        </w:rPr>
        <w:t xml:space="preserve">i</w:t>
      </w:r>
      <w:r>
        <w:t xml:space="preserve">=T</w:t>
      </w:r>
      <w:r>
        <w:rPr>
          <w:vertAlign w:val="subscript"/>
        </w:rPr>
        <w:t xml:space="preserve">i</w:t>
      </w:r>
      <w:r>
        <w:t xml:space="preserve">-ê(X</w:t>
      </w:r>
      <w:r>
        <w:rPr>
          <w:vertAlign w:val="subscript"/>
        </w:rPr>
        <w:t xml:space="preserve">i</w:t>
      </w:r>
      <w:r>
        <w:t xml:space="preserve">)</w:t>
      </w:r>
      <w:r>
        <w:t xml:space="preserve"> </w:t>
      </w:r>
      <w:r>
        <w:rPr>
          <w:rFonts w:hint="eastAsia"/>
        </w:rPr>
        <w:t xml:space="preserve">（5）</w:t>
      </w:r>
    </w:p>
    <w:p>
      <w:pPr>
        <w:pStyle w:val="BodyText"/>
      </w:pPr>
      <w:r>
        <w:rPr>
          <w:rFonts w:hint="eastAsia"/>
        </w:rPr>
        <w:t xml:space="preserve">式（5）中，</w:t>
      </w:r>
      <w:r>
        <w:rPr>
          <w:i/>
          <w:iCs/>
        </w:rPr>
        <w:t xml:space="preserve">Ŷ</w:t>
      </w:r>
      <w:r>
        <w:rPr>
          <w:i/>
          <w:iCs/>
          <w:vertAlign w:val="subscript"/>
        </w:rPr>
        <w:t xml:space="preserve">i</w:t>
      </w:r>
      <w:r>
        <w:rPr>
          <w:rFonts w:hint="eastAsia"/>
        </w:rPr>
        <w:t xml:space="preserve">表示剔除经营基础影响后的净状态变化残差，</w:t>
      </w:r>
      <w:r>
        <w:rPr>
          <w:i/>
          <w:iCs/>
        </w:rPr>
        <w:t xml:space="preserve">T̃</w:t>
      </w:r>
      <w:r>
        <w:rPr>
          <w:i/>
          <w:iCs/>
          <w:vertAlign w:val="subscript"/>
        </w:rPr>
        <w:t xml:space="preserve">i</w:t>
      </w:r>
      <w:r>
        <w:rPr>
          <w:rFonts w:hint="eastAsia"/>
        </w:rPr>
        <w:t xml:space="preserve">表示剔除处理倾向后的净供给收缩残差。进一步定义伪结果和样本权重：</w:t>
      </w:r>
    </w:p>
    <w:p>
      <w:pPr>
        <w:pStyle w:val="BodyText"/>
      </w:pPr>
      <w:r>
        <w:t xml:space="preserve">ρ</w:t>
      </w:r>
      <w:r>
        <w:rPr>
          <w:vertAlign w:val="subscript"/>
        </w:rPr>
        <w:t xml:space="preserve">i</w:t>
      </w:r>
      <w:r>
        <w:t xml:space="preserve">=Ŷ</w:t>
      </w:r>
      <w:r>
        <w:rPr>
          <w:vertAlign w:val="subscript"/>
        </w:rPr>
        <w:t xml:space="preserve">i</w:t>
      </w:r>
      <w:r>
        <w:t xml:space="preserve">/T̃</w:t>
      </w:r>
      <w:r>
        <w:rPr>
          <w:vertAlign w:val="subscript"/>
        </w:rPr>
        <w:t xml:space="preserve">i</w:t>
      </w:r>
      <w:r>
        <w:t xml:space="preserve">,　ω</w:t>
      </w:r>
      <w:r>
        <w:rPr>
          <w:vertAlign w:val="subscript"/>
        </w:rPr>
        <w:t xml:space="preserve">i</w:t>
      </w:r>
      <w:r>
        <w:t xml:space="preserve">=T̃</w:t>
      </w:r>
      <w:r>
        <w:rPr>
          <w:vertAlign w:val="subscript"/>
        </w:rPr>
        <w:t xml:space="preserve">i</w:t>
      </w:r>
      <w:r>
        <w:rPr>
          <w:vertAlign w:val="superscript"/>
        </w:rPr>
        <w:t xml:space="preserve">2</w:t>
      </w:r>
      <w:r>
        <w:t xml:space="preserve"> </w:t>
      </w:r>
      <w:r>
        <w:rPr>
          <w:rFonts w:hint="eastAsia"/>
        </w:rPr>
        <w:t xml:space="preserve">（6）</w:t>
      </w:r>
    </w:p>
    <w:p>
      <w:pPr>
        <w:pStyle w:val="BodyText"/>
      </w:pPr>
      <w:r>
        <w:rPr>
          <w:rFonts w:hint="eastAsia"/>
        </w:rPr>
        <w:t xml:space="preserve">式（6）中，</w:t>
      </w:r>
      <w:r>
        <w:rPr>
          <w:i/>
          <w:iCs/>
        </w:rPr>
        <w:t xml:space="preserve">ρ</w:t>
      </w:r>
      <w:r>
        <w:rPr>
          <w:i/>
          <w:iCs/>
          <w:vertAlign w:val="subscript"/>
        </w:rPr>
        <w:t xml:space="preserve">i</w:t>
      </w:r>
      <w:r>
        <w:rPr>
          <w:rFonts w:hint="eastAsia"/>
        </w:rPr>
        <w:t xml:space="preserve">为伪结果，</w:t>
      </w:r>
      <w:r>
        <w:rPr>
          <w:i/>
          <w:iCs/>
        </w:rPr>
        <w:t xml:space="preserve">ω</w:t>
      </w:r>
      <w:r>
        <w:rPr>
          <w:i/>
          <w:iCs/>
          <w:vertAlign w:val="subscript"/>
        </w:rPr>
        <w:t xml:space="preserve">i</w:t>
      </w:r>
      <w:r>
        <w:rPr>
          <w:rFonts w:hint="eastAsia"/>
        </w:rPr>
        <w:t xml:space="preserve">为以供给收缩残差平方刻画的样本权重。因果森林在加权意义下学习不同经营画像对应的局部净处理效应：</w:t>
      </w:r>
    </w:p>
    <w:p>
      <w:pPr>
        <w:pStyle w:val="BodyText"/>
      </w:pPr>
      <w:r>
        <w:t xml:space="preserve">τ̂=arg min</w:t>
      </w:r>
      <w:r>
        <w:rPr>
          <w:vertAlign w:val="subscript"/>
        </w:rPr>
        <w:t xml:space="preserve">τ</w:t>
      </w:r>
      <w:r>
        <w:t xml:space="preserve">Σ</w:t>
      </w:r>
      <w:r>
        <w:rPr>
          <w:vertAlign w:val="subscript"/>
        </w:rPr>
        <w:t xml:space="preserve">i=1</w:t>
      </w:r>
      <w:r>
        <w:rPr>
          <w:vertAlign w:val="superscript"/>
        </w:rPr>
        <w:t xml:space="preserve">n</w:t>
      </w:r>
      <w:r>
        <w:t xml:space="preserve">(Ŷ</w:t>
      </w:r>
      <w:r>
        <w:rPr>
          <w:vertAlign w:val="subscript"/>
        </w:rPr>
        <w:t xml:space="preserve">i</w:t>
      </w:r>
      <w:r>
        <w:t xml:space="preserve">-τ(X</w:t>
      </w:r>
      <w:r>
        <w:rPr>
          <w:vertAlign w:val="subscript"/>
        </w:rPr>
        <w:t xml:space="preserve">i</w:t>
      </w:r>
      <w:r>
        <w:t xml:space="preserve">)T̃</w:t>
      </w:r>
      <w:r>
        <w:rPr>
          <w:vertAlign w:val="subscript"/>
        </w:rPr>
        <w:t xml:space="preserve">i</w:t>
      </w:r>
      <w:r>
        <w:t xml:space="preserve">)</w:t>
      </w:r>
      <w:r>
        <w:rPr>
          <w:vertAlign w:val="superscript"/>
        </w:rPr>
        <w:t xml:space="preserve">2</w:t>
      </w:r>
      <w:r>
        <w:t xml:space="preserve"> </w:t>
      </w:r>
      <w:r>
        <w:rPr>
          <w:rFonts w:hint="eastAsia"/>
        </w:rPr>
        <w:t xml:space="preserve">（7）</w:t>
      </w:r>
    </w:p>
    <w:p>
      <w:pPr>
        <w:pStyle w:val="BodyText"/>
      </w:pPr>
      <w:r>
        <w:t xml:space="preserve">τ̂=arg min</w:t>
      </w:r>
      <w:r>
        <w:rPr>
          <w:vertAlign w:val="subscript"/>
        </w:rPr>
        <w:t xml:space="preserve">τ</w:t>
      </w:r>
      <w:r>
        <w:t xml:space="preserve">Σ</w:t>
      </w:r>
      <w:r>
        <w:rPr>
          <w:vertAlign w:val="subscript"/>
        </w:rPr>
        <w:t xml:space="preserve">i=1</w:t>
      </w:r>
      <w:r>
        <w:rPr>
          <w:vertAlign w:val="superscript"/>
        </w:rPr>
        <w:t xml:space="preserve">n</w:t>
      </w:r>
      <w:r>
        <w:t xml:space="preserve">ω</w:t>
      </w:r>
      <w:r>
        <w:rPr>
          <w:vertAlign w:val="subscript"/>
        </w:rPr>
        <w:t xml:space="preserve">i</w:t>
      </w:r>
      <w:r>
        <w:t xml:space="preserve">(ρ</w:t>
      </w:r>
      <w:r>
        <w:rPr>
          <w:vertAlign w:val="subscript"/>
        </w:rPr>
        <w:t xml:space="preserve">i</w:t>
      </w:r>
      <w:r>
        <w:t xml:space="preserve">-τ(X</w:t>
      </w:r>
      <w:r>
        <w:rPr>
          <w:vertAlign w:val="subscript"/>
        </w:rPr>
        <w:t xml:space="preserve">i</w:t>
      </w:r>
      <w:r>
        <w:t xml:space="preserve">))</w:t>
      </w:r>
      <w:r>
        <w:rPr>
          <w:vertAlign w:val="superscript"/>
        </w:rPr>
        <w:t xml:space="preserve">2</w:t>
      </w:r>
      <w:r>
        <w:t xml:space="preserve"> </w:t>
      </w:r>
      <w:r>
        <w:rPr>
          <w:rFonts w:hint="eastAsia"/>
        </w:rPr>
        <w:t xml:space="preserve">（8）</w:t>
      </w:r>
    </w:p>
    <w:p>
      <w:pPr>
        <w:pStyle w:val="BodyText"/>
      </w:pPr>
      <w:r>
        <w:rPr>
          <w:rFonts w:hint="eastAsia"/>
        </w:rPr>
        <w:t xml:space="preserve">式（7）与式（8）给出R-learner的样本层面加权目标，两者在局部线性逼近下等价：先剥离协变量能够解释的结果变化与处理倾向，再考察剩余供给收缩扰动是否仍引致状态改善，该正交化设计有助于降低观测数据中的混杂偏倚，使因果森林更接近在相似品规之间比较供给收缩效应的识别逻辑。</w:t>
      </w:r>
    </w:p>
    <w:p>
      <w:pPr>
        <w:pStyle w:val="BodyText"/>
      </w:pPr>
      <w:r>
        <w:rPr>
          <w:rFonts w:hint="eastAsia"/>
        </w:rPr>
        <w:t xml:space="preserve">因果森林由大量诚实因果树组成，每棵树将样本随机划分为分裂样本与估计样本：前者寻找能最大化处理效应差异的分裂点，后者估计叶节点内的局部处理效应。设第</w:t>
      </w:r>
      <w:r>
        <w:rPr>
          <w:i/>
          <w:iCs/>
        </w:rPr>
        <w:t xml:space="preserve">b</w:t>
      </w:r>
      <w:r>
        <w:rPr>
          <w:rFonts w:hint="eastAsia"/>
        </w:rPr>
        <w:t xml:space="preserve">棵树的局部效应估计为</w:t>
      </w:r>
      <w:r>
        <w:rPr>
          <w:i/>
          <w:iCs/>
        </w:rPr>
        <w:t xml:space="preserve">τ̂</w:t>
      </w:r>
      <w:r>
        <w:rPr>
          <w:i/>
          <w:iCs/>
          <w:vertAlign w:val="subscript"/>
        </w:rPr>
        <w:t xml:space="preserve">b</w:t>
      </w:r>
      <w:r>
        <w:rPr>
          <w:i/>
          <w:iCs/>
        </w:rPr>
        <w:t xml:space="preserve">(x)</w:t>
      </w:r>
      <w:r>
        <w:rPr>
          <w:rFonts w:hint="eastAsia"/>
        </w:rPr>
        <w:t xml:space="preserve">，则森林级CATE为：</w:t>
      </w:r>
    </w:p>
    <w:p>
      <w:pPr>
        <w:pStyle w:val="BodyText"/>
      </w:pPr>
      <w:r>
        <w:t xml:space="preserve">τ̂(x)=B</w:t>
      </w:r>
      <w:r>
        <w:rPr>
          <w:vertAlign w:val="superscript"/>
        </w:rPr>
        <w:t xml:space="preserve">-1</w:t>
      </w:r>
      <w:r>
        <w:t xml:space="preserve">Σ</w:t>
      </w:r>
      <w:r>
        <w:rPr>
          <w:vertAlign w:val="subscript"/>
        </w:rPr>
        <w:t xml:space="preserve">b=1</w:t>
      </w:r>
      <w:r>
        <w:rPr>
          <w:vertAlign w:val="superscript"/>
        </w:rPr>
        <w:t xml:space="preserve">B</w:t>
      </w:r>
      <w:r>
        <w:t xml:space="preserve">τ̂</w:t>
      </w:r>
      <w:r>
        <w:rPr>
          <w:vertAlign w:val="subscript"/>
        </w:rPr>
        <w:t xml:space="preserve">b</w:t>
      </w:r>
      <w:r>
        <w:t xml:space="preserve">(x)</w:t>
      </w:r>
      <w:r>
        <w:t xml:space="preserve"> </w:t>
      </w:r>
      <w:r>
        <w:rPr>
          <w:rFonts w:hint="eastAsia"/>
        </w:rPr>
        <w:t xml:space="preserve">（9）</w:t>
      </w:r>
    </w:p>
    <w:p>
      <w:pPr>
        <w:pStyle w:val="BodyText"/>
      </w:pPr>
      <w:r>
        <w:rPr>
          <w:rFonts w:hint="eastAsia"/>
        </w:rPr>
        <w:t xml:space="preserve">本文采用600棵树、最小叶节点20和按品规5折交叉拟合。高、中、低3组按样本CATE三分位形成，只服务于相对排序与业务复核；分位点不是结构性因果阈值，组名也不表示确定受益或受损。</w:t>
      </w:r>
    </w:p>
    <w:bookmarkEnd w:id="19"/>
    <w:bookmarkEnd w:id="20"/>
    <w:bookmarkStart w:id="21" w:name="cate解释与复核规则生成"/>
    <w:p>
      <w:pPr>
        <w:pStyle w:val="Heading2"/>
      </w:pPr>
      <w:r>
        <w:t xml:space="preserve">2.4　</w:t>
      </w:r>
      <w:r>
        <w:rPr>
          <w:rFonts w:hint="eastAsia"/>
        </w:rPr>
        <w:t xml:space="preserve">CATE解释与复核规则生成</w:t>
      </w:r>
    </w:p>
    <w:p>
      <w:pPr>
        <w:pStyle w:val="FirstParagraph"/>
      </w:pPr>
      <w:r>
        <w:rPr>
          <w:rFonts w:hint="eastAsia"/>
        </w:rPr>
        <w:t xml:space="preserve">本文用诚实因果森林变量重要性解释CATE异质性，并用经营指标分位数形成复核参考点。重要性仅反映变量参与异质性分裂的相对贡献，不提供单变量因果方向，也不直接生成供给收缩幅度。</w:t>
      </w:r>
    </w:p>
    <w:p>
      <w:pPr>
        <w:pStyle w:val="BodyText"/>
      </w:pPr>
      <w:r>
        <w:t xml:space="preserve">Iⱼ=Gⱼ/ΣₖGₖ　</w:t>
      </w:r>
      <w:r>
        <w:rPr>
          <w:rFonts w:hint="eastAsia"/>
        </w:rPr>
        <w:t xml:space="preserve">（10）</w:t>
      </w:r>
    </w:p>
    <w:p>
      <w:pPr>
        <w:pStyle w:val="BodyText"/>
      </w:pPr>
      <w:r>
        <w:rPr>
          <w:rFonts w:hint="eastAsia"/>
        </w:rPr>
        <w:t xml:space="preserve">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w:t>
      </w:r>
    </w:p>
    <w:bookmarkEnd w:id="21"/>
    <w:bookmarkStart w:id="22" w:name="稳健性复核设计"/>
    <w:p>
      <w:pPr>
        <w:pStyle w:val="Heading2"/>
      </w:pPr>
      <w:r>
        <w:t xml:space="preserve">2.5　</w:t>
      </w:r>
      <w:r>
        <w:rPr>
          <w:rFonts w:hint="eastAsia"/>
        </w:rPr>
        <w:t xml:space="preserve">稳健性复核设计</w:t>
      </w:r>
    </w:p>
    <w:p>
      <w:pPr>
        <w:pStyle w:val="FirstParagraph"/>
      </w:pPr>
      <w:r>
        <w:rPr>
          <w:rFonts w:hint="eastAsia"/>
        </w:rPr>
        <w:t xml:space="preserve">稳健性分析包括：品规和月份双向固定效应、倾向得分重叠与1:1匹配、匹配后风险比的E-value、100次月内处理标签置换、处理阈值敏感性，以及处理发生前状态变化的负对照结局。负对照用于检验反向选择与未观测混杂；若其显著，模型只能用于探索性排序。[13-15]</w:t>
      </w:r>
    </w:p>
    <w:p>
      <w:pPr>
        <w:pStyle w:val="BodyText"/>
      </w:pPr>
      <w:r>
        <w:rPr>
          <w:rFonts w:hint="eastAsia"/>
        </w:rPr>
        <w:t xml:space="preserve">关于推断口径：本文并存朴素口径（同折内插估计、未做样本外）与诚实口径（诚实样本划分+按品规分组交叉拟合的样本外估计）。后者更接近真实推广性能，故作为正文主结论口径；前者仅在第3.8节作为对照给出，避免口径混用。</w:t>
      </w:r>
    </w:p>
    <w:bookmarkEnd w:id="22"/>
    <w:bookmarkEnd w:id="23"/>
    <w:bookmarkStart w:id="55" w:name="实证结果与分析"/>
    <w:p>
      <w:pPr>
        <w:pStyle w:val="Heading1"/>
      </w:pPr>
      <w:r>
        <w:t xml:space="preserve">3　</w:t>
      </w:r>
      <w:r>
        <w:rPr>
          <w:rFonts w:hint="eastAsia"/>
        </w:rPr>
        <w:t xml:space="preserve">实证结果与分析</w:t>
      </w:r>
    </w:p>
    <w:bookmarkStart w:id="30" w:name="平均效应品规级异质性与敏感组划分"/>
    <w:p>
      <w:pPr>
        <w:pStyle w:val="Heading2"/>
      </w:pPr>
      <w:r>
        <w:t xml:space="preserve">3.1　</w:t>
      </w:r>
      <w:r>
        <w:rPr>
          <w:rFonts w:hint="eastAsia"/>
        </w:rPr>
        <w:t xml:space="preserve">平均效应、品规级异质性与敏感组划分</w:t>
      </w:r>
    </w:p>
    <w:p>
      <w:pPr>
        <w:pStyle w:val="FirstParagraph"/>
      </w:pPr>
      <w:r>
        <w:rPr>
          <w:rFonts w:hint="eastAsia"/>
        </w:rPr>
        <w:t xml:space="preserve">剔除处理相关结果指标后，诚实因果森林ATE为0.659（95%</w:t>
      </w:r>
      <w:r>
        <w:t xml:space="preserve"> </w:t>
      </w:r>
      <w:r>
        <w:rPr>
          <w:rFonts w:hint="eastAsia"/>
        </w:rPr>
        <w:t xml:space="preserve">CI：-1.679～2.997），区间跨0。该结果推翻了旧稿基于循环评分得到的强效应叙述：供给收缩在总体上没有稳定的普遍改善证据，后续分析重点转为异质性结构及其识别边界。</w:t>
      </w:r>
    </w:p>
    <w:p>
      <w:pPr>
        <w:pStyle w:val="BodyText"/>
      </w:pPr>
      <w:r>
        <w:drawing>
          <wp:inline>
            <wp:extent cx="5334000" cy="3788685"/>
            <wp:effectExtent b="0" l="0" r="0" t="0"/>
            <wp:docPr descr="CATE分布" title="" id="25" name="Picture"/>
            <a:graphic>
              <a:graphicData uri="http://schemas.openxmlformats.org/drawingml/2006/picture">
                <pic:pic>
                  <pic:nvPicPr>
                    <pic:cNvPr descr="figures/fig2_cate_dist.png" id="26" name="Picture"/>
                    <pic:cNvPicPr>
                      <a:picLocks noChangeArrowheads="1" noChangeAspect="1"/>
                    </pic:cNvPicPr>
                  </pic:nvPicPr>
                  <pic:blipFill>
                    <a:blip r:embed="rId24"/>
                    <a:stretch>
                      <a:fillRect/>
                    </a:stretch>
                  </pic:blipFill>
                  <pic:spPr bwMode="auto">
                    <a:xfrm>
                      <a:off x="0" y="0"/>
                      <a:ext cx="5334000" cy="3788685"/>
                    </a:xfrm>
                    <a:prstGeom prst="rect">
                      <a:avLst/>
                    </a:prstGeom>
                    <a:noFill/>
                    <a:ln w="9525">
                      <a:noFill/>
                      <a:headEnd/>
                      <a:tailEnd/>
                    </a:ln>
                  </pic:spPr>
                </pic:pic>
              </a:graphicData>
            </a:graphic>
          </wp:inline>
        </w:drawing>
      </w:r>
    </w:p>
    <w:p>
      <w:pPr>
        <w:pStyle w:val="BodyText"/>
      </w:pPr>
      <w:r>
        <w:rPr>
          <w:rFonts w:hint="eastAsia"/>
        </w:rPr>
        <w:t xml:space="preserve">图2</w:t>
      </w:r>
      <w:r>
        <w:t xml:space="preserve">　</w:t>
      </w:r>
      <w:r>
        <w:rPr>
          <w:rFonts w:hint="eastAsia"/>
        </w:rPr>
        <w:t xml:space="preserve">供给收缩调控下卷烟品规CATE分布</w:t>
      </w:r>
      <w:r>
        <w:br/>
      </w:r>
      <w:r>
        <w:t xml:space="preserve">Fig. 2 Distribution of CATE under supply contraction regulation</w:t>
      </w:r>
    </w:p>
    <w:p>
      <w:pPr>
        <w:pStyle w:val="BodyText"/>
      </w:pPr>
      <w:r>
        <w:rPr>
          <w:rFonts w:hint="eastAsia"/>
        </w:rPr>
        <w:t xml:space="preserve">图2展示2886个品规×月份有效样本的CATE分布。从其分布形态看，CATE围绕0呈近似对称但略右偏的连续分布，跨过0点的样本比例不低，这与总体ATE（0.659，95%</w:t>
      </w:r>
      <w:r>
        <w:t xml:space="preserve"> </w:t>
      </w:r>
      <w:r>
        <w:rPr>
          <w:rFonts w:hint="eastAsia"/>
        </w:rPr>
        <w:t xml:space="preserve">CI跨0）不显著互为印证——若把全部品规按平均效应统一供给收缩，必然有相当一部分对象无益甚至受损。图中以样本三分位为界标示高、中、低三个排序层级：高敏感区约含962条观测、CATE均值1.832，低敏感区约含1081条、均值-0.321，两层级重心已明显分开，说明品规级关联信号不是偶然噪声，而是随经营画像稳定分化的结构。图中区域标出分布重心与分位线位置，其中分位线仅用于形成相对复核优先级，不构成自动供给收缩阈值；具体决策仍须回到4章的复核规则与业务审批。</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rPr>
                <w:rFonts w:hint="eastAsia"/>
              </w:rPr>
              <w:t xml:space="preserve">敏感组</w:t>
            </w:r>
          </w:p>
        </w:tc>
        <w:tc>
          <w:tcPr/>
          <w:p>
            <w:pPr>
              <w:pStyle w:val="Compact"/>
            </w:pPr>
            <w:r>
              <w:rPr>
                <w:rFonts w:hint="eastAsia"/>
              </w:rPr>
              <w:t xml:space="preserve">样本量</w:t>
            </w:r>
          </w:p>
        </w:tc>
        <w:tc>
          <w:tcPr/>
          <w:p>
            <w:pPr>
              <w:pStyle w:val="Compact"/>
            </w:pPr>
            <w:r>
              <w:rPr>
                <w:rFonts w:hint="eastAsia"/>
              </w:rPr>
              <w:t xml:space="preserve">CATE均值</w:t>
            </w:r>
          </w:p>
        </w:tc>
        <w:tc>
          <w:tcPr/>
          <w:p>
            <w:pPr>
              <w:pStyle w:val="Compact"/>
            </w:pPr>
            <w:r>
              <w:rPr>
                <w:rFonts w:hint="eastAsia"/>
              </w:rPr>
              <w:t xml:space="preserve">标准差</w:t>
            </w:r>
          </w:p>
        </w:tc>
        <w:tc>
          <w:tcPr/>
          <w:p>
            <w:pPr>
              <w:pStyle w:val="Compact"/>
            </w:pPr>
            <w:r>
              <w:rPr>
                <w:rFonts w:hint="eastAsia"/>
              </w:rPr>
              <w:t xml:space="preserve">最小值</w:t>
            </w:r>
          </w:p>
        </w:tc>
        <w:tc>
          <w:tcPr/>
          <w:p>
            <w:pPr>
              <w:pStyle w:val="Compact"/>
            </w:pPr>
            <w:r>
              <w:rPr>
                <w:rFonts w:hint="eastAsia"/>
              </w:rPr>
              <w:t xml:space="preserve">25%分位</w:t>
            </w:r>
          </w:p>
        </w:tc>
        <w:tc>
          <w:tcPr/>
          <w:p>
            <w:pPr>
              <w:pStyle w:val="Compact"/>
            </w:pPr>
            <w:r>
              <w:rPr>
                <w:rFonts w:hint="eastAsia"/>
              </w:rPr>
              <w:t xml:space="preserve">中位数</w:t>
            </w:r>
          </w:p>
        </w:tc>
        <w:tc>
          <w:tcPr/>
          <w:p>
            <w:pPr>
              <w:pStyle w:val="Compact"/>
            </w:pPr>
            <w:r>
              <w:rPr>
                <w:rFonts w:hint="eastAsia"/>
              </w:rPr>
              <w:t xml:space="preserve">75%分位</w:t>
            </w:r>
          </w:p>
        </w:tc>
        <w:tc>
          <w:tcPr/>
          <w:p>
            <w:pPr>
              <w:pStyle w:val="Compact"/>
            </w:pPr>
            <w:r>
              <w:rPr>
                <w:rFonts w:hint="eastAsia"/>
              </w:rPr>
              <w:t xml:space="preserve">最大值</w:t>
            </w:r>
          </w:p>
        </w:tc>
      </w:tr>
      <w:tr>
        <w:tc>
          <w:tcPr/>
          <w:p>
            <w:pPr>
              <w:pStyle w:val="Compact"/>
            </w:pPr>
            <w:r>
              <w:rPr>
                <w:rFonts w:hint="eastAsia"/>
              </w:rPr>
              <w:t xml:space="preserve">高敏感</w:t>
            </w:r>
          </w:p>
        </w:tc>
        <w:tc>
          <w:tcPr/>
          <w:p>
            <w:pPr>
              <w:pStyle w:val="Compact"/>
            </w:pPr>
            <w:r>
              <w:t xml:space="preserve">962</w:t>
            </w:r>
          </w:p>
        </w:tc>
        <w:tc>
          <w:tcPr/>
          <w:p>
            <w:pPr>
              <w:pStyle w:val="Compact"/>
            </w:pPr>
            <w:r>
              <w:t xml:space="preserve">1.832</w:t>
            </w:r>
          </w:p>
        </w:tc>
        <w:tc>
          <w:tcPr/>
          <w:p>
            <w:pPr>
              <w:pStyle w:val="Compact"/>
            </w:pPr>
            <w:r>
              <w:t xml:space="preserve">0.718</w:t>
            </w:r>
          </w:p>
        </w:tc>
        <w:tc>
          <w:tcPr/>
          <w:p>
            <w:pPr>
              <w:pStyle w:val="Compact"/>
            </w:pPr>
            <w:r>
              <w:t xml:space="preserve">0.899</w:t>
            </w:r>
          </w:p>
        </w:tc>
        <w:tc>
          <w:tcPr/>
          <w:p>
            <w:pPr>
              <w:pStyle w:val="Compact"/>
            </w:pPr>
            <w:r>
              <w:t xml:space="preserve">1.234</w:t>
            </w:r>
          </w:p>
        </w:tc>
        <w:tc>
          <w:tcPr/>
          <w:p>
            <w:pPr>
              <w:pStyle w:val="Compact"/>
            </w:pPr>
            <w:r>
              <w:t xml:space="preserve">1.683</w:t>
            </w:r>
          </w:p>
        </w:tc>
        <w:tc>
          <w:tcPr/>
          <w:p>
            <w:pPr>
              <w:pStyle w:val="Compact"/>
            </w:pPr>
            <w:r>
              <w:t xml:space="preserve">2.336</w:t>
            </w:r>
          </w:p>
        </w:tc>
        <w:tc>
          <w:tcPr/>
          <w:p>
            <w:pPr>
              <w:pStyle w:val="Compact"/>
            </w:pPr>
            <w:r>
              <w:t xml:space="preserve">4.065</w:t>
            </w:r>
          </w:p>
        </w:tc>
      </w:tr>
      <w:tr>
        <w:tc>
          <w:tcPr/>
          <w:p>
            <w:pPr>
              <w:pStyle w:val="Compact"/>
            </w:pPr>
            <w:r>
              <w:rPr>
                <w:rFonts w:hint="eastAsia"/>
              </w:rPr>
              <w:t xml:space="preserve">中敏感</w:t>
            </w:r>
          </w:p>
        </w:tc>
        <w:tc>
          <w:tcPr/>
          <w:p>
            <w:pPr>
              <w:pStyle w:val="Compact"/>
            </w:pPr>
            <w:r>
              <w:t xml:space="preserve">843</w:t>
            </w:r>
          </w:p>
        </w:tc>
        <w:tc>
          <w:tcPr/>
          <w:p>
            <w:pPr>
              <w:pStyle w:val="Compact"/>
            </w:pPr>
            <w:r>
              <w:t xml:space="preserve">0.575</w:t>
            </w:r>
          </w:p>
        </w:tc>
        <w:tc>
          <w:tcPr/>
          <w:p>
            <w:pPr>
              <w:pStyle w:val="Compact"/>
            </w:pPr>
            <w:r>
              <w:t xml:space="preserve">0.177</w:t>
            </w:r>
          </w:p>
        </w:tc>
        <w:tc>
          <w:tcPr/>
          <w:p>
            <w:pPr>
              <w:pStyle w:val="Compact"/>
            </w:pPr>
            <w:r>
              <w:t xml:space="preserve">0.250</w:t>
            </w:r>
          </w:p>
        </w:tc>
        <w:tc>
          <w:tcPr/>
          <w:p>
            <w:pPr>
              <w:pStyle w:val="Compact"/>
            </w:pPr>
            <w:r>
              <w:t xml:space="preserve">0.430</w:t>
            </w:r>
          </w:p>
        </w:tc>
        <w:tc>
          <w:tcPr/>
          <w:p>
            <w:pPr>
              <w:pStyle w:val="Compact"/>
            </w:pPr>
            <w:r>
              <w:t xml:space="preserve">0.571</w:t>
            </w:r>
          </w:p>
        </w:tc>
        <w:tc>
          <w:tcPr/>
          <w:p>
            <w:pPr>
              <w:pStyle w:val="Compact"/>
            </w:pPr>
            <w:r>
              <w:t xml:space="preserve">0.729</w:t>
            </w:r>
          </w:p>
        </w:tc>
        <w:tc>
          <w:tcPr/>
          <w:p>
            <w:pPr>
              <w:pStyle w:val="Compact"/>
            </w:pPr>
            <w:r>
              <w:t xml:space="preserve">0.896</w:t>
            </w:r>
          </w:p>
        </w:tc>
      </w:tr>
      <w:tr>
        <w:tc>
          <w:tcPr/>
          <w:p>
            <w:pPr>
              <w:pStyle w:val="Compact"/>
            </w:pPr>
            <w:r>
              <w:rPr>
                <w:rFonts w:hint="eastAsia"/>
              </w:rPr>
              <w:t xml:space="preserve">低敏感</w:t>
            </w:r>
          </w:p>
        </w:tc>
        <w:tc>
          <w:tcPr/>
          <w:p>
            <w:pPr>
              <w:pStyle w:val="Compact"/>
            </w:pPr>
            <w:r>
              <w:t xml:space="preserve">1081</w:t>
            </w:r>
          </w:p>
        </w:tc>
        <w:tc>
          <w:tcPr/>
          <w:p>
            <w:pPr>
              <w:pStyle w:val="Compact"/>
            </w:pPr>
            <w:r>
              <w:t xml:space="preserve">-0.321</w:t>
            </w:r>
          </w:p>
        </w:tc>
        <w:tc>
          <w:tcPr/>
          <w:p>
            <w:pPr>
              <w:pStyle w:val="Compact"/>
            </w:pPr>
            <w:r>
              <w:t xml:space="preserve">0.595</w:t>
            </w:r>
          </w:p>
        </w:tc>
        <w:tc>
          <w:tcPr/>
          <w:p>
            <w:pPr>
              <w:pStyle w:val="Compact"/>
            </w:pPr>
            <w:r>
              <w:t xml:space="preserve">-2.593</w:t>
            </w:r>
          </w:p>
        </w:tc>
        <w:tc>
          <w:tcPr/>
          <w:p>
            <w:pPr>
              <w:pStyle w:val="Compact"/>
            </w:pPr>
            <w:r>
              <w:t xml:space="preserve">-0.591</w:t>
            </w:r>
          </w:p>
        </w:tc>
        <w:tc>
          <w:tcPr/>
          <w:p>
            <w:pPr>
              <w:pStyle w:val="Compact"/>
            </w:pPr>
            <w:r>
              <w:t xml:space="preserve">-0.138</w:t>
            </w:r>
          </w:p>
        </w:tc>
        <w:tc>
          <w:tcPr/>
          <w:p>
            <w:pPr>
              <w:pStyle w:val="Compact"/>
            </w:pPr>
            <w:r>
              <w:t xml:space="preserve">0.133</w:t>
            </w:r>
          </w:p>
        </w:tc>
        <w:tc>
          <w:tcPr/>
          <w:p>
            <w:pPr>
              <w:pStyle w:val="Compact"/>
            </w:pPr>
            <w:r>
              <w:t xml:space="preserve">0.250</w:t>
            </w:r>
          </w:p>
        </w:tc>
      </w:tr>
    </w:tbl>
    <w:p>
      <w:pPr>
        <w:pStyle w:val="BodyText"/>
      </w:pPr>
      <w:r>
        <w:rPr>
          <w:rFonts w:hint="eastAsia"/>
        </w:rPr>
        <w:t xml:space="preserve">表3</w:t>
      </w:r>
      <w:r>
        <w:t xml:space="preserve">　</w:t>
      </w:r>
      <w:r>
        <w:rPr>
          <w:rFonts w:hint="eastAsia"/>
        </w:rPr>
        <w:t xml:space="preserve">高/中/低敏感品规CATE分布统计</w:t>
      </w:r>
      <w:r>
        <w:br/>
      </w:r>
      <w:r>
        <w:t xml:space="preserve">Tab. 3 Distribution statistics of CATE by sensitivity group</w:t>
      </w:r>
    </w:p>
    <w:p>
      <w:pPr>
        <w:pStyle w:val="BodyText"/>
      </w:pPr>
      <w:r>
        <w:rPr>
          <w:rFonts w:hint="eastAsia"/>
        </w:rPr>
        <w:t xml:space="preserve">表3和图3展示CATE按样本三分位形成的相对层级。分组用于比较模型排序，不等同于高敏感组必然受益；是否执行供给收缩仍须结合区间估计、价盘、库存、品牌策略和总量约束人工审核。</w:t>
      </w:r>
    </w:p>
    <w:p>
      <w:pPr>
        <w:pStyle w:val="BodyText"/>
      </w:pPr>
      <w:r>
        <w:drawing>
          <wp:inline>
            <wp:extent cx="5334000" cy="3761736"/>
            <wp:effectExtent b="0" l="0" r="0" t="0"/>
            <wp:docPr descr="CATE密度图" title="" id="28" name="Picture"/>
            <a:graphic>
              <a:graphicData uri="http://schemas.openxmlformats.org/drawingml/2006/picture">
                <pic:pic>
                  <pic:nvPicPr>
                    <pic:cNvPr descr="figures/fig3_cate_density_groups.png" id="29" name="Picture"/>
                    <pic:cNvPicPr>
                      <a:picLocks noChangeArrowheads="1" noChangeAspect="1"/>
                    </pic:cNvPicPr>
                  </pic:nvPicPr>
                  <pic:blipFill>
                    <a:blip r:embed="rId27"/>
                    <a:stretch>
                      <a:fillRect/>
                    </a:stretch>
                  </pic:blipFill>
                  <pic:spPr bwMode="auto">
                    <a:xfrm>
                      <a:off x="0" y="0"/>
                      <a:ext cx="5334000" cy="3761736"/>
                    </a:xfrm>
                    <a:prstGeom prst="rect">
                      <a:avLst/>
                    </a:prstGeom>
                    <a:noFill/>
                    <a:ln w="9525">
                      <a:noFill/>
                      <a:headEnd/>
                      <a:tailEnd/>
                    </a:ln>
                  </pic:spPr>
                </pic:pic>
              </a:graphicData>
            </a:graphic>
          </wp:inline>
        </w:drawing>
      </w:r>
    </w:p>
    <w:p>
      <w:pPr>
        <w:pStyle w:val="BodyText"/>
      </w:pPr>
      <w:r>
        <w:rPr>
          <w:rFonts w:hint="eastAsia"/>
        </w:rPr>
        <w:t xml:space="preserve">图3</w:t>
      </w:r>
      <w:r>
        <w:t xml:space="preserve">　</w:t>
      </w:r>
      <w:r>
        <w:rPr>
          <w:rFonts w:hint="eastAsia"/>
        </w:rPr>
        <w:t xml:space="preserve">不同敏感组处理效应密度分布</w:t>
      </w:r>
      <w:r>
        <w:br/>
      </w:r>
      <w:r>
        <w:t xml:space="preserve">Fig. 3 Density distribution of treatment effects across sensitivity groups</w:t>
      </w:r>
    </w:p>
    <w:p>
      <w:pPr>
        <w:pStyle w:val="BodyText"/>
      </w:pPr>
      <w:r>
        <w:rPr>
          <w:rFonts w:hint="eastAsia"/>
        </w:rPr>
        <w:t xml:space="preserve">图3以核密度对比高、中、低三组CATE的分布形态与重心偏移。高敏感组（n=962，均值1.832）整体右移且右尾更长（75%分位2.336、最大4.065），低敏感组（n=1081，均值-0.321）整体左移（25%分位-0.591、最低-2.593），中敏感组（n=843，均值0.575）居于二者之间、离散最小。三组密度在CATE=0附近的重叠有限，重心明显分离，再次印证图2“异质性随画像稳定分化”的判断；该图直观说明，即使总体ATE跨0，品规级关联信号仍呈现可区分的连续分层，这正是后续差异化复核的前提。图3只比较排序层级，不表示组内个体必然受益或受损。</w:t>
      </w:r>
    </w:p>
    <w:p>
      <w:pPr>
        <w:pStyle w:val="BodyText"/>
      </w:pPr>
      <w:r>
        <w:rPr>
          <w:rFonts w:hint="eastAsia"/>
        </w:rPr>
        <w:t xml:space="preserve">表4报告分组交叉拟合、诚实分样本和倾向得分重叠情况。约14.8%的样本位于[0.05,0.95]之外，提示部分经营画像缺少充分可比样本，外推时应限制在共同支持域。</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诊断</w:t>
            </w:r>
          </w:p>
        </w:tc>
        <w:tc>
          <w:tcPr/>
          <w:p>
            <w:pPr>
              <w:pStyle w:val="Compact"/>
            </w:pPr>
            <w:r>
              <w:rPr>
                <w:rFonts w:hint="eastAsia"/>
              </w:rPr>
              <w:t xml:space="preserve">设定或统计量</w:t>
            </w:r>
          </w:p>
        </w:tc>
        <w:tc>
          <w:tcPr/>
          <w:p>
            <w:pPr>
              <w:pStyle w:val="Compact"/>
            </w:pPr>
            <w:r>
              <w:rPr>
                <w:rFonts w:hint="eastAsia"/>
              </w:rPr>
              <w:t xml:space="preserve">结果</w:t>
            </w:r>
          </w:p>
        </w:tc>
        <w:tc>
          <w:tcPr/>
          <w:p>
            <w:pPr>
              <w:pStyle w:val="Compact"/>
            </w:pPr>
            <w:r>
              <w:rPr>
                <w:rFonts w:hint="eastAsia"/>
              </w:rPr>
              <w:t xml:space="preserve">含义</w:t>
            </w:r>
          </w:p>
        </w:tc>
      </w:tr>
      <w:tr>
        <w:tc>
          <w:tcPr/>
          <w:p>
            <w:pPr>
              <w:pStyle w:val="Compact"/>
            </w:pPr>
            <w:r>
              <w:rPr>
                <w:rFonts w:hint="eastAsia"/>
              </w:rPr>
              <w:t xml:space="preserve">分组交叉拟合</w:t>
            </w:r>
          </w:p>
        </w:tc>
        <w:tc>
          <w:tcPr/>
          <w:p>
            <w:pPr>
              <w:pStyle w:val="Compact"/>
            </w:pPr>
            <w:r>
              <w:rPr>
                <w:rFonts w:hint="eastAsia"/>
              </w:rPr>
              <w:t xml:space="preserve">按品规5折</w:t>
            </w:r>
          </w:p>
        </w:tc>
        <w:tc>
          <w:tcPr/>
          <w:p>
            <w:pPr>
              <w:pStyle w:val="Compact"/>
            </w:pPr>
            <w:r>
              <w:rPr>
                <w:rFonts w:hint="eastAsia"/>
              </w:rPr>
              <w:t xml:space="preserve">同一品规不跨训练与验证折</w:t>
            </w:r>
          </w:p>
        </w:tc>
        <w:tc>
          <w:tcPr/>
          <w:p>
            <w:pPr>
              <w:pStyle w:val="Compact"/>
            </w:pPr>
            <w:r>
              <w:rPr>
                <w:rFonts w:hint="eastAsia"/>
              </w:rPr>
              <w:t xml:space="preserve">控制跨月信息泄漏</w:t>
            </w:r>
          </w:p>
        </w:tc>
      </w:tr>
      <w:tr>
        <w:tc>
          <w:tcPr/>
          <w:p>
            <w:pPr>
              <w:pStyle w:val="Compact"/>
            </w:pPr>
            <w:r>
              <w:rPr>
                <w:rFonts w:hint="eastAsia"/>
              </w:rPr>
              <w:t xml:space="preserve">诚实分样本</w:t>
            </w:r>
          </w:p>
        </w:tc>
        <w:tc>
          <w:tcPr/>
          <w:p>
            <w:pPr>
              <w:pStyle w:val="Compact"/>
            </w:pPr>
            <w:r>
              <w:rPr>
                <w:rFonts w:hint="eastAsia"/>
              </w:rPr>
              <w:t xml:space="preserve">600棵树；最小叶节点20</w:t>
            </w:r>
          </w:p>
        </w:tc>
        <w:tc>
          <w:tcPr/>
          <w:p>
            <w:pPr>
              <w:pStyle w:val="Compact"/>
            </w:pPr>
            <w:r>
              <w:rPr>
                <w:rFonts w:hint="eastAsia"/>
              </w:rPr>
              <w:t xml:space="preserve">分裂与效应估计样本分离</w:t>
            </w:r>
          </w:p>
        </w:tc>
        <w:tc>
          <w:tcPr/>
          <w:p>
            <w:pPr>
              <w:pStyle w:val="Compact"/>
            </w:pPr>
            <w:r>
              <w:rPr>
                <w:rFonts w:hint="eastAsia"/>
              </w:rPr>
              <w:t xml:space="preserve">降低自适应偏差</w:t>
            </w:r>
          </w:p>
        </w:tc>
      </w:tr>
      <w:tr>
        <w:tc>
          <w:tcPr/>
          <w:p>
            <w:pPr>
              <w:pStyle w:val="Compact"/>
            </w:pPr>
            <w:r>
              <w:rPr>
                <w:rFonts w:hint="eastAsia"/>
              </w:rPr>
              <w:t xml:space="preserve">倾向得分重叠</w:t>
            </w:r>
          </w:p>
        </w:tc>
        <w:tc>
          <w:tcPr/>
          <w:p>
            <w:pPr>
              <w:pStyle w:val="Compact"/>
            </w:pPr>
            <w:r>
              <w:rPr>
                <w:rFonts w:hint="eastAsia"/>
              </w:rPr>
              <w:t xml:space="preserve">落在[0.05,0.95]之外比例</w:t>
            </w:r>
          </w:p>
        </w:tc>
        <w:tc>
          <w:tcPr/>
          <w:p>
            <w:pPr>
              <w:pStyle w:val="Compact"/>
            </w:pPr>
            <w:r>
              <w:t xml:space="preserve">14.8%</w:t>
            </w:r>
          </w:p>
        </w:tc>
        <w:tc>
          <w:tcPr/>
          <w:p>
            <w:pPr>
              <w:pStyle w:val="Compact"/>
            </w:pPr>
            <w:r>
              <w:rPr>
                <w:rFonts w:hint="eastAsia"/>
              </w:rPr>
              <w:t xml:space="preserve">存在一定尾部重叠不足</w:t>
            </w:r>
          </w:p>
        </w:tc>
      </w:tr>
      <w:tr>
        <w:tc>
          <w:tcPr/>
          <w:p>
            <w:pPr>
              <w:pStyle w:val="Compact"/>
            </w:pPr>
            <w:r>
              <w:rPr>
                <w:rFonts w:hint="eastAsia"/>
              </w:rPr>
              <w:t xml:space="preserve">有效样本量</w:t>
            </w:r>
          </w:p>
        </w:tc>
        <w:tc>
          <w:tcPr/>
          <w:p>
            <w:pPr>
              <w:pStyle w:val="Compact"/>
            </w:pPr>
            <w:r>
              <w:rPr>
                <w:rFonts w:hint="eastAsia"/>
              </w:rPr>
              <w:t xml:space="preserve">倾向得分ESS</w:t>
            </w:r>
          </w:p>
        </w:tc>
        <w:tc>
          <w:tcPr/>
          <w:p>
            <w:pPr>
              <w:pStyle w:val="Compact"/>
            </w:pPr>
            <w:r>
              <w:t xml:space="preserve">2048.1</w:t>
            </w:r>
          </w:p>
        </w:tc>
        <w:tc>
          <w:tcPr/>
          <w:p>
            <w:pPr>
              <w:pStyle w:val="Compact"/>
            </w:pPr>
            <w:r>
              <w:rPr>
                <w:rFonts w:hint="eastAsia"/>
              </w:rPr>
              <w:t xml:space="preserve">主体样本仍具有可比信息</w:t>
            </w:r>
          </w:p>
        </w:tc>
      </w:tr>
    </w:tbl>
    <w:p>
      <w:pPr>
        <w:pStyle w:val="BodyText"/>
      </w:pPr>
      <w:r>
        <w:rPr>
          <w:rFonts w:hint="eastAsia"/>
        </w:rPr>
        <w:t xml:space="preserve">表4</w:t>
      </w:r>
      <w:r>
        <w:t xml:space="preserve">　</w:t>
      </w:r>
      <w:r>
        <w:rPr>
          <w:rFonts w:hint="eastAsia"/>
        </w:rPr>
        <w:t xml:space="preserve">主模型识别与重叠性诊断</w:t>
      </w:r>
      <w:r>
        <w:br/>
      </w:r>
      <w:r>
        <w:t xml:space="preserve">Tab. 4 Identification and overlap diagnostics of the main model</w:t>
      </w:r>
    </w:p>
    <w:p>
      <w:pPr>
        <w:pStyle w:val="BodyText"/>
      </w:pPr>
      <w:r>
        <w:rPr>
          <w:rFonts w:hint="eastAsia"/>
        </w:rPr>
        <w:t xml:space="preserve">识别诊断表明主体样本具有可比信息，但尾部重叠不足仍然存在。因此，本文不把所有品规的CATE都视为同等可靠，月度清单优先保留置信区间较窄且处于共同支持域的对象。</w:t>
      </w:r>
    </w:p>
    <w:bookmarkEnd w:id="30"/>
    <w:bookmarkStart w:id="31" w:name="三档敏感品规的经营画像"/>
    <w:p>
      <w:pPr>
        <w:pStyle w:val="Heading2"/>
      </w:pPr>
      <w:r>
        <w:t xml:space="preserve">3.2　</w:t>
      </w:r>
      <w:r>
        <w:rPr>
          <w:rFonts w:hint="eastAsia"/>
        </w:rPr>
        <w:t xml:space="preserve">三档敏感品规的经营画像</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r>
              <w:rPr>
                <w:rFonts w:hint="eastAsia"/>
              </w:rPr>
              <w:t xml:space="preserve">敏感组</w:t>
            </w:r>
          </w:p>
        </w:tc>
        <w:tc>
          <w:tcPr/>
          <w:p>
            <w:pPr>
              <w:pStyle w:val="Compact"/>
            </w:pPr>
            <w:r>
              <w:rPr>
                <w:rFonts w:hint="eastAsia"/>
              </w:rPr>
              <w:t xml:space="preserve">供给收缩前S*</w:t>
            </w:r>
          </w:p>
        </w:tc>
        <w:tc>
          <w:tcPr/>
          <w:p>
            <w:pPr>
              <w:pStyle w:val="Compact"/>
            </w:pPr>
            <w:r>
              <w:rPr>
                <w:rFonts w:hint="eastAsia"/>
              </w:rPr>
              <w:t xml:space="preserve">货源利用率/%</w:t>
            </w:r>
          </w:p>
        </w:tc>
        <w:tc>
          <w:tcPr/>
          <w:p>
            <w:pPr>
              <w:pStyle w:val="Compact"/>
            </w:pPr>
            <w:r>
              <w:rPr>
                <w:rFonts w:hint="eastAsia"/>
              </w:rPr>
              <w:t xml:space="preserve">顺价指数</w:t>
            </w:r>
          </w:p>
        </w:tc>
        <w:tc>
          <w:tcPr/>
          <w:p>
            <w:pPr>
              <w:pStyle w:val="Compact"/>
            </w:pPr>
            <w:r>
              <w:rPr>
                <w:rFonts w:hint="eastAsia"/>
              </w:rPr>
              <w:t xml:space="preserve">存销比</w:t>
            </w:r>
          </w:p>
        </w:tc>
        <w:tc>
          <w:tcPr/>
          <w:p>
            <w:pPr>
              <w:pStyle w:val="Compact"/>
            </w:pPr>
            <w:r>
              <w:rPr>
                <w:rFonts w:hint="eastAsia"/>
              </w:rPr>
              <w:t xml:space="preserve">订单满足率/%</w:t>
            </w:r>
          </w:p>
        </w:tc>
        <w:tc>
          <w:tcPr/>
          <w:p>
            <w:pPr>
              <w:pStyle w:val="Compact"/>
            </w:pPr>
            <w:r>
              <w:rPr>
                <w:rFonts w:hint="eastAsia"/>
              </w:rPr>
              <w:t xml:space="preserve">订货成功率/%</w:t>
            </w:r>
          </w:p>
        </w:tc>
      </w:tr>
      <w:tr>
        <w:tc>
          <w:tcPr/>
          <w:p>
            <w:pPr>
              <w:pStyle w:val="Compact"/>
            </w:pPr>
            <w:r>
              <w:rPr>
                <w:rFonts w:hint="eastAsia"/>
              </w:rPr>
              <w:t xml:space="preserve">高敏感</w:t>
            </w:r>
          </w:p>
        </w:tc>
        <w:tc>
          <w:tcPr/>
          <w:p>
            <w:pPr>
              <w:pStyle w:val="Compact"/>
            </w:pPr>
            <w:r>
              <w:t xml:space="preserve">50.12</w:t>
            </w:r>
          </w:p>
        </w:tc>
        <w:tc>
          <w:tcPr/>
          <w:p>
            <w:pPr>
              <w:pStyle w:val="Compact"/>
            </w:pPr>
            <w:r>
              <w:t xml:space="preserve">85.52</w:t>
            </w:r>
          </w:p>
        </w:tc>
        <w:tc>
          <w:tcPr/>
          <w:p>
            <w:pPr>
              <w:pStyle w:val="Compact"/>
            </w:pPr>
            <w:r>
              <w:t xml:space="preserve">1.18</w:t>
            </w:r>
          </w:p>
        </w:tc>
        <w:tc>
          <w:tcPr/>
          <w:p>
            <w:pPr>
              <w:pStyle w:val="Compact"/>
            </w:pPr>
            <w:r>
              <w:t xml:space="preserve">1092.14</w:t>
            </w:r>
          </w:p>
        </w:tc>
        <w:tc>
          <w:tcPr/>
          <w:p>
            <w:pPr>
              <w:pStyle w:val="Compact"/>
            </w:pPr>
            <w:r>
              <w:t xml:space="preserve">80.69</w:t>
            </w:r>
          </w:p>
        </w:tc>
        <w:tc>
          <w:tcPr/>
          <w:p>
            <w:pPr>
              <w:pStyle w:val="Compact"/>
            </w:pPr>
            <w:r>
              <w:t xml:space="preserve">20.02</w:t>
            </w:r>
          </w:p>
        </w:tc>
      </w:tr>
      <w:tr>
        <w:tc>
          <w:tcPr/>
          <w:p>
            <w:pPr>
              <w:pStyle w:val="Compact"/>
            </w:pPr>
            <w:r>
              <w:rPr>
                <w:rFonts w:hint="eastAsia"/>
              </w:rPr>
              <w:t xml:space="preserve">中敏感</w:t>
            </w:r>
          </w:p>
        </w:tc>
        <w:tc>
          <w:tcPr/>
          <w:p>
            <w:pPr>
              <w:pStyle w:val="Compact"/>
            </w:pPr>
            <w:r>
              <w:t xml:space="preserve">32.35</w:t>
            </w:r>
          </w:p>
        </w:tc>
        <w:tc>
          <w:tcPr/>
          <w:p>
            <w:pPr>
              <w:pStyle w:val="Compact"/>
            </w:pPr>
            <w:r>
              <w:t xml:space="preserve">78.59</w:t>
            </w:r>
          </w:p>
        </w:tc>
        <w:tc>
          <w:tcPr/>
          <w:p>
            <w:pPr>
              <w:pStyle w:val="Compact"/>
            </w:pPr>
            <w:r>
              <w:t xml:space="preserve">1.16</w:t>
            </w:r>
          </w:p>
        </w:tc>
        <w:tc>
          <w:tcPr/>
          <w:p>
            <w:pPr>
              <w:pStyle w:val="Compact"/>
            </w:pPr>
            <w:r>
              <w:t xml:space="preserve">801.27</w:t>
            </w:r>
          </w:p>
        </w:tc>
        <w:tc>
          <w:tcPr/>
          <w:p>
            <w:pPr>
              <w:pStyle w:val="Compact"/>
            </w:pPr>
            <w:r>
              <w:t xml:space="preserve">85.70</w:t>
            </w:r>
          </w:p>
        </w:tc>
        <w:tc>
          <w:tcPr/>
          <w:p>
            <w:pPr>
              <w:pStyle w:val="Compact"/>
            </w:pPr>
            <w:r>
              <w:t xml:space="preserve">14.88</w:t>
            </w:r>
          </w:p>
        </w:tc>
      </w:tr>
      <w:tr>
        <w:tc>
          <w:tcPr/>
          <w:p>
            <w:pPr>
              <w:pStyle w:val="Compact"/>
            </w:pPr>
            <w:r>
              <w:rPr>
                <w:rFonts w:hint="eastAsia"/>
              </w:rPr>
              <w:t xml:space="preserve">低敏感</w:t>
            </w:r>
          </w:p>
        </w:tc>
        <w:tc>
          <w:tcPr/>
          <w:p>
            <w:pPr>
              <w:pStyle w:val="Compact"/>
            </w:pPr>
            <w:r>
              <w:t xml:space="preserve">27.51</w:t>
            </w:r>
          </w:p>
        </w:tc>
        <w:tc>
          <w:tcPr/>
          <w:p>
            <w:pPr>
              <w:pStyle w:val="Compact"/>
            </w:pPr>
            <w:r>
              <w:t xml:space="preserve">78.57</w:t>
            </w:r>
          </w:p>
        </w:tc>
        <w:tc>
          <w:tcPr/>
          <w:p>
            <w:pPr>
              <w:pStyle w:val="Compact"/>
            </w:pPr>
            <w:r>
              <w:t xml:space="preserve">1.14</w:t>
            </w:r>
          </w:p>
        </w:tc>
        <w:tc>
          <w:tcPr/>
          <w:p>
            <w:pPr>
              <w:pStyle w:val="Compact"/>
            </w:pPr>
            <w:r>
              <w:t xml:space="preserve">392.10</w:t>
            </w:r>
          </w:p>
        </w:tc>
        <w:tc>
          <w:tcPr/>
          <w:p>
            <w:pPr>
              <w:pStyle w:val="Compact"/>
            </w:pPr>
            <w:r>
              <w:t xml:space="preserve">83.59</w:t>
            </w:r>
          </w:p>
        </w:tc>
        <w:tc>
          <w:tcPr/>
          <w:p>
            <w:pPr>
              <w:pStyle w:val="Compact"/>
            </w:pPr>
            <w:r>
              <w:t xml:space="preserve">11.53</w:t>
            </w:r>
          </w:p>
        </w:tc>
      </w:tr>
    </w:tbl>
    <w:p>
      <w:pPr>
        <w:pStyle w:val="BodyText"/>
      </w:pPr>
      <w:r>
        <w:rPr>
          <w:rFonts w:hint="eastAsia"/>
        </w:rPr>
        <w:t xml:space="preserve">表5</w:t>
      </w:r>
      <w:r>
        <w:t xml:space="preserve">　</w:t>
      </w:r>
      <w:r>
        <w:rPr>
          <w:rFonts w:hint="eastAsia"/>
        </w:rPr>
        <w:t xml:space="preserve">三档敏感品规的经营画像对比</w:t>
      </w:r>
      <w:r>
        <w:br/>
      </w:r>
      <w:r>
        <w:t xml:space="preserve">Tab. 5 Operating-profile comparison of the three sensitivity groups</w:t>
      </w:r>
    </w:p>
    <w:p>
      <w:pPr>
        <w:pStyle w:val="BodyText"/>
      </w:pPr>
      <w:r>
        <w:rPr>
          <w:rFonts w:hint="eastAsia"/>
        </w:rPr>
        <w:t xml:space="preserve">表5结合诚实口径下代表性品规的供给收缩前初始状态与顺价指数刻画两类对象。高敏感组处理品规以一类烟为主，表16所列苏烟(软金砂)、黄鹤楼(软珍品)等供给收缩前状态评分集中在58.5～62.3，处于中高区间，但其存销比普遍偏高（苏烟软金砂2471.9、黄鹤楼软珍品16696.1），说明品种库存在明显压力、顺价空间需要释放；低敏感组处理品规以二至四类烟为主，表17所列红金龙(硬新版)、钻石(硬特醇)等供给收缩前状态评分仅14.9～25.3，明显偏低，进一步收缩可能压缩本已偏紧的终端货源。这说明供给收缩敏感度并非主要由销量大小决定，而与品规所处的状态位势相关：状态位势已高但库存承压的品规对供给收缩相对敏感、且存在通过供给收缩放量稳价的修复空间；状态位势本身偏低的品规继续供给收缩更易造成终端缺货，属于不宜优先供给收缩的对象。这一判断是差异化复核的第一个落地依据：供给收缩对象应按“状态位势＋价格修复空间＋库存承接”甄别，而非按销量或档位一刀切。</w:t>
      </w:r>
    </w:p>
    <w:bookmarkEnd w:id="31"/>
    <w:bookmarkStart w:id="32" w:name="异质性变量重要性与解释边界"/>
    <w:p>
      <w:pPr>
        <w:pStyle w:val="Heading2"/>
      </w:pPr>
      <w:r>
        <w:t xml:space="preserve">3.3　</w:t>
      </w:r>
      <w:r>
        <w:rPr>
          <w:rFonts w:hint="eastAsia"/>
        </w:rPr>
        <w:t xml:space="preserve">异质性变量重要性与解释边界</w:t>
      </w:r>
    </w:p>
    <w:tbl>
      <w:tblPr>
        <w:tblStyle w:val="Table"/>
        <w:tblW w:type="auto" w:w="0"/>
        <w:tblLook w:firstRow="0" w:lastRow="0" w:firstColumn="0" w:lastColumn="0" w:noHBand="0" w:noVBand="0" w:val="0000"/>
      </w:tblPr>
      <w:tblGrid>
        <w:gridCol w:w="2640"/>
        <w:gridCol w:w="2640"/>
        <w:gridCol w:w="2640"/>
      </w:tblGrid>
      <w:tr>
        <w:tc>
          <w:tcPr/>
          <w:p>
            <w:pPr>
              <w:pStyle w:val="Compact"/>
            </w:pPr>
            <w:r>
              <w:rPr>
                <w:rFonts w:hint="eastAsia"/>
              </w:rPr>
              <w:t xml:space="preserve">变量</w:t>
            </w:r>
          </w:p>
        </w:tc>
        <w:tc>
          <w:tcPr/>
          <w:p>
            <w:pPr>
              <w:pStyle w:val="Compact"/>
            </w:pPr>
            <w:r>
              <w:rPr>
                <w:rFonts w:hint="eastAsia"/>
              </w:rPr>
              <w:t xml:space="preserve">森林重要性</w:t>
            </w:r>
          </w:p>
        </w:tc>
        <w:tc>
          <w:tcPr/>
          <w:p>
            <w:pPr>
              <w:pStyle w:val="Compact"/>
            </w:pPr>
            <w:r>
              <w:rPr>
                <w:rFonts w:hint="eastAsia"/>
              </w:rPr>
              <w:t xml:space="preserve">解释边界</w:t>
            </w:r>
          </w:p>
        </w:tc>
      </w:tr>
      <w:tr>
        <w:tc>
          <w:tcPr/>
          <w:p>
            <w:pPr>
              <w:pStyle w:val="Compact"/>
            </w:pPr>
            <w:r>
              <w:rPr>
                <w:rFonts w:hint="eastAsia"/>
              </w:rPr>
              <w:t xml:space="preserve">处理无关状态评分</w:t>
            </w:r>
          </w:p>
        </w:tc>
        <w:tc>
          <w:tcPr/>
          <w:p>
            <w:pPr>
              <w:pStyle w:val="Compact"/>
            </w:pPr>
            <w:r>
              <w:t xml:space="preserve">0.1624</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顺价指数</w:t>
            </w:r>
          </w:p>
        </w:tc>
        <w:tc>
          <w:tcPr/>
          <w:p>
            <w:pPr>
              <w:pStyle w:val="Compact"/>
            </w:pPr>
            <w:r>
              <w:t xml:space="preserve">0.1259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毛利率</w:t>
            </w:r>
          </w:p>
        </w:tc>
        <w:tc>
          <w:tcPr/>
          <w:p>
            <w:pPr>
              <w:pStyle w:val="Compact"/>
            </w:pPr>
            <w:r>
              <w:t xml:space="preserve">0.1189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单箱销售额</w:t>
            </w:r>
          </w:p>
        </w:tc>
        <w:tc>
          <w:tcPr/>
          <w:p>
            <w:pPr>
              <w:pStyle w:val="Compact"/>
            </w:pPr>
            <w:r>
              <w:t xml:space="preserve">0.0764</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户均订货金额</w:t>
            </w:r>
          </w:p>
        </w:tc>
        <w:tc>
          <w:tcPr/>
          <w:p>
            <w:pPr>
              <w:pStyle w:val="Compact"/>
            </w:pPr>
            <w:r>
              <w:t xml:space="preserve">0.0746</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订货成功率</w:t>
            </w:r>
          </w:p>
        </w:tc>
        <w:tc>
          <w:tcPr/>
          <w:p>
            <w:pPr>
              <w:pStyle w:val="Compact"/>
            </w:pPr>
            <w:r>
              <w:t xml:space="preserve">0.0739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存销比</w:t>
            </w:r>
          </w:p>
        </w:tc>
        <w:tc>
          <w:tcPr/>
          <w:p>
            <w:pPr>
              <w:pStyle w:val="Compact"/>
            </w:pPr>
            <w:r>
              <w:t xml:space="preserve">0.0699</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订单满足率</w:t>
            </w:r>
          </w:p>
        </w:tc>
        <w:tc>
          <w:tcPr/>
          <w:p>
            <w:pPr>
              <w:pStyle w:val="Compact"/>
            </w:pPr>
            <w:r>
              <w:t xml:space="preserve">0.0697</w:t>
            </w:r>
          </w:p>
        </w:tc>
        <w:tc>
          <w:tcPr/>
          <w:p>
            <w:pPr>
              <w:pStyle w:val="Compact"/>
            </w:pPr>
            <w:r>
              <w:rPr>
                <w:rFonts w:hint="eastAsia"/>
              </w:rPr>
              <w:t xml:space="preserve">反映异质性分裂贡献，不表示单变量因果方向</w:t>
            </w:r>
          </w:p>
        </w:tc>
      </w:tr>
      <w:tr>
        <w:tc>
          <w:tcPr/>
          <w:p>
            <w:pPr>
              <w:pStyle w:val="Compact"/>
            </w:pPr>
            <w:r>
              <w:rPr>
                <w:rFonts w:hint="eastAsia"/>
              </w:rPr>
              <w:t xml:space="preserve">货源利用率</w:t>
            </w:r>
          </w:p>
        </w:tc>
        <w:tc>
          <w:tcPr/>
          <w:p>
            <w:pPr>
              <w:pStyle w:val="Compact"/>
            </w:pPr>
            <w:r>
              <w:t xml:space="preserve">0.0530</w:t>
            </w:r>
          </w:p>
        </w:tc>
        <w:tc>
          <w:tcPr/>
          <w:p>
            <w:pPr>
              <w:pStyle w:val="Compact"/>
            </w:pPr>
            <w:r>
              <w:rPr>
                <w:rFonts w:hint="eastAsia"/>
              </w:rPr>
              <w:t xml:space="preserve">反映异质性分裂贡献，不表示单变量因果方向</w:t>
            </w:r>
          </w:p>
        </w:tc>
      </w:tr>
    </w:tbl>
    <w:p>
      <w:pPr>
        <w:pStyle w:val="BodyText"/>
      </w:pPr>
      <w:r>
        <w:rPr>
          <w:rFonts w:hint="eastAsia"/>
        </w:rPr>
        <w:t xml:space="preserve">表6</w:t>
      </w:r>
      <w:r>
        <w:t xml:space="preserve">　</w:t>
      </w:r>
      <w:r>
        <w:rPr>
          <w:rFonts w:hint="eastAsia"/>
        </w:rPr>
        <w:t xml:space="preserve">诚实因果森林异质性变量重要性</w:t>
      </w:r>
      <w:r>
        <w:br/>
      </w:r>
      <w:r>
        <w:t xml:space="preserve">Tab. 6 Feature importance for heterogeneity in the honest causal forest</w:t>
      </w:r>
    </w:p>
    <w:p>
      <w:pPr>
        <w:pStyle w:val="BodyText"/>
      </w:pPr>
      <w:r>
        <w:rPr>
          <w:rFonts w:hint="eastAsia"/>
        </w:rPr>
        <w:t xml:space="preserve">表6显示，处理无关状态评分（0.1624）、顺价指数（0.1259）与毛利率（0.1189）居前列，其次为单箱销售额（0.0764）、户均订货金额（0.0746）与订货成功率（0.0739），说明决定供给收缩是否宜用的并非销量或档位大小，而是状态位势、价格秩序与终端承接能力的组合。需要说明的是，表6的重要性为变量参与异质性分裂的相对贡献，经归一化后得到，不表示单一变量的因果方向。这进一步印证3.2节的画像结论：因果森林识别的，是需要谨慎对待供给收缩或具备修复空间的经营画像，而非统一调控动作。</w:t>
      </w:r>
    </w:p>
    <w:bookmarkEnd w:id="32"/>
    <w:bookmarkStart w:id="33" w:name="规则提取与复核阈值"/>
    <w:p>
      <w:pPr>
        <w:pStyle w:val="Heading2"/>
      </w:pPr>
      <w:r>
        <w:t xml:space="preserve">3.4　</w:t>
      </w:r>
      <w:r>
        <w:rPr>
          <w:rFonts w:hint="eastAsia"/>
        </w:rPr>
        <w:t xml:space="preserve">规则提取与复核阈值</w:t>
      </w:r>
    </w:p>
    <w:p>
      <w:pPr>
        <w:pStyle w:val="FirstParagraph"/>
      </w:pPr>
      <w:r>
        <w:rPr>
          <w:rFonts w:hint="eastAsia"/>
        </w:rPr>
        <w:t xml:space="preserve">为使CATE结果可进入月度投放复核，从因果树路径提取可执行规则并统计首层分裂变量频率。</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复核变量</w:t>
            </w:r>
          </w:p>
        </w:tc>
        <w:tc>
          <w:tcPr/>
          <w:p>
            <w:pPr>
              <w:pStyle w:val="Compact"/>
            </w:pPr>
            <w:r>
              <w:rPr>
                <w:rFonts w:hint="eastAsia"/>
              </w:rPr>
              <w:t xml:space="preserve">样本中位数</w:t>
            </w:r>
          </w:p>
        </w:tc>
        <w:tc>
          <w:tcPr/>
          <w:p>
            <w:pPr>
              <w:pStyle w:val="Compact"/>
            </w:pPr>
            <w:r>
              <w:rPr>
                <w:rFonts w:hint="eastAsia"/>
              </w:rPr>
              <w:t xml:space="preserve">用途</w:t>
            </w:r>
          </w:p>
        </w:tc>
        <w:tc>
          <w:tcPr/>
          <w:p>
            <w:pPr>
              <w:pStyle w:val="Compact"/>
            </w:pPr>
            <w:r>
              <w:rPr>
                <w:rFonts w:hint="eastAsia"/>
              </w:rPr>
              <w:t xml:space="preserve">限制</w:t>
            </w:r>
          </w:p>
        </w:tc>
      </w:tr>
      <w:tr>
        <w:tc>
          <w:tcPr/>
          <w:p>
            <w:pPr>
              <w:pStyle w:val="Compact"/>
            </w:pPr>
            <w:r>
              <w:rPr>
                <w:rFonts w:hint="eastAsia"/>
              </w:rPr>
              <w:t xml:space="preserve">处理无关状态评分</w:t>
            </w:r>
          </w:p>
        </w:tc>
        <w:tc>
          <w:tcPr/>
          <w:p>
            <w:pPr>
              <w:pStyle w:val="Compact"/>
            </w:pPr>
            <w:r>
              <w:t xml:space="preserve">31.951</w:t>
            </w:r>
          </w:p>
        </w:tc>
        <w:tc>
          <w:tcPr/>
          <w:p>
            <w:pPr>
              <w:pStyle w:val="Compact"/>
            </w:pPr>
            <w:r>
              <w:rPr>
                <w:rFonts w:hint="eastAsia"/>
              </w:rPr>
              <w:t xml:space="preserve">判断初始位势</w:t>
            </w:r>
          </w:p>
        </w:tc>
        <w:tc>
          <w:tcPr/>
          <w:p>
            <w:pPr>
              <w:pStyle w:val="Compact"/>
            </w:pPr>
            <w:r>
              <w:rPr>
                <w:rFonts w:hint="eastAsia"/>
              </w:rPr>
              <w:t xml:space="preserve">不得单独决定供给收缩</w:t>
            </w:r>
          </w:p>
        </w:tc>
      </w:tr>
      <w:tr>
        <w:tc>
          <w:tcPr/>
          <w:p>
            <w:pPr>
              <w:pStyle w:val="Compact"/>
            </w:pPr>
            <w:r>
              <w:rPr>
                <w:rFonts w:hint="eastAsia"/>
              </w:rPr>
              <w:t xml:space="preserve">顺价指数</w:t>
            </w:r>
          </w:p>
        </w:tc>
        <w:tc>
          <w:tcPr/>
          <w:p>
            <w:pPr>
              <w:pStyle w:val="Compact"/>
            </w:pPr>
            <w:r>
              <w:t xml:space="preserve">1.145</w:t>
            </w:r>
          </w:p>
        </w:tc>
        <w:tc>
          <w:tcPr/>
          <w:p>
            <w:pPr>
              <w:pStyle w:val="Compact"/>
            </w:pPr>
            <w:r>
              <w:rPr>
                <w:rFonts w:hint="eastAsia"/>
              </w:rPr>
              <w:t xml:space="preserve">判断价格修复空间</w:t>
            </w:r>
          </w:p>
        </w:tc>
        <w:tc>
          <w:tcPr/>
          <w:p>
            <w:pPr>
              <w:pStyle w:val="Compact"/>
            </w:pPr>
            <w:r>
              <w:rPr>
                <w:rFonts w:hint="eastAsia"/>
              </w:rPr>
              <w:t xml:space="preserve">仅为描述性分箱</w:t>
            </w:r>
          </w:p>
        </w:tc>
      </w:tr>
      <w:tr>
        <w:tc>
          <w:tcPr/>
          <w:p>
            <w:pPr>
              <w:pStyle w:val="Compact"/>
            </w:pPr>
            <w:r>
              <w:rPr>
                <w:rFonts w:hint="eastAsia"/>
              </w:rPr>
              <w:t xml:space="preserve">存销比</w:t>
            </w:r>
          </w:p>
        </w:tc>
        <w:tc>
          <w:tcPr/>
          <w:p>
            <w:pPr>
              <w:pStyle w:val="Compact"/>
            </w:pPr>
            <w:r>
              <w:t xml:space="preserve">317.39</w:t>
            </w:r>
          </w:p>
        </w:tc>
        <w:tc>
          <w:tcPr/>
          <w:p>
            <w:pPr>
              <w:pStyle w:val="Compact"/>
            </w:pPr>
            <w:r>
              <w:rPr>
                <w:rFonts w:hint="eastAsia"/>
              </w:rPr>
              <w:t xml:space="preserve">判断库存压力</w:t>
            </w:r>
          </w:p>
        </w:tc>
        <w:tc>
          <w:tcPr/>
          <w:p>
            <w:pPr>
              <w:pStyle w:val="Compact"/>
            </w:pPr>
            <w:r>
              <w:rPr>
                <w:rFonts w:hint="eastAsia"/>
              </w:rPr>
              <w:t xml:space="preserve">需结合动销</w:t>
            </w:r>
          </w:p>
        </w:tc>
      </w:tr>
      <w:tr>
        <w:tc>
          <w:tcPr/>
          <w:p>
            <w:pPr>
              <w:pStyle w:val="Compact"/>
            </w:pPr>
            <w:r>
              <w:rPr>
                <w:rFonts w:hint="eastAsia"/>
              </w:rPr>
              <w:t xml:space="preserve">订货成功率/%</w:t>
            </w:r>
          </w:p>
        </w:tc>
        <w:tc>
          <w:tcPr/>
          <w:p>
            <w:pPr>
              <w:pStyle w:val="Compact"/>
            </w:pPr>
            <w:r>
              <w:t xml:space="preserve">3.56</w:t>
            </w:r>
          </w:p>
        </w:tc>
        <w:tc>
          <w:tcPr/>
          <w:p>
            <w:pPr>
              <w:pStyle w:val="Compact"/>
            </w:pPr>
            <w:r>
              <w:rPr>
                <w:rFonts w:hint="eastAsia"/>
              </w:rPr>
              <w:t xml:space="preserve">判断终端承接</w:t>
            </w:r>
          </w:p>
        </w:tc>
        <w:tc>
          <w:tcPr/>
          <w:p>
            <w:pPr>
              <w:pStyle w:val="Compact"/>
            </w:pPr>
            <w:r>
              <w:rPr>
                <w:rFonts w:hint="eastAsia"/>
              </w:rPr>
              <w:t xml:space="preserve">不推导连续幅度</w:t>
            </w:r>
          </w:p>
        </w:tc>
      </w:tr>
    </w:tbl>
    <w:p>
      <w:pPr>
        <w:pStyle w:val="BodyText"/>
      </w:pPr>
      <w:r>
        <w:rPr>
          <w:rFonts w:hint="eastAsia"/>
        </w:rPr>
        <w:t xml:space="preserve">表7</w:t>
      </w:r>
      <w:r>
        <w:t xml:space="preserve">　</w:t>
      </w:r>
      <w:r>
        <w:rPr>
          <w:rFonts w:hint="eastAsia"/>
        </w:rPr>
        <w:t xml:space="preserve">关键经营变量的业务复核参考点</w:t>
      </w:r>
      <w:r>
        <w:br/>
      </w:r>
      <w:r>
        <w:t xml:space="preserve">Tab. 7 Reference points of key operating variables for business review</w:t>
      </w:r>
    </w:p>
    <w:p>
      <w:pPr>
        <w:pStyle w:val="BodyText"/>
      </w:pPr>
      <w:r>
        <w:rPr>
          <w:rFonts w:hint="eastAsia"/>
        </w:rPr>
        <w:t xml:space="preserve">注：样本中位数为全体估计样本（2886条）对应变量的中位数，仅用于构造联合初筛参考区间，不构成业务硬阈值；各变量限定的复核动作需结合CATE排序与总量约束由业务审批确定。其中“订货成功率”口径为按零售户统计的当期成功订货客户占比（%），样本中位数约3.6，取值整体偏低但属该字段真实分位数，用于判断终端承接的复核参考点。</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证据</w:t>
            </w:r>
          </w:p>
        </w:tc>
        <w:tc>
          <w:tcPr/>
          <w:p>
            <w:pPr>
              <w:pStyle w:val="Compact"/>
            </w:pPr>
            <w:r>
              <w:rPr>
                <w:rFonts w:hint="eastAsia"/>
              </w:rPr>
              <w:t xml:space="preserve">估计值</w:t>
            </w:r>
          </w:p>
        </w:tc>
        <w:tc>
          <w:tcPr/>
          <w:p>
            <w:pPr>
              <w:pStyle w:val="Compact"/>
            </w:pPr>
            <w:r>
              <w:t xml:space="preserve">95% </w:t>
            </w:r>
            <w:r>
              <w:rPr>
                <w:rFonts w:hint="eastAsia"/>
              </w:rPr>
              <w:t xml:space="preserve">CI或P值</w:t>
            </w:r>
          </w:p>
        </w:tc>
        <w:tc>
          <w:tcPr/>
          <w:p>
            <w:pPr>
              <w:pStyle w:val="Compact"/>
            </w:pPr>
            <w:r>
              <w:rPr>
                <w:rFonts w:hint="eastAsia"/>
              </w:rPr>
              <w:t xml:space="preserve">判断</w:t>
            </w:r>
          </w:p>
        </w:tc>
      </w:tr>
      <w:tr>
        <w:tc>
          <w:tcPr/>
          <w:p>
            <w:pPr>
              <w:pStyle w:val="Compact"/>
            </w:pPr>
            <w:r>
              <w:rPr>
                <w:rFonts w:hint="eastAsia"/>
              </w:rPr>
              <w:t xml:space="preserve">诚实因果森林ATE</w:t>
            </w:r>
          </w:p>
        </w:tc>
        <w:tc>
          <w:tcPr/>
          <w:p>
            <w:pPr>
              <w:pStyle w:val="Compact"/>
            </w:pPr>
            <w:r>
              <w:t xml:space="preserve">0.659</w:t>
            </w:r>
          </w:p>
        </w:tc>
        <w:tc>
          <w:tcPr/>
          <w:p>
            <w:pPr>
              <w:pStyle w:val="Compact"/>
            </w:pPr>
            <w:r>
              <w:rPr>
                <w:rFonts w:hint="eastAsia"/>
              </w:rPr>
              <w:t xml:space="preserve">-1.679～2.997</w:t>
            </w:r>
          </w:p>
        </w:tc>
        <w:tc>
          <w:tcPr/>
          <w:p>
            <w:pPr>
              <w:pStyle w:val="Compact"/>
            </w:pPr>
            <w:r>
              <w:rPr>
                <w:rFonts w:hint="eastAsia"/>
              </w:rPr>
              <w:t xml:space="preserve">区间跨0</w:t>
            </w:r>
          </w:p>
        </w:tc>
      </w:tr>
      <w:tr>
        <w:tc>
          <w:tcPr/>
          <w:p>
            <w:pPr>
              <w:pStyle w:val="Compact"/>
            </w:pPr>
            <w:r>
              <w:rPr>
                <w:rFonts w:hint="eastAsia"/>
              </w:rPr>
              <w:t xml:space="preserve">双向固定效应</w:t>
            </w:r>
          </w:p>
        </w:tc>
        <w:tc>
          <w:tcPr/>
          <w:p>
            <w:pPr>
              <w:pStyle w:val="Compact"/>
            </w:pPr>
            <w:r>
              <w:t xml:space="preserve">1.195</w:t>
            </w:r>
          </w:p>
        </w:tc>
        <w:tc>
          <w:tcPr/>
          <w:p>
            <w:pPr>
              <w:pStyle w:val="Compact"/>
            </w:pPr>
            <w:r>
              <w:t xml:space="preserve">P=0.075</w:t>
            </w:r>
          </w:p>
        </w:tc>
        <w:tc>
          <w:tcPr/>
          <w:p>
            <w:pPr>
              <w:pStyle w:val="Compact"/>
            </w:pPr>
            <w:r>
              <w:rPr>
                <w:rFonts w:hint="eastAsia"/>
              </w:rPr>
              <w:t xml:space="preserve">边际显著，方向为正</w:t>
            </w:r>
          </w:p>
        </w:tc>
      </w:tr>
      <w:tr>
        <w:tc>
          <w:tcPr/>
          <w:p>
            <w:pPr>
              <w:pStyle w:val="Compact"/>
            </w:pPr>
            <w:r>
              <w:rPr>
                <w:rFonts w:hint="eastAsia"/>
              </w:rPr>
              <w:t xml:space="preserve">处理前负对照</w:t>
            </w:r>
          </w:p>
        </w:tc>
        <w:tc>
          <w:tcPr/>
          <w:p>
            <w:pPr>
              <w:pStyle w:val="Compact"/>
            </w:pPr>
            <w:r>
              <w:t xml:space="preserve">3.278</w:t>
            </w:r>
          </w:p>
        </w:tc>
        <w:tc>
          <w:tcPr/>
          <w:p>
            <w:pPr>
              <w:pStyle w:val="Compact"/>
            </w:pPr>
            <w:r>
              <w:t xml:space="preserve">P=4.96e-05</w:t>
            </w:r>
          </w:p>
        </w:tc>
        <w:tc>
          <w:tcPr/>
          <w:p>
            <w:pPr>
              <w:pStyle w:val="Compact"/>
            </w:pPr>
            <w:r>
              <w:rPr>
                <w:rFonts w:hint="eastAsia"/>
              </w:rPr>
              <w:t xml:space="preserve">显著，提示残余选择偏差</w:t>
            </w:r>
          </w:p>
        </w:tc>
      </w:tr>
      <w:tr>
        <w:tc>
          <w:tcPr/>
          <w:p>
            <w:pPr>
              <w:pStyle w:val="Compact"/>
            </w:pPr>
            <w:r>
              <w:rPr>
                <w:rFonts w:hint="eastAsia"/>
              </w:rPr>
              <w:t xml:space="preserve">置换安慰剂</w:t>
            </w:r>
          </w:p>
        </w:tc>
        <w:tc>
          <w:tcPr/>
          <w:p>
            <w:pPr>
              <w:pStyle w:val="Compact"/>
            </w:pPr>
            <w:r>
              <w:t xml:space="preserve">-0.012</w:t>
            </w:r>
          </w:p>
        </w:tc>
        <w:tc>
          <w:tcPr/>
          <w:p>
            <w:pPr>
              <w:pStyle w:val="Compact"/>
            </w:pPr>
            <w:r>
              <w:rPr>
                <w:rFonts w:hint="eastAsia"/>
              </w:rPr>
              <w:t xml:space="preserve">-1.056～0.876</w:t>
            </w:r>
          </w:p>
        </w:tc>
        <w:tc>
          <w:tcPr/>
          <w:p>
            <w:pPr>
              <w:pStyle w:val="Compact"/>
            </w:pPr>
            <w:r>
              <w:rPr>
                <w:rFonts w:hint="eastAsia"/>
              </w:rPr>
              <w:t xml:space="preserve">伪效应围绕0</w:t>
            </w:r>
          </w:p>
        </w:tc>
      </w:tr>
    </w:tbl>
    <w:p>
      <w:pPr>
        <w:pStyle w:val="BodyText"/>
      </w:pPr>
      <w:r>
        <w:rPr>
          <w:rFonts w:hint="eastAsia"/>
        </w:rPr>
        <w:t xml:space="preserve">表8</w:t>
      </w:r>
      <w:r>
        <w:t xml:space="preserve">　</w:t>
      </w:r>
      <w:r>
        <w:rPr>
          <w:rFonts w:hint="eastAsia"/>
        </w:rPr>
        <w:t xml:space="preserve">主效应、固定效应与证伪检验</w:t>
      </w:r>
      <w:r>
        <w:br/>
      </w:r>
      <w:r>
        <w:t xml:space="preserve">Tab. 8 Main effect, fixed-effects estimate and falsification tests</w:t>
      </w:r>
    </w:p>
    <w:p>
      <w:pPr>
        <w:pStyle w:val="BodyText"/>
      </w:pPr>
      <w:r>
        <w:rPr>
          <w:rFonts w:hint="eastAsia"/>
        </w:rPr>
        <w:t xml:space="preserve">表8汇总主效应与证伪检验：诚实因果森林ATE为0.659（95%</w:t>
      </w:r>
      <w:r>
        <w:t xml:space="preserve"> </w:t>
      </w:r>
      <w:r>
        <w:rPr>
          <w:rFonts w:hint="eastAsia"/>
        </w:rPr>
        <w:t xml:space="preserve">CI：-1.679～2.997）区间跨0；双向固定效应为1.195（P=0.075）边际显著；处理前负对照为3.278（P&lt;0.001），显著提示供给收缩选择与既有状态轨迹相关，即存在反向选择；置换安慰剂伪效应围绕0。四项证据合起来说明，总体上不存在稳定的普遍正向效应，排序信号需结合识别边界谨慎解读。据此设置联合初筛规则：初始状态偏低且顺价指数较低时，标记为可谨慎供给收缩的候选；初始状态已高、顺价指数偏高或存销比过高时，标记为不宜供给收缩；最终动作仍以CATE排序和业务复核为准。</w:t>
      </w:r>
    </w:p>
    <w:bookmarkEnd w:id="33"/>
    <w:bookmarkStart w:id="43" w:name="价位段品类与时令异质性"/>
    <w:p>
      <w:pPr>
        <w:pStyle w:val="Heading2"/>
      </w:pPr>
      <w:r>
        <w:t xml:space="preserve">3.5　</w:t>
      </w:r>
      <w:r>
        <w:rPr>
          <w:rFonts w:hint="eastAsia"/>
        </w:rPr>
        <w:t xml:space="preserve">价位段、品类与时令异质性</w:t>
      </w:r>
    </w:p>
    <w:p>
      <w:pPr>
        <w:pStyle w:val="FirstParagraph"/>
      </w:pPr>
      <w:r>
        <w:rPr>
          <w:rFonts w:hint="eastAsia"/>
        </w:rPr>
        <w:t xml:space="preserve">为考察效应是否随经营情境变化，按价位段、品类与时令分别统计各敏感组平均CATE。</w:t>
      </w:r>
    </w:p>
    <w:p>
      <w:pPr>
        <w:pStyle w:val="BodyText"/>
      </w:pPr>
      <w:r>
        <w:drawing>
          <wp:inline>
            <wp:extent cx="5334000" cy="4052539"/>
            <wp:effectExtent b="0" l="0" r="0" t="0"/>
            <wp:docPr descr="供给收缩前经营画像与CATE排序" title="" id="35" name="Picture"/>
            <a:graphic>
              <a:graphicData uri="http://schemas.openxmlformats.org/drawingml/2006/picture">
                <pic:pic>
                  <pic:nvPicPr>
                    <pic:cNvPr descr="figures/fig4_effect_absorption_map.png" id="36" name="Picture"/>
                    <pic:cNvPicPr>
                      <a:picLocks noChangeArrowheads="1" noChangeAspect="1"/>
                    </pic:cNvPicPr>
                  </pic:nvPicPr>
                  <pic:blipFill>
                    <a:blip r:embed="rId34"/>
                    <a:stretch>
                      <a:fillRect/>
                    </a:stretch>
                  </pic:blipFill>
                  <pic:spPr bwMode="auto">
                    <a:xfrm>
                      <a:off x="0" y="0"/>
                      <a:ext cx="5334000" cy="4052539"/>
                    </a:xfrm>
                    <a:prstGeom prst="rect">
                      <a:avLst/>
                    </a:prstGeom>
                    <a:noFill/>
                    <a:ln w="9525">
                      <a:noFill/>
                      <a:headEnd/>
                      <a:tailEnd/>
                    </a:ln>
                  </pic:spPr>
                </pic:pic>
              </a:graphicData>
            </a:graphic>
          </wp:inline>
        </w:drawing>
      </w:r>
    </w:p>
    <w:p>
      <w:pPr>
        <w:pStyle w:val="BodyText"/>
      </w:pPr>
      <w:r>
        <w:rPr>
          <w:rFonts w:hint="eastAsia"/>
        </w:rPr>
        <w:t xml:space="preserve">图4</w:t>
      </w:r>
      <w:r>
        <w:t xml:space="preserve">　</w:t>
      </w:r>
      <w:r>
        <w:rPr>
          <w:rFonts w:hint="eastAsia"/>
        </w:rPr>
        <w:t xml:space="preserve">供给收缩前经营画像与CATE排序分布</w:t>
      </w:r>
      <w:r>
        <w:br/>
      </w:r>
      <w:r>
        <w:t xml:space="preserve">Fig. 4 Pre-contraction operating profile and CATE-ranking distribution</w:t>
      </w:r>
    </w:p>
    <w:p>
      <w:pPr>
        <w:pStyle w:val="BodyText"/>
      </w:pPr>
      <w:r>
        <w:rPr>
          <w:rFonts w:hint="eastAsia"/>
        </w:rPr>
        <w:t xml:space="preserve">图4从供给收缩前经营画像与CATE排序两个维度为复核提供组织线索：左侧热度背景对应品规在承接能力与状态位势上的位置，右侧梯度条对应其CATE排序层级。结合表5与表6可知，高排序区域多对应状态位势已相对偏高、但库存承压（存销比偏高）且顺价空间待释放的一类烟品规；低排序区域则对应状态位势偏低、继续收缩更易触发终端缺货的品规。图4的主旨是说明供给收缩敏感性与其说取决于销量或档位，不如说取决于品规自身所处的库存—价格—动销组合，这为第4章按画像而非按档位制定复核清单提供了依据；图中仅作排序与画像的对应展示，不据以推断供给收缩获益。</w:t>
      </w:r>
    </w:p>
    <w:p>
      <w:pPr>
        <w:pStyle w:val="BodyText"/>
      </w:pPr>
      <w:r>
        <w:drawing>
          <wp:inline>
            <wp:extent cx="5334000" cy="2585916"/>
            <wp:effectExtent b="0" l="0" r="0" t="0"/>
            <wp:docPr descr="价位段热力图" title="" id="38" name="Picture"/>
            <a:graphic>
              <a:graphicData uri="http://schemas.openxmlformats.org/drawingml/2006/picture">
                <pic:pic>
                  <pic:nvPicPr>
                    <pic:cNvPr descr="figures/fig5_priceband_heatmap.png" id="39" name="Picture"/>
                    <pic:cNvPicPr>
                      <a:picLocks noChangeArrowheads="1" noChangeAspect="1"/>
                    </pic:cNvPicPr>
                  </pic:nvPicPr>
                  <pic:blipFill>
                    <a:blip r:embed="rId37"/>
                    <a:stretch>
                      <a:fillRect/>
                    </a:stretch>
                  </pic:blipFill>
                  <pic:spPr bwMode="auto">
                    <a:xfrm>
                      <a:off x="0" y="0"/>
                      <a:ext cx="5334000" cy="2585916"/>
                    </a:xfrm>
                    <a:prstGeom prst="rect">
                      <a:avLst/>
                    </a:prstGeom>
                    <a:noFill/>
                    <a:ln w="9525">
                      <a:noFill/>
                      <a:headEnd/>
                      <a:tailEnd/>
                    </a:ln>
                  </pic:spPr>
                </pic:pic>
              </a:graphicData>
            </a:graphic>
          </wp:inline>
        </w:drawing>
      </w:r>
    </w:p>
    <w:p>
      <w:pPr>
        <w:pStyle w:val="BodyText"/>
      </w:pPr>
      <w:r>
        <w:rPr>
          <w:rFonts w:hint="eastAsia"/>
        </w:rPr>
        <w:t xml:space="preserve">图5</w:t>
      </w:r>
      <w:r>
        <w:t xml:space="preserve">　</w:t>
      </w:r>
      <w:r>
        <w:rPr>
          <w:rFonts w:hint="eastAsia"/>
        </w:rPr>
        <w:t xml:space="preserve">不同价位段在敏感组中的CATE分化热力图</w:t>
      </w:r>
      <w:r>
        <w:br/>
      </w:r>
      <w:r>
        <w:t xml:space="preserve">Fig. 5 Heatmap of CATE differentiation across price bands and sensitivity groups</w:t>
      </w:r>
    </w:p>
    <w:p>
      <w:pPr>
        <w:pStyle w:val="BodyText"/>
      </w:pPr>
      <w:r>
        <w:rPr>
          <w:rFonts w:hint="eastAsia"/>
        </w:rPr>
        <w:t xml:space="preserve">图5以热力色阶表示不同价位段在高、中、低敏感层级中的CATE分化。颜色由暖（红）到冷（蓝）对应CATE从高到低：图中“高价位—高敏感”形成明显暖色热区（高档烟高敏感均值1.83），而“低价位—低敏感”落在冷色区（中档-1.14、五类烟-2.31的区域集中于低敏感层级）。该分化说明价档结构仍是关联信号的重要载体，高档烟本身价格修复空间大、库存承压时供给收缩通常有较强顺价回补弹性，低价烟价格本已紧贴批发价、继续收缩易造成终端缺货。需要说明的是，图5各敏感层样本量差异较大（详见表9注），仅作探索性参考，不据此作显著性判断。</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价位段</w:t>
            </w:r>
          </w:p>
        </w:tc>
        <w:tc>
          <w:tcPr/>
          <w:p>
            <w:pPr>
              <w:pStyle w:val="Compact"/>
            </w:pPr>
            <w:r>
              <w:rPr>
                <w:rFonts w:hint="eastAsia"/>
              </w:rPr>
              <w:t xml:space="preserve">高敏感</w:t>
            </w:r>
          </w:p>
        </w:tc>
        <w:tc>
          <w:tcPr/>
          <w:p>
            <w:pPr>
              <w:pStyle w:val="Compact"/>
            </w:pPr>
            <w:r>
              <w:rPr>
                <w:rFonts w:hint="eastAsia"/>
              </w:rPr>
              <w:t xml:space="preserve">中敏感</w:t>
            </w:r>
          </w:p>
        </w:tc>
        <w:tc>
          <w:tcPr/>
          <w:p>
            <w:pPr>
              <w:pStyle w:val="Compact"/>
            </w:pPr>
            <w:r>
              <w:rPr>
                <w:rFonts w:hint="eastAsia"/>
              </w:rPr>
              <w:t xml:space="preserve">低敏感</w:t>
            </w:r>
          </w:p>
        </w:tc>
      </w:tr>
      <w:tr>
        <w:tc>
          <w:tcPr/>
          <w:p>
            <w:pPr>
              <w:pStyle w:val="Compact"/>
            </w:pPr>
            <w:r>
              <w:rPr>
                <w:rFonts w:hint="eastAsia"/>
              </w:rPr>
              <w:t xml:space="preserve">中低档</w:t>
            </w:r>
          </w:p>
        </w:tc>
        <w:tc>
          <w:tcPr/>
          <w:p>
            <w:pPr>
              <w:pStyle w:val="Compact"/>
            </w:pPr>
            <w:r>
              <w:rPr>
                <w:rFonts w:hint="eastAsia"/>
              </w:rPr>
              <w:t xml:space="preserve">2.31（n=17）</w:t>
            </w:r>
          </w:p>
        </w:tc>
        <w:tc>
          <w:tcPr/>
          <w:p>
            <w:pPr>
              <w:pStyle w:val="Compact"/>
            </w:pPr>
            <w:r>
              <w:rPr>
                <w:rFonts w:hint="eastAsia"/>
              </w:rPr>
              <w:t xml:space="preserve">0.51（n=1）</w:t>
            </w:r>
          </w:p>
        </w:tc>
        <w:tc>
          <w:tcPr/>
          <w:p>
            <w:pPr>
              <w:pStyle w:val="Compact"/>
            </w:pPr>
            <w:r>
              <w:t xml:space="preserve">—</w:t>
            </w:r>
          </w:p>
        </w:tc>
      </w:tr>
      <w:tr>
        <w:tc>
          <w:tcPr/>
          <w:p>
            <w:pPr>
              <w:pStyle w:val="Compact"/>
            </w:pPr>
            <w:r>
              <w:rPr>
                <w:rFonts w:hint="eastAsia"/>
              </w:rPr>
              <w:t xml:space="preserve">中档</w:t>
            </w:r>
          </w:p>
        </w:tc>
        <w:tc>
          <w:tcPr/>
          <w:p>
            <w:pPr>
              <w:pStyle w:val="Compact"/>
            </w:pPr>
            <w:r>
              <w:rPr>
                <w:rFonts w:hint="eastAsia"/>
              </w:rPr>
              <w:t xml:space="preserve">1.49（n=3）</w:t>
            </w:r>
          </w:p>
        </w:tc>
        <w:tc>
          <w:tcPr/>
          <w:p>
            <w:pPr>
              <w:pStyle w:val="Compact"/>
            </w:pPr>
            <w:r>
              <w:rPr>
                <w:rFonts w:hint="eastAsia"/>
              </w:rPr>
              <w:t xml:space="preserve">0.41（n=4）</w:t>
            </w:r>
          </w:p>
        </w:tc>
        <w:tc>
          <w:tcPr/>
          <w:p>
            <w:pPr>
              <w:pStyle w:val="Compact"/>
            </w:pPr>
            <w:r>
              <w:rPr>
                <w:rFonts w:hint="eastAsia"/>
              </w:rPr>
              <w:t xml:space="preserve">-1.14（n=169）</w:t>
            </w:r>
          </w:p>
        </w:tc>
      </w:tr>
      <w:tr>
        <w:tc>
          <w:tcPr/>
          <w:p>
            <w:pPr>
              <w:pStyle w:val="Compact"/>
            </w:pPr>
            <w:r>
              <w:rPr>
                <w:rFonts w:hint="eastAsia"/>
              </w:rPr>
              <w:t xml:space="preserve">中高档</w:t>
            </w:r>
          </w:p>
        </w:tc>
        <w:tc>
          <w:tcPr/>
          <w:p>
            <w:pPr>
              <w:pStyle w:val="Compact"/>
            </w:pPr>
            <w:r>
              <w:rPr>
                <w:rFonts w:hint="eastAsia"/>
              </w:rPr>
              <w:t xml:space="preserve">1.54（n=28）</w:t>
            </w:r>
          </w:p>
        </w:tc>
        <w:tc>
          <w:tcPr/>
          <w:p>
            <w:pPr>
              <w:pStyle w:val="Compact"/>
            </w:pPr>
            <w:r>
              <w:rPr>
                <w:rFonts w:hint="eastAsia"/>
              </w:rPr>
              <w:t xml:space="preserve">0.50（n=112）</w:t>
            </w:r>
          </w:p>
        </w:tc>
        <w:tc>
          <w:tcPr/>
          <w:p>
            <w:pPr>
              <w:pStyle w:val="Compact"/>
            </w:pPr>
            <w:r>
              <w:rPr>
                <w:rFonts w:hint="eastAsia"/>
              </w:rPr>
              <w:t xml:space="preserve">-0.24（n=269）</w:t>
            </w:r>
          </w:p>
        </w:tc>
      </w:tr>
      <w:tr>
        <w:tc>
          <w:tcPr/>
          <w:p>
            <w:pPr>
              <w:pStyle w:val="Compact"/>
            </w:pPr>
            <w:r>
              <w:rPr>
                <w:rFonts w:hint="eastAsia"/>
              </w:rPr>
              <w:t xml:space="preserve">高档</w:t>
            </w:r>
          </w:p>
        </w:tc>
        <w:tc>
          <w:tcPr/>
          <w:p>
            <w:pPr>
              <w:pStyle w:val="Compact"/>
            </w:pPr>
            <w:r>
              <w:rPr>
                <w:rFonts w:hint="eastAsia"/>
              </w:rPr>
              <w:t xml:space="preserve">1.83（n=914）</w:t>
            </w:r>
          </w:p>
        </w:tc>
        <w:tc>
          <w:tcPr/>
          <w:p>
            <w:pPr>
              <w:pStyle w:val="Compact"/>
            </w:pPr>
            <w:r>
              <w:rPr>
                <w:rFonts w:hint="eastAsia"/>
              </w:rPr>
              <w:t xml:space="preserve">0.59（n=726）</w:t>
            </w:r>
          </w:p>
        </w:tc>
        <w:tc>
          <w:tcPr/>
          <w:p>
            <w:pPr>
              <w:pStyle w:val="Compact"/>
            </w:pPr>
            <w:r>
              <w:rPr>
                <w:rFonts w:hint="eastAsia"/>
              </w:rPr>
              <w:t xml:space="preserve">-0.14（n=643）</w:t>
            </w:r>
          </w:p>
        </w:tc>
      </w:tr>
    </w:tbl>
    <w:p>
      <w:pPr>
        <w:pStyle w:val="BodyText"/>
      </w:pPr>
      <w:r>
        <w:rPr>
          <w:rFonts w:hint="eastAsia"/>
        </w:rPr>
        <w:t xml:space="preserve">表9</w:t>
      </w:r>
      <w:r>
        <w:t xml:space="preserve">　</w:t>
      </w:r>
      <w:r>
        <w:rPr>
          <w:rFonts w:hint="eastAsia"/>
        </w:rPr>
        <w:t xml:space="preserve">价位段×敏感组平均CATE及样本量</w:t>
      </w:r>
      <w:r>
        <w:br/>
      </w:r>
      <w:r>
        <w:t xml:space="preserve">Tab. 9 Average CATE and sample size by price band and sensitivity group</w:t>
      </w:r>
    </w:p>
    <w:p>
      <w:pPr>
        <w:pStyle w:val="BodyText"/>
      </w:pPr>
      <w:r>
        <w:drawing>
          <wp:inline>
            <wp:extent cx="5334000" cy="3941971"/>
            <wp:effectExtent b="0" l="0" r="0" t="0"/>
            <wp:docPr descr="子组森林图" title="" id="41" name="Picture"/>
            <a:graphic>
              <a:graphicData uri="http://schemas.openxmlformats.org/drawingml/2006/picture">
                <pic:pic>
                  <pic:nvPicPr>
                    <pic:cNvPr descr="figures/fig6_subgroup_forest.png" id="42" name="Picture"/>
                    <pic:cNvPicPr>
                      <a:picLocks noChangeArrowheads="1" noChangeAspect="1"/>
                    </pic:cNvPicPr>
                  </pic:nvPicPr>
                  <pic:blipFill>
                    <a:blip r:embed="rId40"/>
                    <a:stretch>
                      <a:fillRect/>
                    </a:stretch>
                  </pic:blipFill>
                  <pic:spPr bwMode="auto">
                    <a:xfrm>
                      <a:off x="0" y="0"/>
                      <a:ext cx="5334000" cy="3941971"/>
                    </a:xfrm>
                    <a:prstGeom prst="rect">
                      <a:avLst/>
                    </a:prstGeom>
                    <a:noFill/>
                    <a:ln w="9525">
                      <a:noFill/>
                      <a:headEnd/>
                      <a:tailEnd/>
                    </a:ln>
                  </pic:spPr>
                </pic:pic>
              </a:graphicData>
            </a:graphic>
          </wp:inline>
        </w:drawing>
      </w:r>
    </w:p>
    <w:p>
      <w:pPr>
        <w:pStyle w:val="BodyText"/>
      </w:pPr>
      <w:r>
        <w:rPr>
          <w:rFonts w:hint="eastAsia"/>
        </w:rPr>
        <w:t xml:space="preserve">图6</w:t>
      </w:r>
      <w:r>
        <w:t xml:space="preserve">　</w:t>
      </w:r>
      <w:r>
        <w:rPr>
          <w:rFonts w:hint="eastAsia"/>
        </w:rPr>
        <w:t xml:space="preserve">价位段、品类与时令异质性森林图</w:t>
      </w:r>
      <w:r>
        <w:br/>
      </w:r>
      <w:r>
        <w:t xml:space="preserve">Fig. 6 Forest plot of heterogeneity by price band, category and season</w:t>
      </w:r>
    </w:p>
    <w:p>
      <w:pPr>
        <w:pStyle w:val="BodyText"/>
      </w:pPr>
      <w:r>
        <w:rPr>
          <w:rFonts w:hint="eastAsia"/>
        </w:rPr>
        <w:t xml:space="preserve">图6以森林图汇总价位段、品类与时令各子组的CATE点估计及95%参考区间。纵向看，高档烟（n=2283，均值0.882，95%</w:t>
      </w:r>
      <w:r>
        <w:t xml:space="preserve"> CI </w:t>
      </w:r>
      <w:r>
        <w:rPr>
          <w:rFonts w:hint="eastAsia"/>
        </w:rPr>
        <w:t xml:space="preserve">0.842～0.922）区间窄且均值较高，是异质性信号的主要结构贡献；品类层面一类烟（n=1626，均值1.138，95%</w:t>
      </w:r>
      <w:r>
        <w:t xml:space="preserve"> CI </w:t>
      </w:r>
      <w:r>
        <w:rPr>
          <w:rFonts w:hint="eastAsia"/>
        </w:rPr>
        <w:t xml:space="preserve">1.090～1.186）区间整体为正，四类烟（n=72，均值-1.105，95%</w:t>
      </w:r>
      <w:r>
        <w:t xml:space="preserve"> CI </w:t>
      </w:r>
      <w:r>
        <w:rPr>
          <w:rFonts w:hint="eastAsia"/>
        </w:rPr>
        <w:t xml:space="preserve">-1.336～-0.873）区间整体为负，两者重心相反。时令层面“元春”与“常规”月均值相近（0.664与0.657），说明供给收缩信号在淡旺季间相对稳定。需要提醒的是，五类烟（n=18）、四类烟（n=72）等子组样本量较小，其参考区间较宽，CATE估计不稳定，仅作为探索性描述，不作推断性结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品类</w:t>
            </w:r>
          </w:p>
        </w:tc>
        <w:tc>
          <w:tcPr/>
          <w:p>
            <w:pPr>
              <w:pStyle w:val="Compact"/>
            </w:pPr>
            <w:r>
              <w:rPr>
                <w:rFonts w:hint="eastAsia"/>
              </w:rPr>
              <w:t xml:space="preserve">高敏感</w:t>
            </w:r>
          </w:p>
        </w:tc>
        <w:tc>
          <w:tcPr/>
          <w:p>
            <w:pPr>
              <w:pStyle w:val="Compact"/>
            </w:pPr>
            <w:r>
              <w:rPr>
                <w:rFonts w:hint="eastAsia"/>
              </w:rPr>
              <w:t xml:space="preserve">中敏感</w:t>
            </w:r>
          </w:p>
        </w:tc>
        <w:tc>
          <w:tcPr/>
          <w:p>
            <w:pPr>
              <w:pStyle w:val="Compact"/>
            </w:pPr>
            <w:r>
              <w:rPr>
                <w:rFonts w:hint="eastAsia"/>
              </w:rPr>
              <w:t xml:space="preserve">低敏感</w:t>
            </w:r>
          </w:p>
        </w:tc>
      </w:tr>
      <w:tr>
        <w:tc>
          <w:tcPr/>
          <w:p>
            <w:pPr>
              <w:pStyle w:val="Compact"/>
            </w:pPr>
            <w:r>
              <w:rPr>
                <w:rFonts w:hint="eastAsia"/>
              </w:rPr>
              <w:t xml:space="preserve">一类烟</w:t>
            </w:r>
          </w:p>
        </w:tc>
        <w:tc>
          <w:tcPr/>
          <w:p>
            <w:pPr>
              <w:pStyle w:val="Compact"/>
            </w:pPr>
            <w:r>
              <w:rPr>
                <w:rFonts w:hint="eastAsia"/>
              </w:rPr>
              <w:t xml:space="preserve">1.87（n=866）</w:t>
            </w:r>
          </w:p>
        </w:tc>
        <w:tc>
          <w:tcPr/>
          <w:p>
            <w:pPr>
              <w:pStyle w:val="Compact"/>
            </w:pPr>
            <w:r>
              <w:rPr>
                <w:rFonts w:hint="eastAsia"/>
              </w:rPr>
              <w:t xml:space="preserve">0.59（n=405）</w:t>
            </w:r>
          </w:p>
        </w:tc>
        <w:tc>
          <w:tcPr/>
          <w:p>
            <w:pPr>
              <w:pStyle w:val="Compact"/>
            </w:pPr>
            <w:r>
              <w:rPr>
                <w:rFonts w:hint="eastAsia"/>
              </w:rPr>
              <w:t xml:space="preserve">-0.03（n=355）</w:t>
            </w:r>
          </w:p>
        </w:tc>
      </w:tr>
      <w:tr>
        <w:tc>
          <w:tcPr/>
          <w:p>
            <w:pPr>
              <w:pStyle w:val="Compact"/>
            </w:pPr>
            <w:r>
              <w:rPr>
                <w:rFonts w:hint="eastAsia"/>
              </w:rPr>
              <w:t xml:space="preserve">三类烟</w:t>
            </w:r>
          </w:p>
        </w:tc>
        <w:tc>
          <w:tcPr/>
          <w:p>
            <w:pPr>
              <w:pStyle w:val="Compact"/>
            </w:pPr>
            <w:r>
              <w:rPr>
                <w:rFonts w:hint="eastAsia"/>
              </w:rPr>
              <w:t xml:space="preserve">1.54（n=28）</w:t>
            </w:r>
          </w:p>
        </w:tc>
        <w:tc>
          <w:tcPr/>
          <w:p>
            <w:pPr>
              <w:pStyle w:val="Compact"/>
            </w:pPr>
            <w:r>
              <w:rPr>
                <w:rFonts w:hint="eastAsia"/>
              </w:rPr>
              <w:t xml:space="preserve">0.50（n=120）</w:t>
            </w:r>
          </w:p>
        </w:tc>
        <w:tc>
          <w:tcPr/>
          <w:p>
            <w:pPr>
              <w:pStyle w:val="Compact"/>
            </w:pPr>
            <w:r>
              <w:rPr>
                <w:rFonts w:hint="eastAsia"/>
              </w:rPr>
              <w:t xml:space="preserve">-0.45（n=382）</w:t>
            </w:r>
          </w:p>
        </w:tc>
      </w:tr>
      <w:tr>
        <w:tc>
          <w:tcPr/>
          <w:p>
            <w:pPr>
              <w:pStyle w:val="Compact"/>
            </w:pPr>
            <w:r>
              <w:rPr>
                <w:rFonts w:hint="eastAsia"/>
              </w:rPr>
              <w:t xml:space="preserve">二类烟</w:t>
            </w:r>
          </w:p>
        </w:tc>
        <w:tc>
          <w:tcPr/>
          <w:p>
            <w:pPr>
              <w:pStyle w:val="Compact"/>
            </w:pPr>
            <w:r>
              <w:rPr>
                <w:rFonts w:hint="eastAsia"/>
              </w:rPr>
              <w:t xml:space="preserve">1.13（n=48）</w:t>
            </w:r>
          </w:p>
        </w:tc>
        <w:tc>
          <w:tcPr/>
          <w:p>
            <w:pPr>
              <w:pStyle w:val="Compact"/>
            </w:pPr>
            <w:r>
              <w:rPr>
                <w:rFonts w:hint="eastAsia"/>
              </w:rPr>
              <w:t xml:space="preserve">0.59（n=314）</w:t>
            </w:r>
          </w:p>
        </w:tc>
        <w:tc>
          <w:tcPr/>
          <w:p>
            <w:pPr>
              <w:pStyle w:val="Compact"/>
            </w:pPr>
            <w:r>
              <w:rPr>
                <w:rFonts w:hint="eastAsia"/>
              </w:rPr>
              <w:t xml:space="preserve">-0.29（n=278）</w:t>
            </w:r>
          </w:p>
        </w:tc>
      </w:tr>
      <w:tr>
        <w:tc>
          <w:tcPr/>
          <w:p>
            <w:pPr>
              <w:pStyle w:val="Compact"/>
            </w:pPr>
            <w:r>
              <w:rPr>
                <w:rFonts w:hint="eastAsia"/>
              </w:rPr>
              <w:t xml:space="preserve">五类烟</w:t>
            </w:r>
          </w:p>
        </w:tc>
        <w:tc>
          <w:tcPr/>
          <w:p>
            <w:pPr>
              <w:pStyle w:val="Compact"/>
            </w:pPr>
            <w:r>
              <w:rPr>
                <w:rFonts w:hint="eastAsia"/>
              </w:rPr>
              <w:t xml:space="preserve">2.31（n=17）</w:t>
            </w:r>
          </w:p>
        </w:tc>
        <w:tc>
          <w:tcPr/>
          <w:p>
            <w:pPr>
              <w:pStyle w:val="Compact"/>
            </w:pPr>
            <w:r>
              <w:rPr>
                <w:rFonts w:hint="eastAsia"/>
              </w:rPr>
              <w:t xml:space="preserve">0.51（n=1）</w:t>
            </w:r>
          </w:p>
        </w:tc>
        <w:tc>
          <w:tcPr/>
          <w:p>
            <w:pPr>
              <w:pStyle w:val="Compact"/>
            </w:pPr>
            <w:r>
              <w:t xml:space="preserve">—</w:t>
            </w:r>
          </w:p>
        </w:tc>
      </w:tr>
      <w:tr>
        <w:tc>
          <w:tcPr/>
          <w:p>
            <w:pPr>
              <w:pStyle w:val="Compact"/>
            </w:pPr>
            <w:r>
              <w:rPr>
                <w:rFonts w:hint="eastAsia"/>
              </w:rPr>
              <w:t xml:space="preserve">四类烟</w:t>
            </w:r>
          </w:p>
        </w:tc>
        <w:tc>
          <w:tcPr/>
          <w:p>
            <w:pPr>
              <w:pStyle w:val="Compact"/>
            </w:pPr>
            <w:r>
              <w:rPr>
                <w:rFonts w:hint="eastAsia"/>
              </w:rPr>
              <w:t xml:space="preserve">1.49（n=3）</w:t>
            </w:r>
          </w:p>
        </w:tc>
        <w:tc>
          <w:tcPr/>
          <w:p>
            <w:pPr>
              <w:pStyle w:val="Compact"/>
            </w:pPr>
            <w:r>
              <w:rPr>
                <w:rFonts w:hint="eastAsia"/>
              </w:rPr>
              <w:t xml:space="preserve">0.44（n=3）</w:t>
            </w:r>
          </w:p>
        </w:tc>
        <w:tc>
          <w:tcPr/>
          <w:p>
            <w:pPr>
              <w:pStyle w:val="Compact"/>
            </w:pPr>
            <w:r>
              <w:rPr>
                <w:rFonts w:hint="eastAsia"/>
              </w:rPr>
              <w:t xml:space="preserve">-1.29（n=66）</w:t>
            </w:r>
          </w:p>
        </w:tc>
      </w:tr>
    </w:tbl>
    <w:p>
      <w:pPr>
        <w:pStyle w:val="BodyText"/>
      </w:pPr>
      <w:r>
        <w:rPr>
          <w:rFonts w:hint="eastAsia"/>
        </w:rPr>
        <w:t xml:space="preserve">表10</w:t>
      </w:r>
      <w:r>
        <w:t xml:space="preserve">　</w:t>
      </w:r>
      <w:r>
        <w:rPr>
          <w:rFonts w:hint="eastAsia"/>
        </w:rPr>
        <w:t xml:space="preserve">品类×敏感组平均CATE及样本量</w:t>
      </w:r>
      <w:r>
        <w:br/>
      </w:r>
      <w:r>
        <w:t xml:space="preserve">Tab. 10 Average CATE by category and sensitivity group</w:t>
      </w:r>
    </w:p>
    <w:p>
      <w:pPr>
        <w:pStyle w:val="BodyText"/>
      </w:pPr>
      <w:r>
        <w:rPr>
          <w:rFonts w:hint="eastAsia"/>
        </w:rPr>
        <w:t xml:space="preserve">注：表9、表10及表11中子组样本量小于30（如中低档n=18、五类烟n=18、四类烟n=72等）的格子，CATE估计不稳定，仅作探索性描述，不据此作推断性结论；该类子组不进入复核清单。</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rPr>
                <w:rFonts w:hint="eastAsia"/>
              </w:rPr>
              <w:t xml:space="preserve">维度</w:t>
            </w:r>
          </w:p>
        </w:tc>
        <w:tc>
          <w:tcPr/>
          <w:p>
            <w:pPr>
              <w:pStyle w:val="Compact"/>
            </w:pPr>
            <w:r>
              <w:rPr>
                <w:rFonts w:hint="eastAsia"/>
              </w:rPr>
              <w:t xml:space="preserve">子组</w:t>
            </w:r>
          </w:p>
        </w:tc>
        <w:tc>
          <w:tcPr/>
          <w:p>
            <w:pPr>
              <w:pStyle w:val="Compact"/>
            </w:pPr>
            <w:r>
              <w:rPr>
                <w:rFonts w:hint="eastAsia"/>
              </w:rPr>
              <w:t xml:space="preserve">样本量</w:t>
            </w:r>
          </w:p>
        </w:tc>
        <w:tc>
          <w:tcPr/>
          <w:p>
            <w:pPr>
              <w:pStyle w:val="Compact"/>
            </w:pPr>
            <w:r>
              <w:rPr>
                <w:rFonts w:hint="eastAsia"/>
              </w:rPr>
              <w:t xml:space="preserve">平均CATE</w:t>
            </w:r>
          </w:p>
        </w:tc>
        <w:tc>
          <w:tcPr/>
          <w:p>
            <w:pPr>
              <w:pStyle w:val="Compact"/>
            </w:pPr>
            <w:r>
              <w:rPr>
                <w:rFonts w:hint="eastAsia"/>
              </w:rPr>
              <w:t xml:space="preserve">95%参考区间</w:t>
            </w:r>
          </w:p>
        </w:tc>
      </w:tr>
      <w:tr>
        <w:tc>
          <w:tcPr/>
          <w:p>
            <w:pPr>
              <w:pStyle w:val="Compact"/>
            </w:pPr>
            <w:r>
              <w:rPr>
                <w:rFonts w:hint="eastAsia"/>
              </w:rPr>
              <w:t xml:space="preserve">价位段</w:t>
            </w:r>
          </w:p>
        </w:tc>
        <w:tc>
          <w:tcPr/>
          <w:p>
            <w:pPr>
              <w:pStyle w:val="Compact"/>
            </w:pPr>
            <w:r>
              <w:rPr>
                <w:rFonts w:hint="eastAsia"/>
              </w:rPr>
              <w:t xml:space="preserve">中低档</w:t>
            </w:r>
          </w:p>
        </w:tc>
        <w:tc>
          <w:tcPr/>
          <w:p>
            <w:pPr>
              <w:pStyle w:val="Compact"/>
            </w:pPr>
            <w:r>
              <w:t xml:space="preserve">18</w:t>
            </w:r>
          </w:p>
        </w:tc>
        <w:tc>
          <w:tcPr/>
          <w:p>
            <w:pPr>
              <w:pStyle w:val="Compact"/>
            </w:pPr>
            <w:r>
              <w:t xml:space="preserve">2.209</w:t>
            </w:r>
          </w:p>
        </w:tc>
        <w:tc>
          <w:tcPr/>
          <w:p>
            <w:pPr>
              <w:pStyle w:val="Compact"/>
            </w:pPr>
            <w:r>
              <w:rPr>
                <w:rFonts w:hint="eastAsia"/>
              </w:rPr>
              <w:t xml:space="preserve">1.985～2.433</w:t>
            </w:r>
          </w:p>
        </w:tc>
      </w:tr>
      <w:tr>
        <w:tc>
          <w:tcPr/>
          <w:p>
            <w:pPr>
              <w:pStyle w:val="Compact"/>
            </w:pPr>
            <w:r>
              <w:rPr>
                <w:rFonts w:hint="eastAsia"/>
              </w:rPr>
              <w:t xml:space="preserve">价位段</w:t>
            </w:r>
          </w:p>
        </w:tc>
        <w:tc>
          <w:tcPr/>
          <w:p>
            <w:pPr>
              <w:pStyle w:val="Compact"/>
            </w:pPr>
            <w:r>
              <w:rPr>
                <w:rFonts w:hint="eastAsia"/>
              </w:rPr>
              <w:t xml:space="preserve">中档</w:t>
            </w:r>
          </w:p>
        </w:tc>
        <w:tc>
          <w:tcPr/>
          <w:p>
            <w:pPr>
              <w:pStyle w:val="Compact"/>
            </w:pPr>
            <w:r>
              <w:t xml:space="preserve">176</w:t>
            </w:r>
          </w:p>
        </w:tc>
        <w:tc>
          <w:tcPr/>
          <w:p>
            <w:pPr>
              <w:pStyle w:val="Compact"/>
            </w:pPr>
            <w:r>
              <w:t xml:space="preserve">-1.064</w:t>
            </w:r>
          </w:p>
        </w:tc>
        <w:tc>
          <w:tcPr/>
          <w:p>
            <w:pPr>
              <w:pStyle w:val="Compact"/>
            </w:pPr>
            <w:r>
              <w:rPr>
                <w:rFonts w:hint="eastAsia"/>
              </w:rPr>
              <w:t xml:space="preserve">-1.184～-0.945</w:t>
            </w:r>
          </w:p>
        </w:tc>
      </w:tr>
      <w:tr>
        <w:tc>
          <w:tcPr/>
          <w:p>
            <w:pPr>
              <w:pStyle w:val="Compact"/>
            </w:pPr>
            <w:r>
              <w:rPr>
                <w:rFonts w:hint="eastAsia"/>
              </w:rPr>
              <w:t xml:space="preserve">价位段</w:t>
            </w:r>
          </w:p>
        </w:tc>
        <w:tc>
          <w:tcPr/>
          <w:p>
            <w:pPr>
              <w:pStyle w:val="Compact"/>
            </w:pPr>
            <w:r>
              <w:rPr>
                <w:rFonts w:hint="eastAsia"/>
              </w:rPr>
              <w:t xml:space="preserve">中高档</w:t>
            </w:r>
          </w:p>
        </w:tc>
        <w:tc>
          <w:tcPr/>
          <w:p>
            <w:pPr>
              <w:pStyle w:val="Compact"/>
            </w:pPr>
            <w:r>
              <w:t xml:space="preserve">409</w:t>
            </w:r>
          </w:p>
        </w:tc>
        <w:tc>
          <w:tcPr/>
          <w:p>
            <w:pPr>
              <w:pStyle w:val="Compact"/>
            </w:pPr>
            <w:r>
              <w:t xml:space="preserve">0.086</w:t>
            </w:r>
          </w:p>
        </w:tc>
        <w:tc>
          <w:tcPr/>
          <w:p>
            <w:pPr>
              <w:pStyle w:val="Compact"/>
            </w:pPr>
            <w:r>
              <w:rPr>
                <w:rFonts w:hint="eastAsia"/>
              </w:rPr>
              <w:t xml:space="preserve">0.024～0.147</w:t>
            </w:r>
          </w:p>
        </w:tc>
      </w:tr>
      <w:tr>
        <w:tc>
          <w:tcPr/>
          <w:p>
            <w:pPr>
              <w:pStyle w:val="Compact"/>
            </w:pPr>
            <w:r>
              <w:rPr>
                <w:rFonts w:hint="eastAsia"/>
              </w:rPr>
              <w:t xml:space="preserve">价位段</w:t>
            </w:r>
          </w:p>
        </w:tc>
        <w:tc>
          <w:tcPr/>
          <w:p>
            <w:pPr>
              <w:pStyle w:val="Compact"/>
            </w:pPr>
            <w:r>
              <w:rPr>
                <w:rFonts w:hint="eastAsia"/>
              </w:rPr>
              <w:t xml:space="preserve">高档</w:t>
            </w:r>
          </w:p>
        </w:tc>
        <w:tc>
          <w:tcPr/>
          <w:p>
            <w:pPr>
              <w:pStyle w:val="Compact"/>
            </w:pPr>
            <w:r>
              <w:t xml:space="preserve">2283</w:t>
            </w:r>
          </w:p>
        </w:tc>
        <w:tc>
          <w:tcPr/>
          <w:p>
            <w:pPr>
              <w:pStyle w:val="Compact"/>
            </w:pPr>
            <w:r>
              <w:t xml:space="preserve">0.882</w:t>
            </w:r>
          </w:p>
        </w:tc>
        <w:tc>
          <w:tcPr/>
          <w:p>
            <w:pPr>
              <w:pStyle w:val="Compact"/>
            </w:pPr>
            <w:r>
              <w:rPr>
                <w:rFonts w:hint="eastAsia"/>
              </w:rPr>
              <w:t xml:space="preserve">0.842～0.922</w:t>
            </w:r>
          </w:p>
        </w:tc>
      </w:tr>
      <w:tr>
        <w:tc>
          <w:tcPr/>
          <w:p>
            <w:pPr>
              <w:pStyle w:val="Compact"/>
            </w:pPr>
            <w:r>
              <w:rPr>
                <w:rFonts w:hint="eastAsia"/>
              </w:rPr>
              <w:t xml:space="preserve">品类</w:t>
            </w:r>
          </w:p>
        </w:tc>
        <w:tc>
          <w:tcPr/>
          <w:p>
            <w:pPr>
              <w:pStyle w:val="Compact"/>
            </w:pPr>
            <w:r>
              <w:rPr>
                <w:rFonts w:hint="eastAsia"/>
              </w:rPr>
              <w:t xml:space="preserve">一类烟</w:t>
            </w:r>
          </w:p>
        </w:tc>
        <w:tc>
          <w:tcPr/>
          <w:p>
            <w:pPr>
              <w:pStyle w:val="Compact"/>
            </w:pPr>
            <w:r>
              <w:t xml:space="preserve">1626</w:t>
            </w:r>
          </w:p>
        </w:tc>
        <w:tc>
          <w:tcPr/>
          <w:p>
            <w:pPr>
              <w:pStyle w:val="Compact"/>
            </w:pPr>
            <w:r>
              <w:t xml:space="preserve">1.138</w:t>
            </w:r>
          </w:p>
        </w:tc>
        <w:tc>
          <w:tcPr/>
          <w:p>
            <w:pPr>
              <w:pStyle w:val="Compact"/>
            </w:pPr>
            <w:r>
              <w:rPr>
                <w:rFonts w:hint="eastAsia"/>
              </w:rPr>
              <w:t xml:space="preserve">1.090～1.186</w:t>
            </w:r>
          </w:p>
        </w:tc>
      </w:tr>
      <w:tr>
        <w:tc>
          <w:tcPr/>
          <w:p>
            <w:pPr>
              <w:pStyle w:val="Compact"/>
            </w:pPr>
            <w:r>
              <w:rPr>
                <w:rFonts w:hint="eastAsia"/>
              </w:rPr>
              <w:t xml:space="preserve">品类</w:t>
            </w:r>
          </w:p>
        </w:tc>
        <w:tc>
          <w:tcPr/>
          <w:p>
            <w:pPr>
              <w:pStyle w:val="Compact"/>
            </w:pPr>
            <w:r>
              <w:rPr>
                <w:rFonts w:hint="eastAsia"/>
              </w:rPr>
              <w:t xml:space="preserve">三类烟</w:t>
            </w:r>
          </w:p>
        </w:tc>
        <w:tc>
          <w:tcPr/>
          <w:p>
            <w:pPr>
              <w:pStyle w:val="Compact"/>
            </w:pPr>
            <w:r>
              <w:t xml:space="preserve">530</w:t>
            </w:r>
          </w:p>
        </w:tc>
        <w:tc>
          <w:tcPr/>
          <w:p>
            <w:pPr>
              <w:pStyle w:val="Compact"/>
            </w:pPr>
            <w:r>
              <w:t xml:space="preserve">-0.130</w:t>
            </w:r>
          </w:p>
        </w:tc>
        <w:tc>
          <w:tcPr/>
          <w:p>
            <w:pPr>
              <w:pStyle w:val="Compact"/>
            </w:pPr>
            <w:r>
              <w:rPr>
                <w:rFonts w:hint="eastAsia"/>
              </w:rPr>
              <w:t xml:space="preserve">-0.196～-0.064</w:t>
            </w:r>
          </w:p>
        </w:tc>
      </w:tr>
      <w:tr>
        <w:tc>
          <w:tcPr/>
          <w:p>
            <w:pPr>
              <w:pStyle w:val="Compact"/>
            </w:pPr>
            <w:r>
              <w:rPr>
                <w:rFonts w:hint="eastAsia"/>
              </w:rPr>
              <w:t xml:space="preserve">品类</w:t>
            </w:r>
          </w:p>
        </w:tc>
        <w:tc>
          <w:tcPr/>
          <w:p>
            <w:pPr>
              <w:pStyle w:val="Compact"/>
            </w:pPr>
            <w:r>
              <w:rPr>
                <w:rFonts w:hint="eastAsia"/>
              </w:rPr>
              <w:t xml:space="preserve">二类烟</w:t>
            </w:r>
          </w:p>
        </w:tc>
        <w:tc>
          <w:tcPr/>
          <w:p>
            <w:pPr>
              <w:pStyle w:val="Compact"/>
            </w:pPr>
            <w:r>
              <w:t xml:space="preserve">640</w:t>
            </w:r>
          </w:p>
        </w:tc>
        <w:tc>
          <w:tcPr/>
          <w:p>
            <w:pPr>
              <w:pStyle w:val="Compact"/>
            </w:pPr>
            <w:r>
              <w:t xml:space="preserve">0.248</w:t>
            </w:r>
          </w:p>
        </w:tc>
        <w:tc>
          <w:tcPr/>
          <w:p>
            <w:pPr>
              <w:pStyle w:val="Compact"/>
            </w:pPr>
            <w:r>
              <w:rPr>
                <w:rFonts w:hint="eastAsia"/>
              </w:rPr>
              <w:t xml:space="preserve">0.201～0.294</w:t>
            </w:r>
          </w:p>
        </w:tc>
      </w:tr>
      <w:tr>
        <w:tc>
          <w:tcPr/>
          <w:p>
            <w:pPr>
              <w:pStyle w:val="Compact"/>
            </w:pPr>
            <w:r>
              <w:rPr>
                <w:rFonts w:hint="eastAsia"/>
              </w:rPr>
              <w:t xml:space="preserve">品类</w:t>
            </w:r>
          </w:p>
        </w:tc>
        <w:tc>
          <w:tcPr/>
          <w:p>
            <w:pPr>
              <w:pStyle w:val="Compact"/>
            </w:pPr>
            <w:r>
              <w:rPr>
                <w:rFonts w:hint="eastAsia"/>
              </w:rPr>
              <w:t xml:space="preserve">五类烟</w:t>
            </w:r>
          </w:p>
        </w:tc>
        <w:tc>
          <w:tcPr/>
          <w:p>
            <w:pPr>
              <w:pStyle w:val="Compact"/>
            </w:pPr>
            <w:r>
              <w:t xml:space="preserve">18</w:t>
            </w:r>
          </w:p>
        </w:tc>
        <w:tc>
          <w:tcPr/>
          <w:p>
            <w:pPr>
              <w:pStyle w:val="Compact"/>
            </w:pPr>
            <w:r>
              <w:t xml:space="preserve">2.209</w:t>
            </w:r>
          </w:p>
        </w:tc>
        <w:tc>
          <w:tcPr/>
          <w:p>
            <w:pPr>
              <w:pStyle w:val="Compact"/>
            </w:pPr>
            <w:r>
              <w:rPr>
                <w:rFonts w:hint="eastAsia"/>
              </w:rPr>
              <w:t xml:space="preserve">1.985～2.433</w:t>
            </w:r>
          </w:p>
        </w:tc>
      </w:tr>
      <w:tr>
        <w:tc>
          <w:tcPr/>
          <w:p>
            <w:pPr>
              <w:pStyle w:val="Compact"/>
            </w:pPr>
            <w:r>
              <w:rPr>
                <w:rFonts w:hint="eastAsia"/>
              </w:rPr>
              <w:t xml:space="preserve">品类</w:t>
            </w:r>
          </w:p>
        </w:tc>
        <w:tc>
          <w:tcPr/>
          <w:p>
            <w:pPr>
              <w:pStyle w:val="Compact"/>
            </w:pPr>
            <w:r>
              <w:rPr>
                <w:rFonts w:hint="eastAsia"/>
              </w:rPr>
              <w:t xml:space="preserve">四类烟</w:t>
            </w:r>
          </w:p>
        </w:tc>
        <w:tc>
          <w:tcPr/>
          <w:p>
            <w:pPr>
              <w:pStyle w:val="Compact"/>
            </w:pPr>
            <w:r>
              <w:t xml:space="preserve">72</w:t>
            </w:r>
          </w:p>
        </w:tc>
        <w:tc>
          <w:tcPr/>
          <w:p>
            <w:pPr>
              <w:pStyle w:val="Compact"/>
            </w:pPr>
            <w:r>
              <w:t xml:space="preserve">-1.105</w:t>
            </w:r>
          </w:p>
        </w:tc>
        <w:tc>
          <w:tcPr/>
          <w:p>
            <w:pPr>
              <w:pStyle w:val="Compact"/>
            </w:pPr>
            <w:r>
              <w:rPr>
                <w:rFonts w:hint="eastAsia"/>
              </w:rPr>
              <w:t xml:space="preserve">-1.336～-0.873</w:t>
            </w:r>
          </w:p>
        </w:tc>
      </w:tr>
      <w:tr>
        <w:tc>
          <w:tcPr/>
          <w:p>
            <w:pPr>
              <w:pStyle w:val="Compact"/>
            </w:pPr>
            <w:r>
              <w:rPr>
                <w:rFonts w:hint="eastAsia"/>
              </w:rPr>
              <w:t xml:space="preserve">时令</w:t>
            </w:r>
          </w:p>
        </w:tc>
        <w:tc>
          <w:tcPr/>
          <w:p>
            <w:pPr>
              <w:pStyle w:val="Compact"/>
            </w:pPr>
            <w:r>
              <w:rPr>
                <w:rFonts w:hint="eastAsia"/>
              </w:rPr>
              <w:t xml:space="preserve">元春</w:t>
            </w:r>
          </w:p>
        </w:tc>
        <w:tc>
          <w:tcPr/>
          <w:p>
            <w:pPr>
              <w:pStyle w:val="Compact"/>
            </w:pPr>
            <w:r>
              <w:t xml:space="preserve">661</w:t>
            </w:r>
          </w:p>
        </w:tc>
        <w:tc>
          <w:tcPr/>
          <w:p>
            <w:pPr>
              <w:pStyle w:val="Compact"/>
            </w:pPr>
            <w:r>
              <w:t xml:space="preserve">0.664</w:t>
            </w:r>
          </w:p>
        </w:tc>
        <w:tc>
          <w:tcPr/>
          <w:p>
            <w:pPr>
              <w:pStyle w:val="Compact"/>
            </w:pPr>
            <w:r>
              <w:rPr>
                <w:rFonts w:hint="eastAsia"/>
              </w:rPr>
              <w:t xml:space="preserve">0.584～0.743</w:t>
            </w:r>
          </w:p>
        </w:tc>
      </w:tr>
      <w:tr>
        <w:tc>
          <w:tcPr/>
          <w:p>
            <w:pPr>
              <w:pStyle w:val="Compact"/>
            </w:pPr>
            <w:r>
              <w:rPr>
                <w:rFonts w:hint="eastAsia"/>
              </w:rPr>
              <w:t xml:space="preserve">时令</w:t>
            </w:r>
          </w:p>
        </w:tc>
        <w:tc>
          <w:tcPr/>
          <w:p>
            <w:pPr>
              <w:pStyle w:val="Compact"/>
            </w:pPr>
            <w:r>
              <w:rPr>
                <w:rFonts w:hint="eastAsia"/>
              </w:rPr>
              <w:t xml:space="preserve">常规</w:t>
            </w:r>
          </w:p>
        </w:tc>
        <w:tc>
          <w:tcPr/>
          <w:p>
            <w:pPr>
              <w:pStyle w:val="Compact"/>
            </w:pPr>
            <w:r>
              <w:t xml:space="preserve">2225</w:t>
            </w:r>
          </w:p>
        </w:tc>
        <w:tc>
          <w:tcPr/>
          <w:p>
            <w:pPr>
              <w:pStyle w:val="Compact"/>
            </w:pPr>
            <w:r>
              <w:t xml:space="preserve">0.657</w:t>
            </w:r>
          </w:p>
        </w:tc>
        <w:tc>
          <w:tcPr/>
          <w:p>
            <w:pPr>
              <w:pStyle w:val="Compact"/>
            </w:pPr>
            <w:r>
              <w:rPr>
                <w:rFonts w:hint="eastAsia"/>
              </w:rPr>
              <w:t xml:space="preserve">0.613～0.702</w:t>
            </w:r>
          </w:p>
        </w:tc>
      </w:tr>
    </w:tbl>
    <w:p>
      <w:pPr>
        <w:pStyle w:val="BodyText"/>
      </w:pPr>
      <w:r>
        <w:rPr>
          <w:rFonts w:hint="eastAsia"/>
        </w:rPr>
        <w:t xml:space="preserve">表11</w:t>
      </w:r>
      <w:r>
        <w:t xml:space="preserve">　</w:t>
      </w:r>
      <w:r>
        <w:rPr>
          <w:rFonts w:hint="eastAsia"/>
        </w:rPr>
        <w:t xml:space="preserve">价位段、品类与时令子组CATE及组内高敏感增益</w:t>
      </w:r>
      <w:r>
        <w:br/>
      </w:r>
      <w:r>
        <w:t xml:space="preserve">Tab. 11 Subgroup CATE by price band, category and season</w:t>
      </w:r>
    </w:p>
    <w:p>
      <w:pPr>
        <w:pStyle w:val="BodyText"/>
      </w:pPr>
      <w:r>
        <w:rPr>
          <w:rFonts w:hint="eastAsia"/>
        </w:rPr>
        <w:t xml:space="preserve">表9至表11和图4至图6显示，价位段、品类和时令内部仍存在CATE差异，但这些结果属于探索性异质性描述，只用于组织和复核线索，不能替代负对照和固定效应诊断。</w:t>
      </w:r>
    </w:p>
    <w:bookmarkEnd w:id="43"/>
    <w:bookmarkStart w:id="44" w:name="排序回溯与基线差异"/>
    <w:p>
      <w:pPr>
        <w:pStyle w:val="Heading2"/>
      </w:pPr>
      <w:r>
        <w:t xml:space="preserve">3.6　</w:t>
      </w:r>
      <w:r>
        <w:rPr>
          <w:rFonts w:hint="eastAsia"/>
        </w:rPr>
        <w:t xml:space="preserve">排序回溯与基线差异</w:t>
      </w:r>
    </w:p>
    <w:p>
      <w:pPr>
        <w:pStyle w:val="FirstParagraph"/>
      </w:pPr>
      <w:r>
        <w:rPr>
          <w:rFonts w:hint="eastAsia"/>
        </w:rPr>
        <w:t xml:space="preserve">回溯验证仅纳入258个实际发生供给收缩的品规×月份观测，其中高敏感对象为CATE排序上三分之一的86个样本，其余对象为172个样本；并非依据表7、表8的联合规则重新筛选。状态改善定义为下一期状态变化Y&gt;0。</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rPr>
                <w:rFonts w:hint="eastAsia"/>
              </w:rPr>
              <w:t xml:space="preserve">调控对象</w:t>
            </w:r>
          </w:p>
        </w:tc>
        <w:tc>
          <w:tcPr/>
          <w:p>
            <w:pPr>
              <w:pStyle w:val="Compact"/>
            </w:pPr>
            <w:r>
              <w:rPr>
                <w:rFonts w:hint="eastAsia"/>
              </w:rPr>
              <w:t xml:space="preserve">样本量</w:t>
            </w:r>
          </w:p>
        </w:tc>
        <w:tc>
          <w:tcPr/>
          <w:p>
            <w:pPr>
              <w:pStyle w:val="Compact"/>
            </w:pPr>
            <w:r>
              <w:rPr>
                <w:rFonts w:hint="eastAsia"/>
              </w:rPr>
              <w:t xml:space="preserve">处理无关状态变化均值</w:t>
            </w:r>
          </w:p>
        </w:tc>
        <w:tc>
          <w:tcPr/>
          <w:p>
            <w:pPr>
              <w:pStyle w:val="Compact"/>
            </w:pPr>
            <w:r>
              <w:rPr>
                <w:rFonts w:hint="eastAsia"/>
              </w:rPr>
              <w:t xml:space="preserve">改善率/%</w:t>
            </w:r>
          </w:p>
        </w:tc>
        <w:tc>
          <w:tcPr/>
          <w:p>
            <w:pPr>
              <w:pStyle w:val="Compact"/>
            </w:pPr>
            <w:r>
              <w:rPr>
                <w:rFonts w:hint="eastAsia"/>
              </w:rPr>
              <w:t xml:space="preserve">供给收缩前S*差异</w:t>
            </w:r>
          </w:p>
        </w:tc>
      </w:tr>
      <w:tr>
        <w:tc>
          <w:tcPr/>
          <w:p>
            <w:pPr>
              <w:pStyle w:val="Compact"/>
            </w:pPr>
            <w:r>
              <w:rPr>
                <w:rFonts w:hint="eastAsia"/>
              </w:rPr>
              <w:t xml:space="preserve">CATE上三分之一</w:t>
            </w:r>
          </w:p>
        </w:tc>
        <w:tc>
          <w:tcPr/>
          <w:p>
            <w:pPr>
              <w:pStyle w:val="Compact"/>
            </w:pPr>
            <w:r>
              <w:t xml:space="preserve">86</w:t>
            </w:r>
          </w:p>
        </w:tc>
        <w:tc>
          <w:tcPr/>
          <w:p>
            <w:pPr>
              <w:pStyle w:val="Compact"/>
            </w:pPr>
            <w:r>
              <w:t xml:space="preserve">3.931</w:t>
            </w:r>
          </w:p>
        </w:tc>
        <w:tc>
          <w:tcPr/>
          <w:p>
            <w:pPr>
              <w:pStyle w:val="Compact"/>
            </w:pPr>
            <w:r>
              <w:t xml:space="preserve">59.3</w:t>
            </w:r>
          </w:p>
        </w:tc>
        <w:tc>
          <w:tcPr/>
          <w:p>
            <w:pPr>
              <w:pStyle w:val="Compact"/>
            </w:pPr>
            <w:r>
              <w:t xml:space="preserve">SMD=2.584</w:t>
            </w:r>
          </w:p>
        </w:tc>
      </w:tr>
      <w:tr>
        <w:tc>
          <w:tcPr/>
          <w:p>
            <w:pPr>
              <w:pStyle w:val="Compact"/>
            </w:pPr>
            <w:r>
              <w:rPr>
                <w:rFonts w:hint="eastAsia"/>
              </w:rPr>
              <w:t xml:space="preserve">其余处理对象</w:t>
            </w:r>
          </w:p>
        </w:tc>
        <w:tc>
          <w:tcPr/>
          <w:p>
            <w:pPr>
              <w:pStyle w:val="Compact"/>
            </w:pPr>
            <w:r>
              <w:t xml:space="preserve">172</w:t>
            </w:r>
          </w:p>
        </w:tc>
        <w:tc>
          <w:tcPr/>
          <w:p>
            <w:pPr>
              <w:pStyle w:val="Compact"/>
            </w:pPr>
            <w:r>
              <w:t xml:space="preserve">-0.613</w:t>
            </w:r>
          </w:p>
        </w:tc>
        <w:tc>
          <w:tcPr/>
          <w:p>
            <w:pPr>
              <w:pStyle w:val="Compact"/>
            </w:pPr>
            <w:r>
              <w:t xml:space="preserve">59.3</w:t>
            </w:r>
          </w:p>
        </w:tc>
        <w:tc>
          <w:tcPr/>
          <w:p>
            <w:pPr>
              <w:pStyle w:val="Compact"/>
            </w:pPr>
            <w:r>
              <w:t xml:space="preserve">P=1.24e-40</w:t>
            </w:r>
          </w:p>
        </w:tc>
      </w:tr>
    </w:tbl>
    <w:p>
      <w:pPr>
        <w:pStyle w:val="BodyText"/>
      </w:pPr>
      <w:r>
        <w:rPr>
          <w:rFonts w:hint="eastAsia"/>
        </w:rPr>
        <w:t xml:space="preserve">表12</w:t>
      </w:r>
      <w:r>
        <w:t xml:space="preserve">　</w:t>
      </w:r>
      <w:r>
        <w:rPr>
          <w:rFonts w:hint="eastAsia"/>
        </w:rPr>
        <w:t xml:space="preserve">高敏感对象与其余对象的回溯验证结果</w:t>
      </w:r>
      <w:r>
        <w:br/>
      </w:r>
      <w:r>
        <w:t xml:space="preserve">Tab. 12 Back-testing results of high-sensitivity versus remaining treated specifications</w:t>
      </w:r>
    </w:p>
    <w:p>
      <w:pPr>
        <w:pStyle w:val="BodyText"/>
      </w:pPr>
      <w:r>
        <w:rPr>
          <w:rFonts w:hint="eastAsia"/>
        </w:rPr>
        <w:t xml:space="preserve">表12显示，CATE上三分之一与其余处理样本的改善率均为59.3%，虽然平均变化分别为3.93和-0.61，但供给收缩前状态差异极大（SMD=2.58，P&lt;0.001）。因此，旧稿60.0%对20.8%的命中率结论不能复现，本表只说明排序与连续变化幅度存在关联，不构成因果验证。</w:t>
      </w:r>
    </w:p>
    <w:bookmarkEnd w:id="44"/>
    <w:bookmarkStart w:id="47" w:name="方法对比与稳健性检验"/>
    <w:p>
      <w:pPr>
        <w:pStyle w:val="Heading2"/>
      </w:pPr>
      <w:r>
        <w:t xml:space="preserve">3.7　</w:t>
      </w:r>
      <w:r>
        <w:rPr>
          <w:rFonts w:hint="eastAsia"/>
        </w:rPr>
        <w:t xml:space="preserve">方法对比与稳健性检验</w:t>
      </w:r>
    </w:p>
    <w:bookmarkStart w:id="45" w:name="重叠性与反向因果诊断"/>
    <w:p>
      <w:pPr>
        <w:pStyle w:val="Heading3"/>
      </w:pPr>
      <w:r>
        <w:t xml:space="preserve">3.7.1　</w:t>
      </w:r>
      <w:r>
        <w:rPr>
          <w:rFonts w:hint="eastAsia"/>
        </w:rPr>
        <w:t xml:space="preserve">重叠性与反向因果诊断</w:t>
      </w:r>
    </w:p>
    <w:p>
      <w:pPr>
        <w:pStyle w:val="FirstParagraph"/>
      </w:pPr>
      <w:r>
        <w:rPr>
          <w:rFonts w:hint="eastAsia"/>
        </w:rPr>
        <w:t xml:space="preserve">倾向得分诊断显示，14.8%的样本位于[0.05,0.95]之外，并非‘极小比例’；加权有效样本量为2048.1。更关键的是，处理前负对照效应为3.278（P&lt;0.001），表明供给收缩选择与既有状态轨迹显著相关。故时序前置本身不足以排除反向选择，本研究主动降低因果措辞。</w:t>
      </w:r>
    </w:p>
    <w:bookmarkEnd w:id="45"/>
    <w:bookmarkStart w:id="46" w:name="方法对比与稳健性证据"/>
    <w:p>
      <w:pPr>
        <w:pStyle w:val="Heading3"/>
      </w:pPr>
      <w:r>
        <w:t xml:space="preserve">3.7.2　</w:t>
      </w:r>
      <w:r>
        <w:rPr>
          <w:rFonts w:hint="eastAsia"/>
        </w:rPr>
        <w:t xml:space="preserve">方法对比与稳健性证据</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方法</w:t>
            </w:r>
          </w:p>
        </w:tc>
        <w:tc>
          <w:tcPr/>
          <w:p>
            <w:pPr>
              <w:pStyle w:val="Compact"/>
            </w:pPr>
            <w:r>
              <w:rPr>
                <w:rFonts w:hint="eastAsia"/>
              </w:rPr>
              <w:t xml:space="preserve">效应估计</w:t>
            </w:r>
          </w:p>
        </w:tc>
        <w:tc>
          <w:tcPr/>
          <w:p>
            <w:pPr>
              <w:pStyle w:val="Compact"/>
            </w:pPr>
            <w:r>
              <w:rPr>
                <w:rFonts w:hint="eastAsia"/>
              </w:rPr>
              <w:t xml:space="preserve">区间/平衡</w:t>
            </w:r>
          </w:p>
        </w:tc>
        <w:tc>
          <w:tcPr/>
          <w:p>
            <w:pPr>
              <w:pStyle w:val="Compact"/>
            </w:pPr>
            <w:r>
              <w:rPr>
                <w:rFonts w:hint="eastAsia"/>
              </w:rPr>
              <w:t xml:space="preserve">定位</w:t>
            </w:r>
          </w:p>
        </w:tc>
      </w:tr>
      <w:tr>
        <w:tc>
          <w:tcPr/>
          <w:p>
            <w:pPr>
              <w:pStyle w:val="Compact"/>
            </w:pPr>
            <w:r>
              <w:rPr>
                <w:rFonts w:hint="eastAsia"/>
              </w:rPr>
              <w:t xml:space="preserve">诚实因果森林</w:t>
            </w:r>
          </w:p>
        </w:tc>
        <w:tc>
          <w:tcPr/>
          <w:p>
            <w:pPr>
              <w:pStyle w:val="Compact"/>
            </w:pPr>
            <w:r>
              <w:t xml:space="preserve">0.659</w:t>
            </w:r>
          </w:p>
        </w:tc>
        <w:tc>
          <w:tcPr/>
          <w:p>
            <w:pPr>
              <w:pStyle w:val="Compact"/>
            </w:pPr>
            <w:r>
              <w:rPr>
                <w:rFonts w:hint="eastAsia"/>
              </w:rPr>
              <w:t xml:space="preserve">-1.679～2.997</w:t>
            </w:r>
          </w:p>
        </w:tc>
        <w:tc>
          <w:tcPr/>
          <w:p>
            <w:pPr>
              <w:pStyle w:val="Compact"/>
            </w:pPr>
            <w:r>
              <w:rPr>
                <w:rFonts w:hint="eastAsia"/>
              </w:rPr>
              <w:t xml:space="preserve">主模型：估计CATE</w:t>
            </w:r>
          </w:p>
        </w:tc>
      </w:tr>
      <w:tr>
        <w:tc>
          <w:tcPr/>
          <w:p>
            <w:pPr>
              <w:pStyle w:val="Compact"/>
            </w:pPr>
            <w:r>
              <w:rPr>
                <w:rFonts w:hint="eastAsia"/>
              </w:rPr>
              <w:t xml:space="preserve">双向固定效应</w:t>
            </w:r>
          </w:p>
        </w:tc>
        <w:tc>
          <w:tcPr/>
          <w:p>
            <w:pPr>
              <w:pStyle w:val="Compact"/>
            </w:pPr>
            <w:r>
              <w:t xml:space="preserve">1.195</w:t>
            </w:r>
          </w:p>
        </w:tc>
        <w:tc>
          <w:tcPr/>
          <w:p>
            <w:pPr>
              <w:pStyle w:val="Compact"/>
            </w:pPr>
            <w:r>
              <w:rPr>
                <w:rFonts w:hint="eastAsia"/>
              </w:rPr>
              <w:t xml:space="preserve">-0.119～2.510</w:t>
            </w:r>
          </w:p>
        </w:tc>
        <w:tc>
          <w:tcPr/>
          <w:p>
            <w:pPr>
              <w:pStyle w:val="Compact"/>
            </w:pPr>
            <w:r>
              <w:rPr>
                <w:rFonts w:hint="eastAsia"/>
              </w:rPr>
              <w:t xml:space="preserve">控制品规和月份固定效应</w:t>
            </w:r>
          </w:p>
        </w:tc>
      </w:tr>
      <w:tr>
        <w:tc>
          <w:tcPr/>
          <w:p>
            <w:pPr>
              <w:pStyle w:val="Compact"/>
            </w:pPr>
            <w:r>
              <w:rPr>
                <w:rFonts w:hint="eastAsia"/>
              </w:rPr>
              <w:t xml:space="preserve">1:1倾向得分匹配</w:t>
            </w:r>
          </w:p>
        </w:tc>
        <w:tc>
          <w:tcPr/>
          <w:p>
            <w:pPr>
              <w:pStyle w:val="Compact"/>
            </w:pPr>
            <w:r>
              <w:t xml:space="preserve">1.631</w:t>
            </w:r>
          </w:p>
        </w:tc>
        <w:tc>
          <w:tcPr/>
          <w:p>
            <w:pPr>
              <w:pStyle w:val="Compact"/>
            </w:pPr>
            <w:r>
              <w:rPr>
                <w:rFonts w:hint="eastAsia"/>
              </w:rPr>
              <w:t xml:space="preserve">平均|SMD|</w:t>
            </w:r>
            <w:r>
              <w:t xml:space="preserve"> 0.178→0.057</w:t>
            </w:r>
          </w:p>
        </w:tc>
        <w:tc>
          <w:tcPr/>
          <w:p>
            <w:pPr>
              <w:pStyle w:val="Compact"/>
            </w:pPr>
            <w:r>
              <w:rPr>
                <w:rFonts w:hint="eastAsia"/>
              </w:rPr>
              <w:t xml:space="preserve">匹配样本平均差异</w:t>
            </w:r>
          </w:p>
        </w:tc>
      </w:tr>
    </w:tbl>
    <w:p>
      <w:pPr>
        <w:pStyle w:val="BodyText"/>
      </w:pPr>
      <w:r>
        <w:rPr>
          <w:rFonts w:hint="eastAsia"/>
        </w:rPr>
        <w:t xml:space="preserve">表13</w:t>
      </w:r>
      <w:r>
        <w:t xml:space="preserve">　</w:t>
      </w:r>
      <w:r>
        <w:rPr>
          <w:rFonts w:hint="eastAsia"/>
        </w:rPr>
        <w:t xml:space="preserve">不同方法的补充实验对比</w:t>
      </w:r>
      <w:r>
        <w:br/>
      </w:r>
      <w:r>
        <w:t xml:space="preserve">Tab. 13 Supplementary comparison of different methods</w:t>
      </w:r>
    </w:p>
    <w:p>
      <w:pPr>
        <w:pStyle w:val="BodyText"/>
      </w:pPr>
      <w:r>
        <w:rPr>
          <w:rFonts w:hint="eastAsia"/>
        </w:rPr>
        <w:t xml:space="preserve">表13的目的不是证明诚实因果森林在所有预测任务上优于随机森林或GBDT，而是说明预测状态变化与识别异质性调控效应属于不同任务：随机森林、GBDT与极端随机树的RMSE与因果森林差距不大，说明其状态变化预测能力不弱；但DML平均效应只给出单一均值，无法支撑分品规复核。诚实因果森林的优势不在预测精度，而在输出可用于排序和分层的品规级效应。</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rPr>
                <w:rFonts w:hint="eastAsia"/>
              </w:rPr>
              <w:t xml:space="preserve">检验</w:t>
            </w:r>
          </w:p>
        </w:tc>
        <w:tc>
          <w:tcPr/>
          <w:p>
            <w:pPr>
              <w:pStyle w:val="Compact"/>
            </w:pPr>
            <w:r>
              <w:rPr>
                <w:rFonts w:hint="eastAsia"/>
              </w:rPr>
              <w:t xml:space="preserve">指标</w:t>
            </w:r>
          </w:p>
        </w:tc>
        <w:tc>
          <w:tcPr/>
          <w:p>
            <w:pPr>
              <w:pStyle w:val="Compact"/>
            </w:pPr>
            <w:r>
              <w:rPr>
                <w:rFonts w:hint="eastAsia"/>
              </w:rPr>
              <w:t xml:space="preserve">结果</w:t>
            </w:r>
          </w:p>
        </w:tc>
        <w:tc>
          <w:tcPr/>
          <w:p>
            <w:pPr>
              <w:pStyle w:val="Compact"/>
            </w:pPr>
            <w:r>
              <w:rPr>
                <w:rFonts w:hint="eastAsia"/>
              </w:rPr>
              <w:t xml:space="preserve">解释</w:t>
            </w:r>
          </w:p>
        </w:tc>
      </w:tr>
      <w:tr>
        <w:tc>
          <w:tcPr/>
          <w:p>
            <w:pPr>
              <w:pStyle w:val="Compact"/>
            </w:pPr>
            <w:r>
              <w:rPr>
                <w:rFonts w:hint="eastAsia"/>
              </w:rPr>
              <w:t xml:space="preserve">PSM平衡</w:t>
            </w:r>
          </w:p>
        </w:tc>
        <w:tc>
          <w:tcPr/>
          <w:p>
            <w:pPr>
              <w:pStyle w:val="Compact"/>
            </w:pPr>
            <w:r>
              <w:rPr>
                <w:rFonts w:hint="eastAsia"/>
              </w:rPr>
              <w:t xml:space="preserve">平均|SMD|</w:t>
            </w:r>
          </w:p>
        </w:tc>
        <w:tc>
          <w:tcPr/>
          <w:p>
            <w:pPr>
              <w:pStyle w:val="Compact"/>
            </w:pPr>
            <w:r>
              <w:t xml:space="preserve">0.178→0.057</w:t>
            </w:r>
          </w:p>
        </w:tc>
        <w:tc>
          <w:tcPr/>
          <w:p>
            <w:pPr>
              <w:pStyle w:val="Compact"/>
            </w:pPr>
            <w:r>
              <w:rPr>
                <w:rFonts w:hint="eastAsia"/>
              </w:rPr>
              <w:t xml:space="preserve">可观测协变量平衡改善</w:t>
            </w:r>
          </w:p>
        </w:tc>
      </w:tr>
      <w:tr>
        <w:tc>
          <w:tcPr/>
          <w:p>
            <w:pPr>
              <w:pStyle w:val="Compact"/>
            </w:pPr>
            <w:r>
              <w:t xml:space="preserve">E-value</w:t>
            </w:r>
          </w:p>
        </w:tc>
        <w:tc>
          <w:tcPr/>
          <w:p>
            <w:pPr>
              <w:pStyle w:val="Compact"/>
            </w:pPr>
            <w:r>
              <w:rPr>
                <w:rFonts w:hint="eastAsia"/>
              </w:rPr>
              <w:t xml:space="preserve">匹配后改善风险比</w:t>
            </w:r>
          </w:p>
        </w:tc>
        <w:tc>
          <w:tcPr/>
          <w:p>
            <w:pPr>
              <w:pStyle w:val="Compact"/>
            </w:pPr>
            <w:r>
              <w:rPr>
                <w:rFonts w:hint="eastAsia"/>
              </w:rPr>
              <w:t xml:space="preserve">1.404；E-value=2.156</w:t>
            </w:r>
          </w:p>
        </w:tc>
        <w:tc>
          <w:tcPr/>
          <w:p>
            <w:pPr>
              <w:pStyle w:val="Compact"/>
            </w:pPr>
            <w:r>
              <w:rPr>
                <w:rFonts w:hint="eastAsia"/>
              </w:rPr>
              <w:t xml:space="preserve">强度达到2.156的未测混杂可解释风险比</w:t>
            </w:r>
          </w:p>
        </w:tc>
      </w:tr>
      <w:tr>
        <w:tc>
          <w:tcPr/>
          <w:p>
            <w:pPr>
              <w:pStyle w:val="Compact"/>
            </w:pPr>
            <w:r>
              <w:rPr>
                <w:rFonts w:hint="eastAsia"/>
              </w:rPr>
              <w:t xml:space="preserve">处理前负对照</w:t>
            </w:r>
          </w:p>
        </w:tc>
        <w:tc>
          <w:tcPr/>
          <w:p>
            <w:pPr>
              <w:pStyle w:val="Compact"/>
            </w:pPr>
            <w:r>
              <w:rPr>
                <w:rFonts w:hint="eastAsia"/>
              </w:rPr>
              <w:t xml:space="preserve">当期T对处理前状态变化</w:t>
            </w:r>
          </w:p>
        </w:tc>
        <w:tc>
          <w:tcPr/>
          <w:p>
            <w:pPr>
              <w:pStyle w:val="Compact"/>
            </w:pPr>
            <w:r>
              <w:rPr>
                <w:rFonts w:hint="eastAsia"/>
              </w:rPr>
              <w:t xml:space="preserve">3.278，P=4.96e-05</w:t>
            </w:r>
          </w:p>
        </w:tc>
        <w:tc>
          <w:tcPr/>
          <w:p>
            <w:pPr>
              <w:pStyle w:val="Compact"/>
            </w:pPr>
            <w:r>
              <w:rPr>
                <w:rFonts w:hint="eastAsia"/>
              </w:rPr>
              <w:t xml:space="preserve">显著，不能宣称已排除未观测混杂</w:t>
            </w:r>
          </w:p>
        </w:tc>
      </w:tr>
      <w:tr>
        <w:tc>
          <w:tcPr/>
          <w:p>
            <w:pPr>
              <w:pStyle w:val="Compact"/>
            </w:pPr>
            <w:r>
              <w:rPr>
                <w:rFonts w:hint="eastAsia"/>
              </w:rPr>
              <w:t xml:space="preserve">置换安慰剂</w:t>
            </w:r>
          </w:p>
        </w:tc>
        <w:tc>
          <w:tcPr/>
          <w:p>
            <w:pPr>
              <w:pStyle w:val="Compact"/>
            </w:pPr>
            <w:r>
              <w:rPr>
                <w:rFonts w:hint="eastAsia"/>
              </w:rPr>
              <w:t xml:space="preserve">100次伪处理效应</w:t>
            </w:r>
          </w:p>
        </w:tc>
        <w:tc>
          <w:tcPr/>
          <w:p>
            <w:pPr>
              <w:pStyle w:val="Compact"/>
            </w:pPr>
            <w:r>
              <w:rPr>
                <w:rFonts w:hint="eastAsia"/>
              </w:rPr>
              <w:t xml:space="preserve">-0.012（-1.056～0.876）</w:t>
            </w:r>
          </w:p>
        </w:tc>
        <w:tc>
          <w:tcPr/>
          <w:p>
            <w:pPr>
              <w:pStyle w:val="Compact"/>
            </w:pPr>
            <w:r>
              <w:rPr>
                <w:rFonts w:hint="eastAsia"/>
              </w:rPr>
              <w:t xml:space="preserve">随机标签效应接近0</w:t>
            </w:r>
          </w:p>
        </w:tc>
      </w:tr>
    </w:tbl>
    <w:p>
      <w:pPr>
        <w:pStyle w:val="BodyText"/>
      </w:pPr>
      <w:r>
        <w:rPr>
          <w:rFonts w:hint="eastAsia"/>
        </w:rPr>
        <w:t xml:space="preserve">表14</w:t>
      </w:r>
      <w:r>
        <w:t xml:space="preserve">　</w:t>
      </w:r>
      <w:r>
        <w:rPr>
          <w:rFonts w:hint="eastAsia"/>
        </w:rPr>
        <w:t xml:space="preserve">匹配、未测混杂与证伪检验汇总</w:t>
      </w:r>
      <w:r>
        <w:br/>
      </w:r>
      <w:r>
        <w:t xml:space="preserve">Tab. 14 Summary of matching, unmeasured-confounding and falsification checks</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pPr>
            <w:r>
              <w:rPr>
                <w:rFonts w:hint="eastAsia"/>
              </w:rPr>
              <w:t xml:space="preserve">处理定义</w:t>
            </w:r>
          </w:p>
        </w:tc>
        <w:tc>
          <w:tcPr/>
          <w:p>
            <w:pPr>
              <w:pStyle w:val="Compact"/>
            </w:pPr>
            <w:r>
              <w:rPr>
                <w:rFonts w:hint="eastAsia"/>
              </w:rPr>
              <w:t xml:space="preserve">处理样本量</w:t>
            </w:r>
          </w:p>
        </w:tc>
        <w:tc>
          <w:tcPr/>
          <w:p>
            <w:pPr>
              <w:pStyle w:val="Compact"/>
            </w:pPr>
            <w:r>
              <w:rPr>
                <w:rFonts w:hint="eastAsia"/>
              </w:rPr>
              <w:t xml:space="preserve">双向固定效应</w:t>
            </w:r>
          </w:p>
        </w:tc>
        <w:tc>
          <w:tcPr/>
          <w:p>
            <w:pPr>
              <w:pStyle w:val="Compact"/>
            </w:pPr>
            <w:r>
              <w:t xml:space="preserve">95% CI</w:t>
            </w:r>
          </w:p>
        </w:tc>
        <w:tc>
          <w:tcPr/>
          <w:p>
            <w:pPr>
              <w:pStyle w:val="Compact"/>
            </w:pPr>
            <w:r>
              <w:rPr>
                <w:rFonts w:hint="eastAsia"/>
              </w:rPr>
              <w:t xml:space="preserve">P值</w:t>
            </w:r>
          </w:p>
        </w:tc>
      </w:tr>
      <w:tr>
        <w:tc>
          <w:tcPr/>
          <w:p>
            <w:pPr>
              <w:pStyle w:val="Compact"/>
            </w:pPr>
            <w:r>
              <w:rPr>
                <w:rFonts w:hint="eastAsia"/>
              </w:rPr>
              <w:t xml:space="preserve">主定义：月内P35且下降&gt;2</w:t>
            </w:r>
          </w:p>
        </w:tc>
        <w:tc>
          <w:tcPr/>
          <w:p>
            <w:pPr>
              <w:pStyle w:val="Compact"/>
            </w:pPr>
            <w:r>
              <w:t xml:space="preserve">258</w:t>
            </w:r>
          </w:p>
        </w:tc>
        <w:tc>
          <w:tcPr/>
          <w:p>
            <w:pPr>
              <w:pStyle w:val="Compact"/>
            </w:pPr>
            <w:r>
              <w:t xml:space="preserve">1.195</w:t>
            </w:r>
          </w:p>
        </w:tc>
        <w:tc>
          <w:tcPr/>
          <w:p>
            <w:pPr>
              <w:pStyle w:val="Compact"/>
            </w:pPr>
            <w:r>
              <w:rPr>
                <w:rFonts w:hint="eastAsia"/>
              </w:rPr>
              <w:t xml:space="preserve">-0.119～2.510</w:t>
            </w:r>
          </w:p>
        </w:tc>
        <w:tc>
          <w:tcPr/>
          <w:p>
            <w:pPr>
              <w:pStyle w:val="Compact"/>
            </w:pPr>
            <w:r>
              <w:t xml:space="preserve">0.075</w:t>
            </w:r>
          </w:p>
        </w:tc>
      </w:tr>
      <w:tr>
        <w:tc>
          <w:tcPr/>
          <w:p>
            <w:pPr>
              <w:pStyle w:val="Compact"/>
            </w:pPr>
            <w:r>
              <w:rPr>
                <w:rFonts w:hint="eastAsia"/>
              </w:rPr>
              <w:t xml:space="preserve">月内P30且下降&gt;2</w:t>
            </w:r>
          </w:p>
        </w:tc>
        <w:tc>
          <w:tcPr/>
          <w:p>
            <w:pPr>
              <w:pStyle w:val="Compact"/>
            </w:pPr>
            <w:r>
              <w:t xml:space="preserve">225</w:t>
            </w:r>
          </w:p>
        </w:tc>
        <w:tc>
          <w:tcPr/>
          <w:p>
            <w:pPr>
              <w:pStyle w:val="Compact"/>
            </w:pPr>
            <w:r>
              <w:t xml:space="preserve">1.550</w:t>
            </w:r>
          </w:p>
        </w:tc>
        <w:tc>
          <w:tcPr/>
          <w:p>
            <w:pPr>
              <w:pStyle w:val="Compact"/>
            </w:pPr>
            <w:r>
              <w:rPr>
                <w:rFonts w:hint="eastAsia"/>
              </w:rPr>
              <w:t xml:space="preserve">0.156～2.944</w:t>
            </w:r>
          </w:p>
        </w:tc>
        <w:tc>
          <w:tcPr/>
          <w:p>
            <w:pPr>
              <w:pStyle w:val="Compact"/>
            </w:pPr>
            <w:r>
              <w:t xml:space="preserve">0.029</w:t>
            </w:r>
          </w:p>
        </w:tc>
      </w:tr>
      <w:tr>
        <w:tc>
          <w:tcPr/>
          <w:p>
            <w:pPr>
              <w:pStyle w:val="Compact"/>
            </w:pPr>
            <w:r>
              <w:rPr>
                <w:rFonts w:hint="eastAsia"/>
              </w:rPr>
              <w:t xml:space="preserve">月内P40且下降&gt;3</w:t>
            </w:r>
          </w:p>
        </w:tc>
        <w:tc>
          <w:tcPr/>
          <w:p>
            <w:pPr>
              <w:pStyle w:val="Compact"/>
            </w:pPr>
            <w:r>
              <w:t xml:space="preserve">251</w:t>
            </w:r>
          </w:p>
        </w:tc>
        <w:tc>
          <w:tcPr/>
          <w:p>
            <w:pPr>
              <w:pStyle w:val="Compact"/>
            </w:pPr>
            <w:r>
              <w:t xml:space="preserve">1.143</w:t>
            </w:r>
          </w:p>
        </w:tc>
        <w:tc>
          <w:tcPr/>
          <w:p>
            <w:pPr>
              <w:pStyle w:val="Compact"/>
            </w:pPr>
            <w:r>
              <w:rPr>
                <w:rFonts w:hint="eastAsia"/>
              </w:rPr>
              <w:t xml:space="preserve">-0.214～2.500</w:t>
            </w:r>
          </w:p>
        </w:tc>
        <w:tc>
          <w:tcPr/>
          <w:p>
            <w:pPr>
              <w:pStyle w:val="Compact"/>
            </w:pPr>
            <w:r>
              <w:t xml:space="preserve">0.099</w:t>
            </w:r>
          </w:p>
        </w:tc>
      </w:tr>
    </w:tbl>
    <w:p>
      <w:pPr>
        <w:pStyle w:val="BodyText"/>
      </w:pPr>
      <w:r>
        <w:rPr>
          <w:rFonts w:hint="eastAsia"/>
        </w:rPr>
        <w:t xml:space="preserve">表15</w:t>
      </w:r>
      <w:r>
        <w:t xml:space="preserve">　</w:t>
      </w:r>
      <w:r>
        <w:rPr>
          <w:rFonts w:hint="eastAsia"/>
        </w:rPr>
        <w:t xml:space="preserve">处理变量业务阈值敏感性检验</w:t>
      </w:r>
      <w:r>
        <w:br/>
      </w:r>
      <w:r>
        <w:t xml:space="preserve">Tab. 15 Sensitivity test of business-threshold definitions</w:t>
      </w:r>
    </w:p>
    <w:p>
      <w:pPr>
        <w:pStyle w:val="BodyText"/>
      </w:pPr>
      <w:r>
        <w:rPr>
          <w:rFonts w:hint="eastAsia"/>
        </w:rPr>
        <w:t xml:space="preserve">表13至表15给出互相制约的证据。PSM将平均|SMD|由0.178降至0.057，置换伪效应围绕0；但处理前负对照效应为3.278且P&lt;0.001，说明供给收缩选择仍与既有状态轨迹相关。E-value为2.156，提示中等强度未测混杂即可改变匹配后风险比解释。综合判断应是“存在排序信号，但尚不足以作自动因果决策”。</w:t>
      </w:r>
    </w:p>
    <w:bookmarkEnd w:id="46"/>
    <w:bookmarkEnd w:id="47"/>
    <w:bookmarkStart w:id="54" w:name="代表性品规案例"/>
    <w:p>
      <w:pPr>
        <w:pStyle w:val="Heading2"/>
      </w:pPr>
      <w:r>
        <w:t xml:space="preserve">3.8　</w:t>
      </w:r>
      <w:r>
        <w:rPr>
          <w:rFonts w:hint="eastAsia"/>
        </w:rPr>
        <w:t xml:space="preserve">代表性品规案例</w:t>
      </w:r>
    </w:p>
    <w:p>
      <w:pPr>
        <w:pStyle w:val="FirstParagraph"/>
      </w:pPr>
      <w:r>
        <w:rPr>
          <w:rFonts w:hint="eastAsia"/>
        </w:rPr>
        <w:t xml:space="preserve">为把抽象效应落到具体经营对象，表16基于诚实口径给出供给收缩后状态改善明显的高敏感代表品规，表17给出供给收缩后状态明显走弱的低敏感代表品规。</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rPr>
                <w:rFonts w:hint="eastAsia"/>
              </w:rPr>
              <w:t xml:space="preserve">月份</w:t>
            </w:r>
          </w:p>
        </w:tc>
        <w:tc>
          <w:tcPr/>
          <w:p>
            <w:pPr>
              <w:pStyle w:val="Compact"/>
            </w:pPr>
            <w:r>
              <w:rPr>
                <w:rFonts w:hint="eastAsia"/>
              </w:rPr>
              <w:t xml:space="preserve">品规</w:t>
            </w:r>
          </w:p>
        </w:tc>
        <w:tc>
          <w:tcPr/>
          <w:p>
            <w:pPr>
              <w:pStyle w:val="Compact"/>
            </w:pPr>
            <w:r>
              <w:rPr>
                <w:rFonts w:hint="eastAsia"/>
              </w:rPr>
              <w:t xml:space="preserve">类别</w:t>
            </w:r>
          </w:p>
        </w:tc>
        <w:tc>
          <w:tcPr/>
          <w:p>
            <w:pPr>
              <w:pStyle w:val="Compact"/>
            </w:pPr>
            <w:r>
              <w:t xml:space="preserve">CATE</w:t>
            </w:r>
          </w:p>
        </w:tc>
        <w:tc>
          <w:tcPr/>
          <w:p>
            <w:pPr>
              <w:pStyle w:val="Compact"/>
            </w:pPr>
            <w:r>
              <w:rPr>
                <w:rFonts w:hint="eastAsia"/>
              </w:rPr>
              <w:t xml:space="preserve">下期变化</w:t>
            </w:r>
          </w:p>
        </w:tc>
        <w:tc>
          <w:tcPr/>
          <w:p>
            <w:pPr>
              <w:pStyle w:val="Compact"/>
            </w:pPr>
            <w:r>
              <w:rPr>
                <w:rFonts w:hint="eastAsia"/>
              </w:rPr>
              <w:t xml:space="preserve">供给收缩前S*</w:t>
            </w:r>
          </w:p>
        </w:tc>
        <w:tc>
          <w:tcPr/>
          <w:p>
            <w:pPr>
              <w:pStyle w:val="Compact"/>
            </w:pPr>
            <w:r>
              <w:rPr>
                <w:rFonts w:hint="eastAsia"/>
              </w:rPr>
              <w:t xml:space="preserve">顺价指数</w:t>
            </w:r>
          </w:p>
        </w:tc>
        <w:tc>
          <w:tcPr/>
          <w:p>
            <w:pPr>
              <w:pStyle w:val="Compact"/>
            </w:pPr>
            <w:r>
              <w:rPr>
                <w:rFonts w:hint="eastAsia"/>
              </w:rPr>
              <w:t xml:space="preserve">存销比</w:t>
            </w:r>
          </w:p>
        </w:tc>
        <w:tc>
          <w:tcPr/>
          <w:p>
            <w:pPr>
              <w:pStyle w:val="Compact"/>
            </w:pPr>
            <w:r>
              <w:rPr>
                <w:rFonts w:hint="eastAsia"/>
              </w:rPr>
              <w:t xml:space="preserve">复核建议</w:t>
            </w:r>
          </w:p>
        </w:tc>
      </w:tr>
      <w:tr>
        <w:tc>
          <w:tcPr/>
          <w:p>
            <w:pPr>
              <w:pStyle w:val="Compact"/>
            </w:pPr>
            <w:r>
              <w:t xml:space="preserve">202505</w:t>
            </w:r>
          </w:p>
        </w:tc>
        <w:tc>
          <w:tcPr/>
          <w:p>
            <w:pPr>
              <w:pStyle w:val="Compact"/>
            </w:pPr>
            <w:r>
              <w:rPr>
                <w:rFonts w:hint="eastAsia"/>
              </w:rPr>
              <w:t xml:space="preserve">苏烟(软金砂)</w:t>
            </w:r>
          </w:p>
        </w:tc>
        <w:tc>
          <w:tcPr/>
          <w:p>
            <w:pPr>
              <w:pStyle w:val="Compact"/>
            </w:pPr>
            <w:r>
              <w:rPr>
                <w:rFonts w:hint="eastAsia"/>
              </w:rPr>
              <w:t xml:space="preserve">一类烟</w:t>
            </w:r>
          </w:p>
        </w:tc>
        <w:tc>
          <w:tcPr/>
          <w:p>
            <w:pPr>
              <w:pStyle w:val="Compact"/>
            </w:pPr>
            <w:r>
              <w:t xml:space="preserve">4.066</w:t>
            </w:r>
          </w:p>
        </w:tc>
        <w:tc>
          <w:tcPr/>
          <w:p>
            <w:pPr>
              <w:pStyle w:val="Compact"/>
            </w:pPr>
            <w:r>
              <w:t xml:space="preserve">0.185</w:t>
            </w:r>
          </w:p>
        </w:tc>
        <w:tc>
          <w:tcPr/>
          <w:p>
            <w:pPr>
              <w:pStyle w:val="Compact"/>
            </w:pPr>
            <w:r>
              <w:t xml:space="preserve">61.895</w:t>
            </w:r>
          </w:p>
        </w:tc>
        <w:tc>
          <w:tcPr/>
          <w:p>
            <w:pPr>
              <w:pStyle w:val="Compact"/>
            </w:pPr>
            <w:r>
              <w:t xml:space="preserve">1.179</w:t>
            </w:r>
          </w:p>
        </w:tc>
        <w:tc>
          <w:tcPr/>
          <w:p>
            <w:pPr>
              <w:pStyle w:val="Compact"/>
            </w:pPr>
            <w:r>
              <w:t xml:space="preserve">2471.87</w:t>
            </w:r>
          </w:p>
        </w:tc>
        <w:tc>
          <w:tcPr/>
          <w:p>
            <w:pPr>
              <w:pStyle w:val="Compact"/>
            </w:pPr>
            <w:r>
              <w:rPr>
                <w:rFonts w:hint="eastAsia"/>
              </w:rPr>
              <w:t xml:space="preserve">进入人工复核</w:t>
            </w:r>
          </w:p>
        </w:tc>
      </w:tr>
      <w:tr>
        <w:tc>
          <w:tcPr/>
          <w:p>
            <w:pPr>
              <w:pStyle w:val="Compact"/>
            </w:pPr>
            <w:r>
              <w:t xml:space="preserve">202503</w:t>
            </w:r>
          </w:p>
        </w:tc>
        <w:tc>
          <w:tcPr/>
          <w:p>
            <w:pPr>
              <w:pStyle w:val="Compact"/>
            </w:pPr>
            <w:r>
              <w:rPr>
                <w:rFonts w:hint="eastAsia"/>
              </w:rPr>
              <w:t xml:space="preserve">黄鹤楼(软珍品)</w:t>
            </w:r>
          </w:p>
        </w:tc>
        <w:tc>
          <w:tcPr/>
          <w:p>
            <w:pPr>
              <w:pStyle w:val="Compact"/>
            </w:pPr>
            <w:r>
              <w:rPr>
                <w:rFonts w:hint="eastAsia"/>
              </w:rPr>
              <w:t xml:space="preserve">一类烟</w:t>
            </w:r>
          </w:p>
        </w:tc>
        <w:tc>
          <w:tcPr/>
          <w:p>
            <w:pPr>
              <w:pStyle w:val="Compact"/>
            </w:pPr>
            <w:r>
              <w:t xml:space="preserve">4.014</w:t>
            </w:r>
          </w:p>
        </w:tc>
        <w:tc>
          <w:tcPr/>
          <w:p>
            <w:pPr>
              <w:pStyle w:val="Compact"/>
            </w:pPr>
            <w:r>
              <w:t xml:space="preserve">30.248</w:t>
            </w:r>
          </w:p>
        </w:tc>
        <w:tc>
          <w:tcPr/>
          <w:p>
            <w:pPr>
              <w:pStyle w:val="Compact"/>
            </w:pPr>
            <w:r>
              <w:t xml:space="preserve">59.327</w:t>
            </w:r>
          </w:p>
        </w:tc>
        <w:tc>
          <w:tcPr/>
          <w:p>
            <w:pPr>
              <w:pStyle w:val="Compact"/>
            </w:pPr>
            <w:r>
              <w:t xml:space="preserve">1.226</w:t>
            </w:r>
          </w:p>
        </w:tc>
        <w:tc>
          <w:tcPr/>
          <w:p>
            <w:pPr>
              <w:pStyle w:val="Compact"/>
            </w:pPr>
            <w:r>
              <w:t xml:space="preserve">16696.12</w:t>
            </w:r>
          </w:p>
        </w:tc>
        <w:tc>
          <w:tcPr/>
          <w:p>
            <w:pPr>
              <w:pStyle w:val="Compact"/>
            </w:pPr>
            <w:r>
              <w:rPr>
                <w:rFonts w:hint="eastAsia"/>
              </w:rPr>
              <w:t xml:space="preserve">进入人工复核</w:t>
            </w:r>
          </w:p>
        </w:tc>
      </w:tr>
      <w:tr>
        <w:tc>
          <w:tcPr/>
          <w:p>
            <w:pPr>
              <w:pStyle w:val="Compact"/>
            </w:pPr>
            <w:r>
              <w:t xml:space="preserve">202504</w:t>
            </w:r>
          </w:p>
        </w:tc>
        <w:tc>
          <w:tcPr/>
          <w:p>
            <w:pPr>
              <w:pStyle w:val="Compact"/>
            </w:pPr>
            <w:r>
              <w:rPr>
                <w:rFonts w:hint="eastAsia"/>
              </w:rPr>
              <w:t xml:space="preserve">钻石(细支荷花)</w:t>
            </w:r>
          </w:p>
        </w:tc>
        <w:tc>
          <w:tcPr/>
          <w:p>
            <w:pPr>
              <w:pStyle w:val="Compact"/>
            </w:pPr>
            <w:r>
              <w:rPr>
                <w:rFonts w:hint="eastAsia"/>
              </w:rPr>
              <w:t xml:space="preserve">一类烟</w:t>
            </w:r>
          </w:p>
        </w:tc>
        <w:tc>
          <w:tcPr/>
          <w:p>
            <w:pPr>
              <w:pStyle w:val="Compact"/>
            </w:pPr>
            <w:r>
              <w:t xml:space="preserve">3.980</w:t>
            </w:r>
          </w:p>
        </w:tc>
        <w:tc>
          <w:tcPr/>
          <w:p>
            <w:pPr>
              <w:pStyle w:val="Compact"/>
            </w:pPr>
            <w:r>
              <w:t xml:space="preserve">28.678</w:t>
            </w:r>
          </w:p>
        </w:tc>
        <w:tc>
          <w:tcPr/>
          <w:p>
            <w:pPr>
              <w:pStyle w:val="Compact"/>
            </w:pPr>
            <w:r>
              <w:t xml:space="preserve">62.203</w:t>
            </w:r>
          </w:p>
        </w:tc>
        <w:tc>
          <w:tcPr/>
          <w:p>
            <w:pPr>
              <w:pStyle w:val="Compact"/>
            </w:pPr>
            <w:r>
              <w:t xml:space="preserve">1.165</w:t>
            </w:r>
          </w:p>
        </w:tc>
        <w:tc>
          <w:tcPr/>
          <w:p>
            <w:pPr>
              <w:pStyle w:val="Compact"/>
            </w:pPr>
            <w:r>
              <w:t xml:space="preserve">812.02</w:t>
            </w:r>
          </w:p>
        </w:tc>
        <w:tc>
          <w:tcPr/>
          <w:p>
            <w:pPr>
              <w:pStyle w:val="Compact"/>
            </w:pPr>
            <w:r>
              <w:rPr>
                <w:rFonts w:hint="eastAsia"/>
              </w:rPr>
              <w:t xml:space="preserve">进入人工复核</w:t>
            </w:r>
          </w:p>
        </w:tc>
      </w:tr>
      <w:tr>
        <w:tc>
          <w:tcPr/>
          <w:p>
            <w:pPr>
              <w:pStyle w:val="Compact"/>
            </w:pPr>
            <w:r>
              <w:t xml:space="preserve">202510</w:t>
            </w:r>
          </w:p>
        </w:tc>
        <w:tc>
          <w:tcPr/>
          <w:p>
            <w:pPr>
              <w:pStyle w:val="Compact"/>
            </w:pPr>
            <w:r>
              <w:rPr>
                <w:rFonts w:hint="eastAsia"/>
              </w:rPr>
              <w:t xml:space="preserve">黄鹤楼(硬1916如意)</w:t>
            </w:r>
          </w:p>
        </w:tc>
        <w:tc>
          <w:tcPr/>
          <w:p>
            <w:pPr>
              <w:pStyle w:val="Compact"/>
            </w:pPr>
            <w:r>
              <w:rPr>
                <w:rFonts w:hint="eastAsia"/>
              </w:rPr>
              <w:t xml:space="preserve">一类烟</w:t>
            </w:r>
          </w:p>
        </w:tc>
        <w:tc>
          <w:tcPr/>
          <w:p>
            <w:pPr>
              <w:pStyle w:val="Compact"/>
            </w:pPr>
            <w:r>
              <w:t xml:space="preserve">3.890</w:t>
            </w:r>
          </w:p>
        </w:tc>
        <w:tc>
          <w:tcPr/>
          <w:p>
            <w:pPr>
              <w:pStyle w:val="Compact"/>
            </w:pPr>
            <w:r>
              <w:t xml:space="preserve">0.115</w:t>
            </w:r>
          </w:p>
        </w:tc>
        <w:tc>
          <w:tcPr/>
          <w:p>
            <w:pPr>
              <w:pStyle w:val="Compact"/>
            </w:pPr>
            <w:r>
              <w:t xml:space="preserve">62.340</w:t>
            </w:r>
          </w:p>
        </w:tc>
        <w:tc>
          <w:tcPr/>
          <w:p>
            <w:pPr>
              <w:pStyle w:val="Compact"/>
            </w:pPr>
            <w:r>
              <w:t xml:space="preserve">1.179</w:t>
            </w:r>
          </w:p>
        </w:tc>
        <w:tc>
          <w:tcPr/>
          <w:p>
            <w:pPr>
              <w:pStyle w:val="Compact"/>
            </w:pPr>
            <w:r>
              <w:t xml:space="preserve">2188.00</w:t>
            </w:r>
          </w:p>
        </w:tc>
        <w:tc>
          <w:tcPr/>
          <w:p>
            <w:pPr>
              <w:pStyle w:val="Compact"/>
            </w:pPr>
            <w:r>
              <w:rPr>
                <w:rFonts w:hint="eastAsia"/>
              </w:rPr>
              <w:t xml:space="preserve">进入人工复核</w:t>
            </w:r>
          </w:p>
        </w:tc>
      </w:tr>
      <w:tr>
        <w:tc>
          <w:tcPr/>
          <w:p>
            <w:pPr>
              <w:pStyle w:val="Compact"/>
            </w:pPr>
            <w:r>
              <w:t xml:space="preserve">202506</w:t>
            </w:r>
          </w:p>
        </w:tc>
        <w:tc>
          <w:tcPr/>
          <w:p>
            <w:pPr>
              <w:pStyle w:val="Compact"/>
            </w:pPr>
            <w:r>
              <w:rPr>
                <w:rFonts w:hint="eastAsia"/>
              </w:rPr>
              <w:t xml:space="preserve">钻石(荷花)</w:t>
            </w:r>
          </w:p>
        </w:tc>
        <w:tc>
          <w:tcPr/>
          <w:p>
            <w:pPr>
              <w:pStyle w:val="Compact"/>
            </w:pPr>
            <w:r>
              <w:rPr>
                <w:rFonts w:hint="eastAsia"/>
              </w:rPr>
              <w:t xml:space="preserve">一类烟</w:t>
            </w:r>
          </w:p>
        </w:tc>
        <w:tc>
          <w:tcPr/>
          <w:p>
            <w:pPr>
              <w:pStyle w:val="Compact"/>
            </w:pPr>
            <w:r>
              <w:t xml:space="preserve">3.872</w:t>
            </w:r>
          </w:p>
        </w:tc>
        <w:tc>
          <w:tcPr/>
          <w:p>
            <w:pPr>
              <w:pStyle w:val="Compact"/>
            </w:pPr>
            <w:r>
              <w:t xml:space="preserve">13.271</w:t>
            </w:r>
          </w:p>
        </w:tc>
        <w:tc>
          <w:tcPr/>
          <w:p>
            <w:pPr>
              <w:pStyle w:val="Compact"/>
            </w:pPr>
            <w:r>
              <w:t xml:space="preserve">58.525</w:t>
            </w:r>
          </w:p>
        </w:tc>
        <w:tc>
          <w:tcPr/>
          <w:p>
            <w:pPr>
              <w:pStyle w:val="Compact"/>
            </w:pPr>
            <w:r>
              <w:t xml:space="preserve">1.161</w:t>
            </w:r>
          </w:p>
        </w:tc>
        <w:tc>
          <w:tcPr/>
          <w:p>
            <w:pPr>
              <w:pStyle w:val="Compact"/>
            </w:pPr>
            <w:r>
              <w:t xml:space="preserve">2715.68</w:t>
            </w:r>
          </w:p>
        </w:tc>
        <w:tc>
          <w:tcPr/>
          <w:p>
            <w:pPr>
              <w:pStyle w:val="Compact"/>
            </w:pPr>
            <w:r>
              <w:rPr>
                <w:rFonts w:hint="eastAsia"/>
              </w:rPr>
              <w:t xml:space="preserve">进入人工复核</w:t>
            </w:r>
          </w:p>
        </w:tc>
      </w:tr>
    </w:tbl>
    <w:p>
      <w:pPr>
        <w:pStyle w:val="BodyText"/>
      </w:pPr>
      <w:r>
        <w:rPr>
          <w:rFonts w:hint="eastAsia"/>
        </w:rPr>
        <w:t xml:space="preserve">表16</w:t>
      </w:r>
      <w:r>
        <w:t xml:space="preserve">　</w:t>
      </w:r>
      <w:r>
        <w:rPr>
          <w:rFonts w:hint="eastAsia"/>
        </w:rPr>
        <w:t xml:space="preserve">高敏感代表品规案例</w:t>
      </w:r>
      <w:r>
        <w:br/>
      </w:r>
      <w:r>
        <w:t xml:space="preserve">Tab. 16 Representative high-sensitivity specification cases</w:t>
      </w:r>
    </w:p>
    <w:p>
      <w:pPr>
        <w:pStyle w:val="BodyText"/>
      </w:pPr>
      <w:r>
        <w:drawing>
          <wp:inline>
            <wp:extent cx="5334000" cy="2628570"/>
            <wp:effectExtent b="0" l="0" r="0" t="0"/>
            <wp:docPr descr="高敏感代表品规轨迹" title="" id="49" name="Picture"/>
            <a:graphic>
              <a:graphicData uri="http://schemas.openxmlformats.org/drawingml/2006/picture">
                <pic:pic>
                  <pic:nvPicPr>
                    <pic:cNvPr descr="figures/fig7_trajectory.png" id="50" name="Picture"/>
                    <pic:cNvPicPr>
                      <a:picLocks noChangeArrowheads="1" noChangeAspect="1"/>
                    </pic:cNvPicPr>
                  </pic:nvPicPr>
                  <pic:blipFill>
                    <a:blip r:embed="rId48"/>
                    <a:stretch>
                      <a:fillRect/>
                    </a:stretch>
                  </pic:blipFill>
                  <pic:spPr bwMode="auto">
                    <a:xfrm>
                      <a:off x="0" y="0"/>
                      <a:ext cx="5334000" cy="2628570"/>
                    </a:xfrm>
                    <a:prstGeom prst="rect">
                      <a:avLst/>
                    </a:prstGeom>
                    <a:noFill/>
                    <a:ln w="9525">
                      <a:noFill/>
                      <a:headEnd/>
                      <a:tailEnd/>
                    </a:ln>
                  </pic:spPr>
                </pic:pic>
              </a:graphicData>
            </a:graphic>
          </wp:inline>
        </w:drawing>
      </w:r>
    </w:p>
    <w:p>
      <w:pPr>
        <w:pStyle w:val="BodyText"/>
      </w:pPr>
      <w:r>
        <w:rPr>
          <w:rFonts w:hint="eastAsia"/>
        </w:rPr>
        <w:t xml:space="preserve">图7</w:t>
      </w:r>
      <w:r>
        <w:t xml:space="preserve">　</w:t>
      </w:r>
      <w:r>
        <w:rPr>
          <w:rFonts w:hint="eastAsia"/>
        </w:rPr>
        <w:t xml:space="preserve">高敏感代表品规「苏烟(软金砂)」月度状态轨迹</w:t>
      </w:r>
      <w:r>
        <w:br/>
      </w:r>
      <w:r>
        <w:t xml:space="preserve">Fig. 7 Monthly state trajectory of a representative high-sensitivity specification (SUYAN Soft-Jinsha)</w:t>
      </w:r>
    </w:p>
    <w:p>
      <w:pPr>
        <w:pStyle w:val="BodyText"/>
      </w:pPr>
      <w:r>
        <w:rPr>
          <w:rFonts w:hint="eastAsia"/>
        </w:rPr>
        <w:t xml:space="preserve">图7展示高敏感代表苏烟(软金砂)（CATE=4.066）的月度综合状态轨迹，并以竖线标示其供给收缩事件。该品规供给收缩前状态评分为61.90，但月末存销比高达2471.87，属于“状态评分不低但库存明显承压”的典型对象，供给收缩事件后其综合评分总体维持在中高位并逐步释放顺价空间。需要说明的是，单个品规的震荡同时受季节、品牌活动与区域经营环境影响，其供给收缩前后0.185的变化不能由事前事后差直接归因于供给收缩；图7的用途是通过连续记录与回滚阈值的设定，为人工复核提供可核对的时间线索，而非作为因果证据。</w:t>
      </w:r>
    </w:p>
    <w:p>
      <w:pPr>
        <w:pStyle w:val="BodyText"/>
      </w:pPr>
      <w:r>
        <w:drawing>
          <wp:inline>
            <wp:extent cx="5334000" cy="6125005"/>
            <wp:effectExtent b="0" l="0" r="0" t="0"/>
            <wp:docPr descr="多品规综合轨迹" title="" id="52" name="Picture"/>
            <a:graphic>
              <a:graphicData uri="http://schemas.openxmlformats.org/drawingml/2006/picture">
                <pic:pic>
                  <pic:nvPicPr>
                    <pic:cNvPr descr="figures/fig8_product_panel.png" id="53" name="Picture"/>
                    <pic:cNvPicPr>
                      <a:picLocks noChangeArrowheads="1" noChangeAspect="1"/>
                    </pic:cNvPicPr>
                  </pic:nvPicPr>
                  <pic:blipFill>
                    <a:blip r:embed="rId51"/>
                    <a:stretch>
                      <a:fillRect/>
                    </a:stretch>
                  </pic:blipFill>
                  <pic:spPr bwMode="auto">
                    <a:xfrm>
                      <a:off x="0" y="0"/>
                      <a:ext cx="5334000" cy="6125005"/>
                    </a:xfrm>
                    <a:prstGeom prst="rect">
                      <a:avLst/>
                    </a:prstGeom>
                    <a:noFill/>
                    <a:ln w="9525">
                      <a:noFill/>
                      <a:headEnd/>
                      <a:tailEnd/>
                    </a:ln>
                  </pic:spPr>
                </pic:pic>
              </a:graphicData>
            </a:graphic>
          </wp:inline>
        </w:drawing>
      </w:r>
    </w:p>
    <w:p>
      <w:pPr>
        <w:pStyle w:val="BodyText"/>
      </w:pPr>
      <w:r>
        <w:rPr>
          <w:rFonts w:hint="eastAsia"/>
        </w:rPr>
        <w:t xml:space="preserve">图8</w:t>
      </w:r>
      <w:r>
        <w:t xml:space="preserve">　</w:t>
      </w:r>
      <w:r>
        <w:rPr>
          <w:rFonts w:hint="eastAsia"/>
        </w:rPr>
        <w:t xml:space="preserve">代表性品规月度综合评分轨迹与供给收缩事件对照</w:t>
      </w:r>
      <w:r>
        <w:br/>
      </w:r>
      <w:r>
        <w:t xml:space="preserve">Fig. 8 Monthly comprehensive score trajectories and contraction events of representative specifications</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pPr>
            <w:r>
              <w:rPr>
                <w:rFonts w:hint="eastAsia"/>
              </w:rPr>
              <w:t xml:space="preserve">月份</w:t>
            </w:r>
          </w:p>
        </w:tc>
        <w:tc>
          <w:tcPr/>
          <w:p>
            <w:pPr>
              <w:pStyle w:val="Compact"/>
            </w:pPr>
            <w:r>
              <w:rPr>
                <w:rFonts w:hint="eastAsia"/>
              </w:rPr>
              <w:t xml:space="preserve">品规</w:t>
            </w:r>
          </w:p>
        </w:tc>
        <w:tc>
          <w:tcPr/>
          <w:p>
            <w:pPr>
              <w:pStyle w:val="Compact"/>
            </w:pPr>
            <w:r>
              <w:rPr>
                <w:rFonts w:hint="eastAsia"/>
              </w:rPr>
              <w:t xml:space="preserve">类别</w:t>
            </w:r>
          </w:p>
        </w:tc>
        <w:tc>
          <w:tcPr/>
          <w:p>
            <w:pPr>
              <w:pStyle w:val="Compact"/>
            </w:pPr>
            <w:r>
              <w:t xml:space="preserve">CATE</w:t>
            </w:r>
          </w:p>
        </w:tc>
        <w:tc>
          <w:tcPr/>
          <w:p>
            <w:pPr>
              <w:pStyle w:val="Compact"/>
            </w:pPr>
            <w:r>
              <w:rPr>
                <w:rFonts w:hint="eastAsia"/>
              </w:rPr>
              <w:t xml:space="preserve">下期变化</w:t>
            </w:r>
          </w:p>
        </w:tc>
        <w:tc>
          <w:tcPr/>
          <w:p>
            <w:pPr>
              <w:pStyle w:val="Compact"/>
            </w:pPr>
            <w:r>
              <w:rPr>
                <w:rFonts w:hint="eastAsia"/>
              </w:rPr>
              <w:t xml:space="preserve">供给收缩前S*</w:t>
            </w:r>
          </w:p>
        </w:tc>
        <w:tc>
          <w:tcPr/>
          <w:p>
            <w:pPr>
              <w:pStyle w:val="Compact"/>
            </w:pPr>
            <w:r>
              <w:rPr>
                <w:rFonts w:hint="eastAsia"/>
              </w:rPr>
              <w:t xml:space="preserve">顺价指数</w:t>
            </w:r>
          </w:p>
        </w:tc>
        <w:tc>
          <w:tcPr/>
          <w:p>
            <w:pPr>
              <w:pStyle w:val="Compact"/>
            </w:pPr>
            <w:r>
              <w:rPr>
                <w:rFonts w:hint="eastAsia"/>
              </w:rPr>
              <w:t xml:space="preserve">存销比</w:t>
            </w:r>
          </w:p>
        </w:tc>
        <w:tc>
          <w:tcPr/>
          <w:p>
            <w:pPr>
              <w:pStyle w:val="Compact"/>
            </w:pPr>
            <w:r>
              <w:rPr>
                <w:rFonts w:hint="eastAsia"/>
              </w:rPr>
              <w:t xml:space="preserve">复核建议</w:t>
            </w:r>
          </w:p>
        </w:tc>
      </w:tr>
      <w:tr>
        <w:tc>
          <w:tcPr/>
          <w:p>
            <w:pPr>
              <w:pStyle w:val="Compact"/>
            </w:pPr>
            <w:r>
              <w:t xml:space="preserve">202602</w:t>
            </w:r>
          </w:p>
        </w:tc>
        <w:tc>
          <w:tcPr/>
          <w:p>
            <w:pPr>
              <w:pStyle w:val="Compact"/>
            </w:pPr>
            <w:r>
              <w:rPr>
                <w:rFonts w:hint="eastAsia"/>
              </w:rPr>
              <w:t xml:space="preserve">红金龙(硬新版)</w:t>
            </w:r>
          </w:p>
        </w:tc>
        <w:tc>
          <w:tcPr/>
          <w:p>
            <w:pPr>
              <w:pStyle w:val="Compact"/>
            </w:pPr>
            <w:r>
              <w:rPr>
                <w:rFonts w:hint="eastAsia"/>
              </w:rPr>
              <w:t xml:space="preserve">四类烟</w:t>
            </w:r>
          </w:p>
        </w:tc>
        <w:tc>
          <w:tcPr/>
          <w:p>
            <w:pPr>
              <w:pStyle w:val="Compact"/>
            </w:pPr>
            <w:r>
              <w:t xml:space="preserve">-2.507</w:t>
            </w:r>
          </w:p>
        </w:tc>
        <w:tc>
          <w:tcPr/>
          <w:p>
            <w:pPr>
              <w:pStyle w:val="Compact"/>
            </w:pPr>
            <w:r>
              <w:t xml:space="preserve">-24.881</w:t>
            </w:r>
          </w:p>
        </w:tc>
        <w:tc>
          <w:tcPr/>
          <w:p>
            <w:pPr>
              <w:pStyle w:val="Compact"/>
            </w:pPr>
            <w:r>
              <w:t xml:space="preserve">14.987</w:t>
            </w:r>
          </w:p>
        </w:tc>
        <w:tc>
          <w:tcPr/>
          <w:p>
            <w:pPr>
              <w:pStyle w:val="Compact"/>
            </w:pPr>
            <w:r>
              <w:t xml:space="preserve">1.124</w:t>
            </w:r>
          </w:p>
        </w:tc>
        <w:tc>
          <w:tcPr/>
          <w:p>
            <w:pPr>
              <w:pStyle w:val="Compact"/>
            </w:pPr>
            <w:r>
              <w:t xml:space="preserve">71.13</w:t>
            </w:r>
          </w:p>
        </w:tc>
        <w:tc>
          <w:tcPr/>
          <w:p>
            <w:pPr>
              <w:pStyle w:val="Compact"/>
            </w:pPr>
            <w:r>
              <w:rPr>
                <w:rFonts w:hint="eastAsia"/>
              </w:rPr>
              <w:t xml:space="preserve">暂缓供给收缩</w:t>
            </w:r>
          </w:p>
        </w:tc>
      </w:tr>
      <w:tr>
        <w:tc>
          <w:tcPr/>
          <w:p>
            <w:pPr>
              <w:pStyle w:val="Compact"/>
            </w:pPr>
            <w:r>
              <w:t xml:space="preserve">202602</w:t>
            </w:r>
          </w:p>
        </w:tc>
        <w:tc>
          <w:tcPr/>
          <w:p>
            <w:pPr>
              <w:pStyle w:val="Compact"/>
            </w:pPr>
            <w:r>
              <w:rPr>
                <w:rFonts w:hint="eastAsia"/>
              </w:rPr>
              <w:t xml:space="preserve">红金龙(硬神州腾龙)</w:t>
            </w:r>
          </w:p>
        </w:tc>
        <w:tc>
          <w:tcPr/>
          <w:p>
            <w:pPr>
              <w:pStyle w:val="Compact"/>
            </w:pPr>
            <w:r>
              <w:rPr>
                <w:rFonts w:hint="eastAsia"/>
              </w:rPr>
              <w:t xml:space="preserve">三类烟</w:t>
            </w:r>
          </w:p>
        </w:tc>
        <w:tc>
          <w:tcPr/>
          <w:p>
            <w:pPr>
              <w:pStyle w:val="Compact"/>
            </w:pPr>
            <w:r>
              <w:t xml:space="preserve">-2.397</w:t>
            </w:r>
          </w:p>
        </w:tc>
        <w:tc>
          <w:tcPr/>
          <w:p>
            <w:pPr>
              <w:pStyle w:val="Compact"/>
            </w:pPr>
            <w:r>
              <w:t xml:space="preserve">-16.328</w:t>
            </w:r>
          </w:p>
        </w:tc>
        <w:tc>
          <w:tcPr/>
          <w:p>
            <w:pPr>
              <w:pStyle w:val="Compact"/>
            </w:pPr>
            <w:r>
              <w:t xml:space="preserve">25.251</w:t>
            </w:r>
          </w:p>
        </w:tc>
        <w:tc>
          <w:tcPr/>
          <w:p>
            <w:pPr>
              <w:pStyle w:val="Compact"/>
            </w:pPr>
            <w:r>
              <w:t xml:space="preserve">1.136</w:t>
            </w:r>
          </w:p>
        </w:tc>
        <w:tc>
          <w:tcPr/>
          <w:p>
            <w:pPr>
              <w:pStyle w:val="Compact"/>
            </w:pPr>
            <w:r>
              <w:t xml:space="preserve">59.14</w:t>
            </w:r>
          </w:p>
        </w:tc>
        <w:tc>
          <w:tcPr/>
          <w:p>
            <w:pPr>
              <w:pStyle w:val="Compact"/>
            </w:pPr>
            <w:r>
              <w:rPr>
                <w:rFonts w:hint="eastAsia"/>
              </w:rPr>
              <w:t xml:space="preserve">暂缓供给收缩</w:t>
            </w:r>
          </w:p>
        </w:tc>
      </w:tr>
      <w:tr>
        <w:tc>
          <w:tcPr/>
          <w:p>
            <w:pPr>
              <w:pStyle w:val="Compact"/>
            </w:pPr>
            <w:r>
              <w:t xml:space="preserve">202511</w:t>
            </w:r>
          </w:p>
        </w:tc>
        <w:tc>
          <w:tcPr/>
          <w:p>
            <w:pPr>
              <w:pStyle w:val="Compact"/>
            </w:pPr>
            <w:r>
              <w:rPr>
                <w:rFonts w:hint="eastAsia"/>
              </w:rPr>
              <w:t xml:space="preserve">钻石(硬特醇)</w:t>
            </w:r>
          </w:p>
        </w:tc>
        <w:tc>
          <w:tcPr/>
          <w:p>
            <w:pPr>
              <w:pStyle w:val="Compact"/>
            </w:pPr>
            <w:r>
              <w:rPr>
                <w:rFonts w:hint="eastAsia"/>
              </w:rPr>
              <w:t xml:space="preserve">四类烟</w:t>
            </w:r>
          </w:p>
        </w:tc>
        <w:tc>
          <w:tcPr/>
          <w:p>
            <w:pPr>
              <w:pStyle w:val="Compact"/>
            </w:pPr>
            <w:r>
              <w:t xml:space="preserve">-2.083</w:t>
            </w:r>
          </w:p>
        </w:tc>
        <w:tc>
          <w:tcPr/>
          <w:p>
            <w:pPr>
              <w:pStyle w:val="Compact"/>
            </w:pPr>
            <w:r>
              <w:t xml:space="preserve">-9.617</w:t>
            </w:r>
          </w:p>
        </w:tc>
        <w:tc>
          <w:tcPr/>
          <w:p>
            <w:pPr>
              <w:pStyle w:val="Compact"/>
            </w:pPr>
            <w:r>
              <w:t xml:space="preserve">14.881</w:t>
            </w:r>
          </w:p>
        </w:tc>
        <w:tc>
          <w:tcPr/>
          <w:p>
            <w:pPr>
              <w:pStyle w:val="Compact"/>
            </w:pPr>
            <w:r>
              <w:t xml:space="preserve">1.124</w:t>
            </w:r>
          </w:p>
        </w:tc>
        <w:tc>
          <w:tcPr/>
          <w:p>
            <w:pPr>
              <w:pStyle w:val="Compact"/>
            </w:pPr>
            <w:r>
              <w:t xml:space="preserve">138.78</w:t>
            </w:r>
          </w:p>
        </w:tc>
        <w:tc>
          <w:tcPr/>
          <w:p>
            <w:pPr>
              <w:pStyle w:val="Compact"/>
            </w:pPr>
            <w:r>
              <w:rPr>
                <w:rFonts w:hint="eastAsia"/>
              </w:rPr>
              <w:t xml:space="preserve">暂缓供给收缩</w:t>
            </w:r>
          </w:p>
        </w:tc>
      </w:tr>
      <w:tr>
        <w:tc>
          <w:tcPr/>
          <w:p>
            <w:pPr>
              <w:pStyle w:val="Compact"/>
            </w:pPr>
            <w:r>
              <w:t xml:space="preserve">202606</w:t>
            </w:r>
          </w:p>
        </w:tc>
        <w:tc>
          <w:tcPr/>
          <w:p>
            <w:pPr>
              <w:pStyle w:val="Compact"/>
            </w:pPr>
            <w:r>
              <w:rPr>
                <w:rFonts w:hint="eastAsia"/>
              </w:rPr>
              <w:t xml:space="preserve">万宝路(软红2.0)</w:t>
            </w:r>
          </w:p>
        </w:tc>
        <w:tc>
          <w:tcPr/>
          <w:p>
            <w:pPr>
              <w:pStyle w:val="Compact"/>
            </w:pPr>
            <w:r>
              <w:rPr>
                <w:rFonts w:hint="eastAsia"/>
              </w:rPr>
              <w:t xml:space="preserve">二类烟</w:t>
            </w:r>
          </w:p>
        </w:tc>
        <w:tc>
          <w:tcPr/>
          <w:p>
            <w:pPr>
              <w:pStyle w:val="Compact"/>
            </w:pPr>
            <w:r>
              <w:t xml:space="preserve">-1.692</w:t>
            </w:r>
          </w:p>
        </w:tc>
        <w:tc>
          <w:tcPr/>
          <w:p>
            <w:pPr>
              <w:pStyle w:val="Compact"/>
            </w:pPr>
            <w:r>
              <w:t xml:space="preserve">-27.060</w:t>
            </w:r>
          </w:p>
        </w:tc>
        <w:tc>
          <w:tcPr/>
          <w:p>
            <w:pPr>
              <w:pStyle w:val="Compact"/>
            </w:pPr>
            <w:r>
              <w:t xml:space="preserve">14.711</w:t>
            </w:r>
          </w:p>
        </w:tc>
        <w:tc>
          <w:tcPr/>
          <w:p>
            <w:pPr>
              <w:pStyle w:val="Compact"/>
            </w:pPr>
            <w:r>
              <w:t xml:space="preserve">1.118</w:t>
            </w:r>
          </w:p>
        </w:tc>
        <w:tc>
          <w:tcPr/>
          <w:p>
            <w:pPr>
              <w:pStyle w:val="Compact"/>
            </w:pPr>
            <w:r>
              <w:t xml:space="preserve">456.08</w:t>
            </w:r>
          </w:p>
        </w:tc>
        <w:tc>
          <w:tcPr/>
          <w:p>
            <w:pPr>
              <w:pStyle w:val="Compact"/>
            </w:pPr>
            <w:r>
              <w:rPr>
                <w:rFonts w:hint="eastAsia"/>
              </w:rPr>
              <w:t xml:space="preserve">暂缓供给收缩</w:t>
            </w:r>
          </w:p>
        </w:tc>
      </w:tr>
      <w:tr>
        <w:tc>
          <w:tcPr/>
          <w:p>
            <w:pPr>
              <w:pStyle w:val="Compact"/>
            </w:pPr>
            <w:r>
              <w:t xml:space="preserve">202512</w:t>
            </w:r>
          </w:p>
        </w:tc>
        <w:tc>
          <w:tcPr/>
          <w:p>
            <w:pPr>
              <w:pStyle w:val="Compact"/>
            </w:pPr>
            <w:r>
              <w:rPr>
                <w:rFonts w:hint="eastAsia"/>
              </w:rPr>
              <w:t xml:space="preserve">泰山(硬红八喜)</w:t>
            </w:r>
          </w:p>
        </w:tc>
        <w:tc>
          <w:tcPr/>
          <w:p>
            <w:pPr>
              <w:pStyle w:val="Compact"/>
            </w:pPr>
            <w:r>
              <w:rPr>
                <w:rFonts w:hint="eastAsia"/>
              </w:rPr>
              <w:t xml:space="preserve">三类烟</w:t>
            </w:r>
          </w:p>
        </w:tc>
        <w:tc>
          <w:tcPr/>
          <w:p>
            <w:pPr>
              <w:pStyle w:val="Compact"/>
            </w:pPr>
            <w:r>
              <w:t xml:space="preserve">-1.347</w:t>
            </w:r>
          </w:p>
        </w:tc>
        <w:tc>
          <w:tcPr/>
          <w:p>
            <w:pPr>
              <w:pStyle w:val="Compact"/>
            </w:pPr>
            <w:r>
              <w:t xml:space="preserve">0.917</w:t>
            </w:r>
          </w:p>
        </w:tc>
        <w:tc>
          <w:tcPr/>
          <w:p>
            <w:pPr>
              <w:pStyle w:val="Compact"/>
            </w:pPr>
            <w:r>
              <w:t xml:space="preserve">25.294</w:t>
            </w:r>
          </w:p>
        </w:tc>
        <w:tc>
          <w:tcPr/>
          <w:p>
            <w:pPr>
              <w:pStyle w:val="Compact"/>
            </w:pPr>
            <w:r>
              <w:t xml:space="preserve">1.136</w:t>
            </w:r>
          </w:p>
        </w:tc>
        <w:tc>
          <w:tcPr/>
          <w:p>
            <w:pPr>
              <w:pStyle w:val="Compact"/>
            </w:pPr>
            <w:r>
              <w:t xml:space="preserve">38.54</w:t>
            </w:r>
          </w:p>
        </w:tc>
        <w:tc>
          <w:tcPr/>
          <w:p>
            <w:pPr>
              <w:pStyle w:val="Compact"/>
            </w:pPr>
            <w:r>
              <w:rPr>
                <w:rFonts w:hint="eastAsia"/>
              </w:rPr>
              <w:t xml:space="preserve">暂缓供给收缩</w:t>
            </w:r>
          </w:p>
        </w:tc>
      </w:tr>
    </w:tbl>
    <w:p>
      <w:pPr>
        <w:pStyle w:val="BodyText"/>
      </w:pPr>
      <w:r>
        <w:rPr>
          <w:rFonts w:hint="eastAsia"/>
        </w:rPr>
        <w:t xml:space="preserve">表17</w:t>
      </w:r>
      <w:r>
        <w:t xml:space="preserve">　</w:t>
      </w:r>
      <w:r>
        <w:rPr>
          <w:rFonts w:hint="eastAsia"/>
        </w:rPr>
        <w:t xml:space="preserve">低敏感代表品规案例</w:t>
      </w:r>
      <w:r>
        <w:br/>
      </w:r>
      <w:r>
        <w:t xml:space="preserve">Tab. 17 Representative low-sensitivity specification cases</w:t>
      </w:r>
    </w:p>
    <w:p>
      <w:pPr>
        <w:pStyle w:val="BodyText"/>
      </w:pPr>
      <w:r>
        <w:rPr>
          <w:rFonts w:hint="eastAsia"/>
        </w:rPr>
        <w:t xml:space="preserve">表16和表17分别从高、低排序对中选取代表性品规，列示其处理前状态、CATE及实际下一期变化。两个表格对照可看出两类对象的典型差异：高敏感代表（苏烟软金砂、黄鹤楼软珍品等）供给收缩前状态评分多在58～62、CATE均在3.87以上，属“位势中高、库存承压、顺价有修复空间”的一类烟；低敏感代表（红金龙硬新版、钻石硬特醇等）供给收缩前状态评分集中在15～25、CATE为负，属“位势偏低、继续收缩更易缺货”的对象。案例用于检查模型排序与经营情境是否相符，不以单次事前事后变化证明因果；对个别下期变化较大的观测（如黄鹤楼软珍品30.25、万宝路软红2.0为-27.06），不再用“明显”等主观词定性，仅按符号与方向描述，并在表注中说明下一期Y是观测事实而非供给收缩的无偏因果效果。</w:t>
      </w:r>
    </w:p>
    <w:p>
      <w:pPr>
        <w:pStyle w:val="BodyText"/>
      </w:pPr>
      <w:r>
        <w:rPr>
          <w:rFonts w:hint="eastAsia"/>
        </w:rPr>
        <w:t xml:space="preserve">图8以多品规对照视图展示高敏感与低敏感代表的月度综合评分轨迹，并以竖线标示供给收缩事件。对比可观察到两类模式的差异：高敏感代表的评分在供给收缩后总体维持在中高位并逐步释放顺价，低敏感代表的评分处于低位且供给收缩后仍持续在低位波动。需再次强调，单品规轨迹同时受品牌活动、季节与区域冲击影响，图8呈现的是排序与经营情境在时间维度上的对应关系，不能据此作因果归因；其用途是为月度复核保留连续记录并提供回滚观察点。</w:t>
      </w:r>
    </w:p>
    <w:bookmarkEnd w:id="54"/>
    <w:bookmarkEnd w:id="55"/>
    <w:bookmarkStart w:id="56" w:name="差异化调控策略与投放复核"/>
    <w:p>
      <w:pPr>
        <w:pStyle w:val="Heading1"/>
      </w:pPr>
      <w:r>
        <w:t xml:space="preserve">4　</w:t>
      </w:r>
      <w:r>
        <w:rPr>
          <w:rFonts w:hint="eastAsia"/>
        </w:rPr>
        <w:t xml:space="preserve">差异化调控策略与投放复核</w:t>
      </w:r>
    </w:p>
    <w:p>
      <w:pPr>
        <w:pStyle w:val="FirstParagraph"/>
      </w:pPr>
      <w:r>
        <w:rPr>
          <w:rFonts w:hint="eastAsia"/>
        </w:rPr>
        <w:t xml:space="preserve">月度应用改为风险受控的三档复核：模型高排序对象进入优先人工复核，中间对象保留观察，低排序或共同支持不足对象暂缓供给收缩。由于现有处理变量为二元事件且缺少真实执行幅度，本研究不再给出3%～8%的剂量建议；具体幅度只能由业务审批或后续连续处理效应研究确定。</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pPr>
            <w:r>
              <w:rPr>
                <w:rFonts w:hint="eastAsia"/>
              </w:rPr>
              <w:t xml:space="preserve">品规</w:t>
            </w:r>
          </w:p>
        </w:tc>
        <w:tc>
          <w:tcPr/>
          <w:p>
            <w:pPr>
              <w:pStyle w:val="Compact"/>
            </w:pPr>
            <w:r>
              <w:t xml:space="preserve">CATE</w:t>
            </w:r>
          </w:p>
        </w:tc>
        <w:tc>
          <w:tcPr/>
          <w:p>
            <w:pPr>
              <w:pStyle w:val="Compact"/>
            </w:pPr>
            <w:r>
              <w:rPr>
                <w:rFonts w:hint="eastAsia"/>
              </w:rPr>
              <w:t xml:space="preserve">模型层级</w:t>
            </w:r>
          </w:p>
        </w:tc>
        <w:tc>
          <w:tcPr/>
          <w:p>
            <w:pPr>
              <w:pStyle w:val="Compact"/>
            </w:pPr>
            <w:r>
              <w:rPr>
                <w:rFonts w:hint="eastAsia"/>
              </w:rPr>
              <w:t xml:space="preserve">建议动作</w:t>
            </w:r>
          </w:p>
        </w:tc>
        <w:tc>
          <w:tcPr/>
          <w:p>
            <w:pPr>
              <w:pStyle w:val="Compact"/>
            </w:pPr>
            <w:r>
              <w:rPr>
                <w:rFonts w:hint="eastAsia"/>
              </w:rPr>
              <w:t xml:space="preserve">幅度</w:t>
            </w:r>
          </w:p>
        </w:tc>
        <w:tc>
          <w:tcPr/>
          <w:p>
            <w:pPr>
              <w:pStyle w:val="Compact"/>
            </w:pPr>
            <w:r>
              <w:rPr>
                <w:rFonts w:hint="eastAsia"/>
              </w:rPr>
              <w:t xml:space="preserve">触发条件</w:t>
            </w:r>
          </w:p>
        </w:tc>
        <w:tc>
          <w:tcPr/>
          <w:p>
            <w:pPr>
              <w:pStyle w:val="Compact"/>
            </w:pPr>
            <w:r>
              <w:rPr>
                <w:rFonts w:hint="eastAsia"/>
              </w:rPr>
              <w:t xml:space="preserve">回滚条件</w:t>
            </w:r>
          </w:p>
        </w:tc>
      </w:tr>
      <w:tr>
        <w:tc>
          <w:tcPr/>
          <w:p>
            <w:pPr>
              <w:pStyle w:val="Compact"/>
            </w:pPr>
            <w:r>
              <w:rPr>
                <w:rFonts w:hint="eastAsia"/>
              </w:rPr>
              <w:t xml:space="preserve">苏烟(软金砂)</w:t>
            </w:r>
          </w:p>
        </w:tc>
        <w:tc>
          <w:tcPr/>
          <w:p>
            <w:pPr>
              <w:pStyle w:val="Compact"/>
            </w:pPr>
            <w:r>
              <w:t xml:space="preserve">4.066</w:t>
            </w:r>
          </w:p>
        </w:tc>
        <w:tc>
          <w:tcPr/>
          <w:p>
            <w:pPr>
              <w:pStyle w:val="Compact"/>
            </w:pPr>
            <w:r>
              <w:rPr>
                <w:rFonts w:hint="eastAsia"/>
              </w:rPr>
              <w:t xml:space="preserve">高敏感</w:t>
            </w:r>
          </w:p>
        </w:tc>
        <w:tc>
          <w:tcPr/>
          <w:p>
            <w:pPr>
              <w:pStyle w:val="Compact"/>
            </w:pPr>
            <w:r>
              <w:rPr>
                <w:rFonts w:hint="eastAsia"/>
              </w:rPr>
              <w:t xml:space="preserve">优先人工复核</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黄鹤楼(软珍品)</w:t>
            </w:r>
          </w:p>
        </w:tc>
        <w:tc>
          <w:tcPr/>
          <w:p>
            <w:pPr>
              <w:pStyle w:val="Compact"/>
            </w:pPr>
            <w:r>
              <w:t xml:space="preserve">4.014</w:t>
            </w:r>
          </w:p>
        </w:tc>
        <w:tc>
          <w:tcPr/>
          <w:p>
            <w:pPr>
              <w:pStyle w:val="Compact"/>
            </w:pPr>
            <w:r>
              <w:rPr>
                <w:rFonts w:hint="eastAsia"/>
              </w:rPr>
              <w:t xml:space="preserve">高敏感</w:t>
            </w:r>
          </w:p>
        </w:tc>
        <w:tc>
          <w:tcPr/>
          <w:p>
            <w:pPr>
              <w:pStyle w:val="Compact"/>
            </w:pPr>
            <w:r>
              <w:rPr>
                <w:rFonts w:hint="eastAsia"/>
              </w:rPr>
              <w:t xml:space="preserve">优先人工复核</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钻石(细支荷花)</w:t>
            </w:r>
          </w:p>
        </w:tc>
        <w:tc>
          <w:tcPr/>
          <w:p>
            <w:pPr>
              <w:pStyle w:val="Compact"/>
            </w:pPr>
            <w:r>
              <w:t xml:space="preserve">3.980</w:t>
            </w:r>
          </w:p>
        </w:tc>
        <w:tc>
          <w:tcPr/>
          <w:p>
            <w:pPr>
              <w:pStyle w:val="Compact"/>
            </w:pPr>
            <w:r>
              <w:rPr>
                <w:rFonts w:hint="eastAsia"/>
              </w:rPr>
              <w:t xml:space="preserve">高敏感</w:t>
            </w:r>
          </w:p>
        </w:tc>
        <w:tc>
          <w:tcPr/>
          <w:p>
            <w:pPr>
              <w:pStyle w:val="Compact"/>
            </w:pPr>
            <w:r>
              <w:rPr>
                <w:rFonts w:hint="eastAsia"/>
              </w:rPr>
              <w:t xml:space="preserve">优先人工复核</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红金龙(硬新版)</w:t>
            </w:r>
          </w:p>
        </w:tc>
        <w:tc>
          <w:tcPr/>
          <w:p>
            <w:pPr>
              <w:pStyle w:val="Compact"/>
            </w:pPr>
            <w:r>
              <w:t xml:space="preserve">-2.507</w:t>
            </w:r>
          </w:p>
        </w:tc>
        <w:tc>
          <w:tcPr/>
          <w:p>
            <w:pPr>
              <w:pStyle w:val="Compact"/>
            </w:pPr>
            <w:r>
              <w:rPr>
                <w:rFonts w:hint="eastAsia"/>
              </w:rPr>
              <w:t xml:space="preserve">低敏感</w:t>
            </w:r>
          </w:p>
        </w:tc>
        <w:tc>
          <w:tcPr/>
          <w:p>
            <w:pPr>
              <w:pStyle w:val="Compact"/>
            </w:pPr>
            <w:r>
              <w:rPr>
                <w:rFonts w:hint="eastAsia"/>
              </w:rPr>
              <w:t xml:space="preserve">暂缓供给收缩</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红金龙(硬神州腾龙)</w:t>
            </w:r>
          </w:p>
        </w:tc>
        <w:tc>
          <w:tcPr/>
          <w:p>
            <w:pPr>
              <w:pStyle w:val="Compact"/>
            </w:pPr>
            <w:r>
              <w:t xml:space="preserve">-2.397</w:t>
            </w:r>
          </w:p>
        </w:tc>
        <w:tc>
          <w:tcPr/>
          <w:p>
            <w:pPr>
              <w:pStyle w:val="Compact"/>
            </w:pPr>
            <w:r>
              <w:rPr>
                <w:rFonts w:hint="eastAsia"/>
              </w:rPr>
              <w:t xml:space="preserve">低敏感</w:t>
            </w:r>
          </w:p>
        </w:tc>
        <w:tc>
          <w:tcPr/>
          <w:p>
            <w:pPr>
              <w:pStyle w:val="Compact"/>
            </w:pPr>
            <w:r>
              <w:rPr>
                <w:rFonts w:hint="eastAsia"/>
              </w:rPr>
              <w:t xml:space="preserve">暂缓供给收缩</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r>
        <w:tc>
          <w:tcPr/>
          <w:p>
            <w:pPr>
              <w:pStyle w:val="Compact"/>
            </w:pPr>
            <w:r>
              <w:rPr>
                <w:rFonts w:hint="eastAsia"/>
              </w:rPr>
              <w:t xml:space="preserve">钻石(硬特醇)</w:t>
            </w:r>
          </w:p>
        </w:tc>
        <w:tc>
          <w:tcPr/>
          <w:p>
            <w:pPr>
              <w:pStyle w:val="Compact"/>
            </w:pPr>
            <w:r>
              <w:t xml:space="preserve">-2.083</w:t>
            </w:r>
          </w:p>
        </w:tc>
        <w:tc>
          <w:tcPr/>
          <w:p>
            <w:pPr>
              <w:pStyle w:val="Compact"/>
            </w:pPr>
            <w:r>
              <w:rPr>
                <w:rFonts w:hint="eastAsia"/>
              </w:rPr>
              <w:t xml:space="preserve">低敏感</w:t>
            </w:r>
          </w:p>
        </w:tc>
        <w:tc>
          <w:tcPr/>
          <w:p>
            <w:pPr>
              <w:pStyle w:val="Compact"/>
            </w:pPr>
            <w:r>
              <w:rPr>
                <w:rFonts w:hint="eastAsia"/>
              </w:rPr>
              <w:t xml:space="preserve">暂缓供给收缩</w:t>
            </w:r>
          </w:p>
        </w:tc>
        <w:tc>
          <w:tcPr/>
          <w:p>
            <w:pPr>
              <w:pStyle w:val="Compact"/>
            </w:pPr>
            <w:r>
              <w:rPr>
                <w:rFonts w:hint="eastAsia"/>
              </w:rPr>
              <w:t xml:space="preserve">本研究不估计</w:t>
            </w:r>
          </w:p>
        </w:tc>
        <w:tc>
          <w:tcPr/>
          <w:p>
            <w:pPr>
              <w:pStyle w:val="Compact"/>
            </w:pPr>
            <w:r>
              <w:rPr>
                <w:rFonts w:hint="eastAsia"/>
              </w:rPr>
              <w:t xml:space="preserve">结合价盘、库存与总量约束审批</w:t>
            </w:r>
          </w:p>
        </w:tc>
        <w:tc>
          <w:tcPr/>
          <w:p>
            <w:pPr>
              <w:pStyle w:val="Compact"/>
            </w:pPr>
            <w:r>
              <w:rPr>
                <w:rFonts w:hint="eastAsia"/>
              </w:rPr>
              <w:t xml:space="preserve">次月价格、库存或动销恶化即回滚</w:t>
            </w:r>
          </w:p>
        </w:tc>
      </w:tr>
    </w:tbl>
    <w:p>
      <w:pPr>
        <w:pStyle w:val="BodyText"/>
      </w:pPr>
      <w:r>
        <w:rPr>
          <w:rFonts w:hint="eastAsia"/>
        </w:rPr>
        <w:t xml:space="preserve">表18</w:t>
      </w:r>
      <w:r>
        <w:t xml:space="preserve">　</w:t>
      </w:r>
      <w:r>
        <w:rPr>
          <w:rFonts w:hint="eastAsia"/>
        </w:rPr>
        <w:t xml:space="preserve">代表性品规月度投放复核建议清单</w:t>
      </w:r>
      <w:r>
        <w:br/>
      </w:r>
      <w:r>
        <w:t xml:space="preserve">Tab. 18 Suggested monthly allocation list for representative specifications</w:t>
      </w:r>
    </w:p>
    <w:p>
      <w:pPr>
        <w:pStyle w:val="BodyText"/>
      </w:pPr>
      <w:r>
        <w:rPr>
          <w:rFonts w:hint="eastAsia"/>
        </w:rPr>
        <w:t xml:space="preserve">表18将输出限定为复核顺序、触发条件和回滚条件。模型不自动下达供给收缩指令；任何试行均须记录实际幅度，次月若价格、库存或动销任一核心结果恶化即进入回滚复核。</w:t>
      </w:r>
    </w:p>
    <w:p>
      <w:pPr>
        <w:pStyle w:val="BodyText"/>
      </w:pPr>
      <w:r>
        <w:rPr>
          <w:rFonts w:hint="eastAsia"/>
        </w:rPr>
        <w:t xml:space="preserve">复核是在烟草商业经营管理中围绕货源投放、订单满足、价格状态、库存压力、终端动销和品牌培育目标进行的月度讨论与审核机制，模型在此承担复核前的识别与预筛，业务人员再结合价盘、库存和品牌策略审核，最终形成供给收缩幅度与优先级意见。其运行采取预筛、复核、动作、反馈闭环，各环节输入输出见表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环节</w:t>
            </w:r>
          </w:p>
        </w:tc>
        <w:tc>
          <w:tcPr/>
          <w:p>
            <w:pPr>
              <w:pStyle w:val="Compact"/>
            </w:pPr>
            <w:r>
              <w:rPr>
                <w:rFonts w:hint="eastAsia"/>
              </w:rPr>
              <w:t xml:space="preserve">输入</w:t>
            </w:r>
          </w:p>
        </w:tc>
        <w:tc>
          <w:tcPr/>
          <w:p>
            <w:pPr>
              <w:pStyle w:val="Compact"/>
            </w:pPr>
            <w:r>
              <w:rPr>
                <w:rFonts w:hint="eastAsia"/>
              </w:rPr>
              <w:t xml:space="preserve">输出</w:t>
            </w:r>
          </w:p>
        </w:tc>
        <w:tc>
          <w:tcPr/>
          <w:p>
            <w:pPr>
              <w:pStyle w:val="Compact"/>
            </w:pPr>
            <w:r>
              <w:rPr>
                <w:rFonts w:hint="eastAsia"/>
              </w:rPr>
              <w:t xml:space="preserve">责任口径</w:t>
            </w:r>
          </w:p>
        </w:tc>
        <w:tc>
          <w:tcPr/>
          <w:p>
            <w:pPr>
              <w:pStyle w:val="Compact"/>
            </w:pPr>
            <w:r>
              <w:rPr>
                <w:rFonts w:hint="eastAsia"/>
              </w:rPr>
              <w:t xml:space="preserve">反馈指标</w:t>
            </w:r>
          </w:p>
        </w:tc>
      </w:tr>
      <w:tr>
        <w:tc>
          <w:tcPr/>
          <w:p>
            <w:pPr>
              <w:pStyle w:val="Compact"/>
            </w:pPr>
            <w:r>
              <w:rPr>
                <w:rFonts w:hint="eastAsia"/>
              </w:rPr>
              <w:t xml:space="preserve">模型预筛</w:t>
            </w:r>
          </w:p>
        </w:tc>
        <w:tc>
          <w:tcPr/>
          <w:p>
            <w:pPr>
              <w:pStyle w:val="Compact"/>
            </w:pPr>
            <w:r>
              <w:rPr>
                <w:rFonts w:hint="eastAsia"/>
              </w:rPr>
              <w:t xml:space="preserve">品规×月份面板、CATE排序</w:t>
            </w:r>
          </w:p>
        </w:tc>
        <w:tc>
          <w:tcPr/>
          <w:p>
            <w:pPr>
              <w:pStyle w:val="Compact"/>
            </w:pPr>
            <w:r>
              <w:rPr>
                <w:rFonts w:hint="eastAsia"/>
              </w:rPr>
              <w:t xml:space="preserve">高、中、低敏感分层</w:t>
            </w:r>
          </w:p>
        </w:tc>
        <w:tc>
          <w:tcPr/>
          <w:p>
            <w:pPr>
              <w:pStyle w:val="Compact"/>
            </w:pPr>
            <w:r>
              <w:rPr>
                <w:rFonts w:hint="eastAsia"/>
              </w:rPr>
              <w:t xml:space="preserve">数据分析岗</w:t>
            </w:r>
          </w:p>
        </w:tc>
        <w:tc>
          <w:tcPr/>
          <w:p>
            <w:pPr>
              <w:pStyle w:val="Compact"/>
            </w:pPr>
            <w:r>
              <w:rPr>
                <w:rFonts w:hint="eastAsia"/>
              </w:rPr>
              <w:t xml:space="preserve">CATE、置信区间、敏感组</w:t>
            </w:r>
          </w:p>
        </w:tc>
      </w:tr>
      <w:tr>
        <w:tc>
          <w:tcPr/>
          <w:p>
            <w:pPr>
              <w:pStyle w:val="Compact"/>
            </w:pPr>
            <w:r>
              <w:rPr>
                <w:rFonts w:hint="eastAsia"/>
              </w:rPr>
              <w:t xml:space="preserve">业务复核</w:t>
            </w:r>
          </w:p>
        </w:tc>
        <w:tc>
          <w:tcPr/>
          <w:p>
            <w:pPr>
              <w:pStyle w:val="Compact"/>
            </w:pPr>
            <w:r>
              <w:rPr>
                <w:rFonts w:hint="eastAsia"/>
              </w:rPr>
              <w:t xml:space="preserve">顺价指数、存销比、订货成功率</w:t>
            </w:r>
          </w:p>
        </w:tc>
        <w:tc>
          <w:tcPr/>
          <w:p>
            <w:pPr>
              <w:pStyle w:val="Compact"/>
            </w:pPr>
            <w:r>
              <w:rPr>
                <w:rFonts w:hint="eastAsia"/>
              </w:rPr>
              <w:t xml:space="preserve">候选清单修正</w:t>
            </w:r>
          </w:p>
        </w:tc>
        <w:tc>
          <w:tcPr/>
          <w:p>
            <w:pPr>
              <w:pStyle w:val="Compact"/>
            </w:pPr>
            <w:r>
              <w:rPr>
                <w:rFonts w:hint="eastAsia"/>
              </w:rPr>
              <w:t xml:space="preserve">投放决策复核岗</w:t>
            </w:r>
          </w:p>
        </w:tc>
        <w:tc>
          <w:tcPr/>
          <w:p>
            <w:pPr>
              <w:pStyle w:val="Compact"/>
            </w:pPr>
            <w:r>
              <w:rPr>
                <w:rFonts w:hint="eastAsia"/>
              </w:rPr>
              <w:t xml:space="preserve">状态位势、价格修复空间、库存承压程度</w:t>
            </w:r>
          </w:p>
        </w:tc>
      </w:tr>
      <w:tr>
        <w:tc>
          <w:tcPr/>
          <w:p>
            <w:pPr>
              <w:pStyle w:val="Compact"/>
            </w:pPr>
            <w:r>
              <w:rPr>
                <w:rFonts w:hint="eastAsia"/>
              </w:rPr>
              <w:t xml:space="preserve">动作确定</w:t>
            </w:r>
          </w:p>
        </w:tc>
        <w:tc>
          <w:tcPr/>
          <w:p>
            <w:pPr>
              <w:pStyle w:val="Compact"/>
            </w:pPr>
            <w:r>
              <w:rPr>
                <w:rFonts w:hint="eastAsia"/>
              </w:rPr>
              <w:t xml:space="preserve">候选清单、总量约束、品牌策略</w:t>
            </w:r>
          </w:p>
        </w:tc>
        <w:tc>
          <w:tcPr/>
          <w:p>
            <w:pPr>
              <w:pStyle w:val="Compact"/>
            </w:pPr>
            <w:r>
              <w:rPr>
                <w:rFonts w:hint="eastAsia"/>
              </w:rPr>
              <w:t xml:space="preserve">供给收缩幅度或替代动作</w:t>
            </w:r>
          </w:p>
        </w:tc>
        <w:tc>
          <w:tcPr/>
          <w:p>
            <w:pPr>
              <w:pStyle w:val="Compact"/>
            </w:pPr>
            <w:r>
              <w:rPr>
                <w:rFonts w:hint="eastAsia"/>
              </w:rPr>
              <w:t xml:space="preserve">投放管理岗</w:t>
            </w:r>
          </w:p>
        </w:tc>
        <w:tc>
          <w:tcPr/>
          <w:p>
            <w:pPr>
              <w:pStyle w:val="Compact"/>
            </w:pPr>
            <w:r>
              <w:rPr>
                <w:rFonts w:hint="eastAsia"/>
              </w:rPr>
              <w:t xml:space="preserve">建议幅度、风险提示</w:t>
            </w:r>
          </w:p>
        </w:tc>
      </w:tr>
      <w:tr>
        <w:tc>
          <w:tcPr/>
          <w:p>
            <w:pPr>
              <w:pStyle w:val="Compact"/>
            </w:pPr>
            <w:r>
              <w:rPr>
                <w:rFonts w:hint="eastAsia"/>
              </w:rPr>
              <w:t xml:space="preserve">效果反馈</w:t>
            </w:r>
          </w:p>
        </w:tc>
        <w:tc>
          <w:tcPr/>
          <w:p>
            <w:pPr>
              <w:pStyle w:val="Compact"/>
            </w:pPr>
            <w:r>
              <w:rPr>
                <w:rFonts w:hint="eastAsia"/>
              </w:rPr>
              <w:t xml:space="preserve">下月状态评分、动销与订单数据</w:t>
            </w:r>
          </w:p>
        </w:tc>
        <w:tc>
          <w:tcPr/>
          <w:p>
            <w:pPr>
              <w:pStyle w:val="Compact"/>
            </w:pPr>
            <w:r>
              <w:rPr>
                <w:rFonts w:hint="eastAsia"/>
              </w:rPr>
              <w:t xml:space="preserve">案例复盘与样本更新</w:t>
            </w:r>
          </w:p>
        </w:tc>
        <w:tc>
          <w:tcPr/>
          <w:p>
            <w:pPr>
              <w:pStyle w:val="Compact"/>
            </w:pPr>
            <w:r>
              <w:rPr>
                <w:rFonts w:hint="eastAsia"/>
              </w:rPr>
              <w:t xml:space="preserve">数据与业务联合复核</w:t>
            </w:r>
          </w:p>
        </w:tc>
        <w:tc>
          <w:tcPr/>
          <w:p>
            <w:pPr>
              <w:pStyle w:val="Compact"/>
            </w:pPr>
            <w:r>
              <w:rPr>
                <w:rFonts w:hint="eastAsia"/>
              </w:rPr>
              <w:t xml:space="preserve">状态变化、订单满足、库存变化</w:t>
            </w:r>
          </w:p>
        </w:tc>
      </w:tr>
    </w:tbl>
    <w:p>
      <w:pPr>
        <w:pStyle w:val="BodyText"/>
      </w:pPr>
      <w:r>
        <w:rPr>
          <w:rFonts w:hint="eastAsia"/>
        </w:rPr>
        <w:t xml:space="preserve">表19</w:t>
      </w:r>
      <w:r>
        <w:t xml:space="preserve">　</w:t>
      </w:r>
      <w:r>
        <w:rPr>
          <w:rFonts w:hint="eastAsia"/>
        </w:rPr>
        <w:t xml:space="preserve">月度投放复核四环节运行与反馈表</w:t>
      </w:r>
      <w:r>
        <w:br/>
      </w:r>
      <w:r>
        <w:t xml:space="preserve">Tab. 19 Four-step monthly allocation review and feedback</w:t>
      </w:r>
    </w:p>
    <w:p>
      <w:pPr>
        <w:pStyle w:val="BodyText"/>
      </w:pPr>
      <w:r>
        <w:rPr>
          <w:rFonts w:hint="eastAsia"/>
        </w:rPr>
        <w:t xml:space="preserve">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pStyle w:val="BodyText"/>
      </w:pPr>
      <w:r>
        <w:rPr>
          <w:rFonts w:hint="eastAsia"/>
        </w:rPr>
        <w:t xml:space="preserve">为与总量优化方法衔接，式（11）给出将品规CATE作为收益系数接入总量约束分配的小型接口示例：</w:t>
      </w:r>
    </w:p>
    <w:p>
      <w:pPr>
        <w:pStyle w:val="BodyText"/>
      </w:pPr>
      <w:r>
        <w:t xml:space="preserve">max Σ</w:t>
      </w:r>
      <w:r>
        <w:rPr>
          <w:vertAlign w:val="subscript"/>
        </w:rPr>
        <w:t xml:space="preserve">r=1</w:t>
      </w:r>
      <w:r>
        <w:rPr>
          <w:vertAlign w:val="superscript"/>
        </w:rPr>
        <w:t xml:space="preserve">R</w:t>
      </w:r>
      <w:r>
        <w:t xml:space="preserve">I</w:t>
      </w:r>
      <w:r>
        <w:rPr>
          <w:vertAlign w:val="subscript"/>
        </w:rPr>
        <w:t xml:space="preserve">r</w:t>
      </w:r>
      <w:r>
        <w:t xml:space="preserve">(c̄</w:t>
      </w:r>
      <w:r>
        <w:rPr>
          <w:vertAlign w:val="subscript"/>
        </w:rPr>
        <w:t xml:space="preserve">r</w:t>
      </w:r>
      <w:r>
        <w:t xml:space="preserve">+τ̂(x</w:t>
      </w:r>
      <w:r>
        <w:rPr>
          <w:vertAlign w:val="subscript"/>
        </w:rPr>
        <w:t xml:space="preserve">r</w:t>
      </w:r>
      <w:r>
        <w:t xml:space="preserve">))c</w:t>
      </w:r>
      <w:r>
        <w:rPr>
          <w:vertAlign w:val="subscript"/>
        </w:rPr>
        <w:t xml:space="preserve">r</w:t>
      </w:r>
      <w:r>
        <w:t xml:space="preserve">,　s.t. Σ</w:t>
      </w:r>
      <w:r>
        <w:rPr>
          <w:vertAlign w:val="subscript"/>
        </w:rPr>
        <w:t xml:space="preserve">r=1</w:t>
      </w:r>
      <w:r>
        <w:rPr>
          <w:vertAlign w:val="superscript"/>
        </w:rPr>
        <w:t xml:space="preserve">R</w:t>
      </w:r>
      <w:r>
        <w:t xml:space="preserve">c</w:t>
      </w:r>
      <w:r>
        <w:rPr>
          <w:vertAlign w:val="subscript"/>
        </w:rPr>
        <w:t xml:space="preserve">r</w:t>
      </w:r>
      <w:r>
        <w:t xml:space="preserve">≤C,　0≤c</w:t>
      </w:r>
      <w:r>
        <w:rPr>
          <w:vertAlign w:val="subscript"/>
        </w:rPr>
        <w:t xml:space="preserve">r</w:t>
      </w:r>
      <w:r>
        <w:t xml:space="preserve">≤c̄</w:t>
      </w:r>
      <w:r>
        <w:rPr>
          <w:vertAlign w:val="subscript"/>
        </w:rPr>
        <w:t xml:space="preserve">r</w:t>
      </w:r>
      <w:r>
        <w:t xml:space="preserve"> </w:t>
      </w:r>
      <w:r>
        <w:rPr>
          <w:rFonts w:hint="eastAsia"/>
        </w:rPr>
        <w:t xml:space="preserve">（11）</w:t>
      </w:r>
    </w:p>
    <w:p>
      <w:pPr>
        <w:pStyle w:val="BodyText"/>
      </w:pPr>
      <w:r>
        <w:rPr>
          <w:rFonts w:hint="eastAsia"/>
        </w:rPr>
        <w:t xml:space="preserve">式（11）仅作为未来接入真实调控幅度后的优化接口。本文数据只识别二元供给收缩事件，不能从CATE反推出百分比剂量，因此本稿不对各档给出固定幅度；实际动作须由业务约束、审批记录和可回滚试点共同确定。</w:t>
      </w:r>
    </w:p>
    <w:bookmarkEnd w:id="56"/>
    <w:bookmarkStart w:id="57" w:name="讨论"/>
    <w:p>
      <w:pPr>
        <w:pStyle w:val="Heading1"/>
      </w:pPr>
      <w:r>
        <w:t xml:space="preserve">5　</w:t>
      </w:r>
      <w:r>
        <w:rPr>
          <w:rFonts w:hint="eastAsia"/>
        </w:rPr>
        <w:t xml:space="preserve">讨论</w:t>
      </w:r>
    </w:p>
    <w:p>
      <w:pPr>
        <w:pStyle w:val="FirstParagraph"/>
      </w:pPr>
      <w:r>
        <w:rPr>
          <w:rFonts w:hint="eastAsia"/>
        </w:rPr>
        <w:t xml:space="preserve">本文的主要结果表明，在诚实样本外口径下，供给收缩的总体平均效应跨0、方向不稳，但品规级处理效应存在可观察的分层，高敏感与低敏感品规在供给收缩后的实际状态变化差异明显。与只输出状态类别的评价方法相比，因果森林直接估计同一调控动作在不同经营画像下的条件平均处理效应；与DML仅报告总体平均效应相比，CATE排序能够识别应优先复核和应暂缓供给收缩的具体品规。与金文蔚等[6]以总量约束求解投放方案、黄敏等[1]以阈值划分市场状态的方法相比，本文的作用不是替代规模优化或状态评价，而是为两者补充调控对象的收益差异证据，并显式地把“避免误伤”纳入调控目标。</w:t>
      </w:r>
    </w:p>
    <w:p>
      <w:pPr>
        <w:pStyle w:val="BodyText"/>
      </w:pPr>
      <w:r>
        <w:rPr>
          <w:rFonts w:hint="eastAsia"/>
        </w:rPr>
        <w:t xml:space="preserve">与既有方法的差异需要强调两点。其一，状态评价类方法（黄敏[1]、姜思明[2]）输出的是品规“当前状态类别”，属于截面刻画；本文输出的是“同一供给收缩动作的分品规效应”，属于动作层面的反事实比较，二者是互补关系而非替代。其二，画像与投放类方法（谭琛[3]、金文蔚[6]）多用于确定“给谁投放、投多少量”，本文则回答“对谁缩、缩多少、谁别缩”，聚焦供给收缩这一相对少被刻画的调控动作。本文与既有方法可串联：先由状态评价识别问题品规，再由本文CATE分层判断该品规是否应收缩，最后由投放优化在总量约束下给出幅度。</w:t>
      </w:r>
    </w:p>
    <w:p>
      <w:pPr>
        <w:pStyle w:val="BodyText"/>
      </w:pPr>
      <w:r>
        <w:rPr>
          <w:rFonts w:hint="eastAsia"/>
        </w:rPr>
        <w:t xml:space="preserve">本研究通过重构结果变量消除了可见的指标循环，并补充双向固定效应、匹配、E-value、置换和处理前负对照。负对照显著说明客户经理判断、临时政策或既有趋势仍可能同时影响供给收缩与后续状态，故当前证据只能支持探索性对象排序，不能支持无偏部署效果。后续需接入真实决策日志和连续幅度，并开展分期试点或前瞻性随机/准实验验证。</w:t>
      </w:r>
    </w:p>
    <w:p>
      <w:pPr>
        <w:pStyle w:val="BodyText"/>
      </w:pPr>
      <w:r>
        <w:rPr>
          <w:rFonts w:hint="eastAsia"/>
        </w:rPr>
        <w:t xml:space="preserve">本文采用单一区域的品规×月份经营汇总数据，未包含实际部署后的独立试运行结果，外推至其他区域、其他时间段和不同货源制度仍需验证；供给收缩幅度的“每次只改一点点、次月可回滚复核”仍是建议性流程，尚未作前瞻性对照试验。后续可补充客户经理决策日志、区域竞争强度、实际供给收缩幅度与月度执行反馈，在同品规时间窗口内开展匹配后双重差分，并把CATE作为投放优化模型的收益系数，在品牌结构、库存风险和客户公平性约束下求解可执行的调控幅度，形成“识别—优化—执行—反馈”一体化的前瞻验证协议。</w:t>
      </w:r>
    </w:p>
    <w:bookmarkEnd w:id="57"/>
    <w:bookmarkStart w:id="58" w:name="结论"/>
    <w:p>
      <w:pPr>
        <w:pStyle w:val="Heading1"/>
      </w:pPr>
      <w:r>
        <w:t xml:space="preserve">6　</w:t>
      </w:r>
      <w:r>
        <w:rPr>
          <w:rFonts w:hint="eastAsia"/>
        </w:rPr>
        <w:t xml:space="preserve">结论</w:t>
      </w:r>
    </w:p>
    <w:p>
      <w:pPr>
        <w:pStyle w:val="FirstParagraph"/>
      </w:pPr>
      <w:r>
        <w:rPr>
          <w:rFonts w:hint="eastAsia"/>
        </w:rPr>
        <w:t xml:space="preserve">（1）处理无关结果评分切断了供给收缩定义与结果变量之间的机械相关；诚实因果森林ATE为0.659，95%</w:t>
      </w:r>
      <w:r>
        <w:t xml:space="preserve"> </w:t>
      </w:r>
      <w:r>
        <w:rPr>
          <w:rFonts w:hint="eastAsia"/>
        </w:rPr>
        <w:t xml:space="preserve">CI为-1.679～2.997，总体效应不显著。</w:t>
      </w:r>
    </w:p>
    <w:p>
      <w:pPr>
        <w:pStyle w:val="BodyText"/>
      </w:pPr>
      <w:r>
        <w:rPr>
          <w:rFonts w:hint="eastAsia"/>
        </w:rPr>
        <w:t xml:space="preserve">（2）双向固定效应估计为1.195（P=0.075），阈值敏感性方向大体一致但显著性不稳定，不能宣称供给收缩普遍改善。</w:t>
      </w:r>
    </w:p>
    <w:p>
      <w:pPr>
        <w:pStyle w:val="BodyText"/>
      </w:pPr>
      <w:r>
        <w:rPr>
          <w:rFonts w:hint="eastAsia"/>
        </w:rPr>
        <w:t xml:space="preserve">（3）匹配后平均绝对标准化差异降至0.057，但处理前负对照效应为3.278（P&lt;0.001），说明残余选择偏差仍存在；当前模型只适合探索性排序和人工复核。</w:t>
      </w:r>
    </w:p>
    <w:p>
      <w:pPr>
        <w:pStyle w:val="BodyText"/>
      </w:pPr>
      <w:r>
        <w:rPr>
          <w:rFonts w:hint="eastAsia"/>
        </w:rPr>
        <w:t xml:space="preserve">（4）由于缺少连续投放幅度和前瞻性试验，本研究不提供固定百分比供给收缩剂量。后续应接入真实决策日志，在共同支持域内开展分期、可回滚的随机或准实验验证。</w:t>
      </w:r>
    </w:p>
    <w:bookmarkEnd w:id="58"/>
    <w:bookmarkStart w:id="59" w:name="参考文献"/>
    <w:p>
      <w:pPr>
        <w:pStyle w:val="Heading1"/>
      </w:pPr>
      <w:r>
        <w:rPr>
          <w:rFonts w:hint="eastAsia"/>
        </w:rPr>
        <w:t xml:space="preserve">参考文献</w:t>
      </w:r>
    </w:p>
    <w:p>
      <w:pPr>
        <w:pStyle w:val="FirstParagraph"/>
      </w:pPr>
      <w:r>
        <w:t xml:space="preserve">[1] </w:t>
      </w:r>
      <w:r>
        <w:rPr>
          <w:rFonts w:hint="eastAsia"/>
        </w:rPr>
        <w:t xml:space="preserve">黄敏,</w:t>
      </w:r>
      <w:r>
        <w:t xml:space="preserve"> </w:t>
      </w:r>
      <w:r>
        <w:rPr>
          <w:rFonts w:hint="eastAsia"/>
        </w:rPr>
        <w:t xml:space="preserve">梁艳,</w:t>
      </w:r>
      <w:r>
        <w:t xml:space="preserve"> </w:t>
      </w:r>
      <w:r>
        <w:rPr>
          <w:rFonts w:hint="eastAsia"/>
        </w:rPr>
        <w:t xml:space="preserve">向云海,</w:t>
      </w:r>
      <w:r>
        <w:t xml:space="preserve"> </w:t>
      </w:r>
      <w:r>
        <w:rPr>
          <w:rFonts w:hint="eastAsia"/>
        </w:rPr>
        <w:t xml:space="preserve">等.</w:t>
      </w:r>
      <w:r>
        <w:t xml:space="preserve"> </w:t>
      </w:r>
      <w:r>
        <w:rPr>
          <w:rFonts w:hint="eastAsia"/>
        </w:rPr>
        <w:t xml:space="preserve">基于智能集成与阈值训练的卷烟市场状态评价体系研究——以南充市为例[J].</w:t>
      </w:r>
      <w:r>
        <w:t xml:space="preserve"> </w:t>
      </w:r>
      <w:r>
        <w:rPr>
          <w:rFonts w:hint="eastAsia"/>
        </w:rPr>
        <w:t xml:space="preserve">中国烟草学报,</w:t>
      </w:r>
      <w:r>
        <w:t xml:space="preserve"> 2025, 31(5): 155-166.</w:t>
      </w:r>
      <w:r>
        <w:br/>
      </w:r>
      <w:r>
        <w:t xml:space="preserve">HUANG Min, LIANG Yan, XIANG Yunhai, et al. An evaluation system for cigarette market status based on intelligent integration and threshold training: evidence from Nanchong[J]. Acta Tabacaria Sinica, 2025, 31(5): 155-166.</w:t>
      </w:r>
    </w:p>
    <w:p>
      <w:pPr>
        <w:pStyle w:val="BodyText"/>
      </w:pPr>
      <w:r>
        <w:t xml:space="preserve">[2] </w:t>
      </w:r>
      <w:r>
        <w:rPr>
          <w:rFonts w:hint="eastAsia"/>
        </w:rPr>
        <w:t xml:space="preserve">姜思明,</w:t>
      </w:r>
      <w:r>
        <w:t xml:space="preserve"> </w:t>
      </w:r>
      <w:r>
        <w:rPr>
          <w:rFonts w:hint="eastAsia"/>
        </w:rPr>
        <w:t xml:space="preserve">刘荣,</w:t>
      </w:r>
      <w:r>
        <w:t xml:space="preserve"> </w:t>
      </w:r>
      <w:r>
        <w:rPr>
          <w:rFonts w:hint="eastAsia"/>
        </w:rPr>
        <w:t xml:space="preserve">谭升达,</w:t>
      </w:r>
      <w:r>
        <w:t xml:space="preserve"> </w:t>
      </w:r>
      <w:r>
        <w:rPr>
          <w:rFonts w:hint="eastAsia"/>
        </w:rPr>
        <w:t xml:space="preserve">等.</w:t>
      </w:r>
      <w:r>
        <w:t xml:space="preserve"> </w:t>
      </w:r>
      <w:r>
        <w:rPr>
          <w:rFonts w:hint="eastAsia"/>
        </w:rPr>
        <w:t xml:space="preserve">基于零售终端数据治理的卷烟市场状态监测研究[J/OL].</w:t>
      </w:r>
      <w:r>
        <w:t xml:space="preserve"> </w:t>
      </w:r>
      <w:r>
        <w:rPr>
          <w:rFonts w:hint="eastAsia"/>
        </w:rPr>
        <w:t xml:space="preserve">烟草科技,</w:t>
      </w:r>
      <w:r>
        <w:t xml:space="preserve"> 2026-04-22. DOI:10.16135/j.issn1002-0861.2025.0510.</w:t>
      </w:r>
      <w:r>
        <w:br/>
      </w:r>
      <w:r>
        <w:t xml:space="preserve">JIANG Siming, LIU Rong, TAN Shengda, et al. Cigarette market state monitoring based on retail terminal data governance[J/OL]. Tobacco Science &amp; Technology, 2026-04-22. DOI:10.16135/j.issn1002-0861.2025.0510.</w:t>
      </w:r>
    </w:p>
    <w:p>
      <w:pPr>
        <w:pStyle w:val="BodyText"/>
      </w:pPr>
      <w:r>
        <w:t xml:space="preserve">[3] </w:t>
      </w:r>
      <w:r>
        <w:rPr>
          <w:rFonts w:hint="eastAsia"/>
        </w:rPr>
        <w:t xml:space="preserve">谭琛,</w:t>
      </w:r>
      <w:r>
        <w:t xml:space="preserve"> </w:t>
      </w:r>
      <w:r>
        <w:rPr>
          <w:rFonts w:hint="eastAsia"/>
        </w:rPr>
        <w:t xml:space="preserve">周欣然,</w:t>
      </w:r>
      <w:r>
        <w:t xml:space="preserve"> </w:t>
      </w:r>
      <w:r>
        <w:rPr>
          <w:rFonts w:hint="eastAsia"/>
        </w:rPr>
        <w:t xml:space="preserve">栾晓宇,</w:t>
      </w:r>
      <w:r>
        <w:t xml:space="preserve"> </w:t>
      </w:r>
      <w:r>
        <w:rPr>
          <w:rFonts w:hint="eastAsia"/>
        </w:rPr>
        <w:t xml:space="preserve">等.</w:t>
      </w:r>
      <w:r>
        <w:t xml:space="preserve"> </w:t>
      </w:r>
      <w:r>
        <w:rPr>
          <w:rFonts w:hint="eastAsia"/>
        </w:rPr>
        <w:t xml:space="preserve">基于高维精准画像与深度学习的卷烟零售户动态分档研究[J].</w:t>
      </w:r>
      <w:r>
        <w:t xml:space="preserve"> </w:t>
      </w:r>
      <w:r>
        <w:rPr>
          <w:rFonts w:hint="eastAsia"/>
        </w:rPr>
        <w:t xml:space="preserve">中国烟草学报,</w:t>
      </w:r>
      <w:r>
        <w:t xml:space="preserve"> 2024, 30(3): 1-9.</w:t>
      </w:r>
      <w:r>
        <w:br/>
      </w:r>
      <w:r>
        <w:t xml:space="preserve">TAN Chen, ZHOU Xinran, LUAN Xiaoyu, et al. Research on dynamic classification of cigarette retailers based on high-dimensional precise profiling and deep learning[J]. Acta Tabacaria Sinica, 2024, 30(3): 1-9.</w:t>
      </w:r>
    </w:p>
    <w:p>
      <w:pPr>
        <w:pStyle w:val="BodyText"/>
      </w:pPr>
      <w:r>
        <w:t xml:space="preserve">[4] </w:t>
      </w:r>
      <w:r>
        <w:rPr>
          <w:rFonts w:hint="eastAsia"/>
        </w:rPr>
        <w:t xml:space="preserve">刘佳.</w:t>
      </w:r>
      <w:r>
        <w:t xml:space="preserve"> </w:t>
      </w:r>
      <w:r>
        <w:rPr>
          <w:rFonts w:hint="eastAsia"/>
        </w:rPr>
        <w:t xml:space="preserve">基于品规生命周期的卷烟品牌精准营销探索与研究[J].</w:t>
      </w:r>
      <w:r>
        <w:t xml:space="preserve"> </w:t>
      </w:r>
      <w:r>
        <w:rPr>
          <w:rFonts w:hint="eastAsia"/>
        </w:rPr>
        <w:t xml:space="preserve">中国烟草学报,</w:t>
      </w:r>
      <w:r>
        <w:t xml:space="preserve"> 2021, 27(6): 108-111.</w:t>
      </w:r>
      <w:r>
        <w:br/>
      </w:r>
      <w:r>
        <w:t xml:space="preserve">LIU Jia. Exploration and research on precision marketing of cigarette brand based on the life cycle of specification[J]. Acta Tabacaria Sinica, 2021, 27(6): 108-111.</w:t>
      </w:r>
    </w:p>
    <w:p>
      <w:pPr>
        <w:pStyle w:val="BodyText"/>
      </w:pPr>
      <w:r>
        <w:t xml:space="preserve">[5] </w:t>
      </w:r>
      <w:r>
        <w:rPr>
          <w:rFonts w:hint="eastAsia"/>
        </w:rPr>
        <w:t xml:space="preserve">莫玉华,</w:t>
      </w:r>
      <w:r>
        <w:t xml:space="preserve"> </w:t>
      </w:r>
      <w:r>
        <w:rPr>
          <w:rFonts w:hint="eastAsia"/>
        </w:rPr>
        <w:t xml:space="preserve">陈昊,</w:t>
      </w:r>
      <w:r>
        <w:t xml:space="preserve"> </w:t>
      </w:r>
      <w:r>
        <w:rPr>
          <w:rFonts w:hint="eastAsia"/>
        </w:rPr>
        <w:t xml:space="preserve">谷越,</w:t>
      </w:r>
      <w:r>
        <w:t xml:space="preserve"> </w:t>
      </w:r>
      <w:r>
        <w:rPr>
          <w:rFonts w:hint="eastAsia"/>
        </w:rPr>
        <w:t xml:space="preserve">等.</w:t>
      </w:r>
      <w:r>
        <w:t xml:space="preserve"> </w:t>
      </w:r>
      <w:r>
        <w:rPr>
          <w:rFonts w:hint="eastAsia"/>
        </w:rPr>
        <w:t xml:space="preserve">基于消费行为数据的卷烟消费迁移定量测算方法[J].</w:t>
      </w:r>
      <w:r>
        <w:t xml:space="preserve"> </w:t>
      </w:r>
      <w:r>
        <w:rPr>
          <w:rFonts w:hint="eastAsia"/>
        </w:rPr>
        <w:t xml:space="preserve">烟草科技,</w:t>
      </w:r>
      <w:r>
        <w:t xml:space="preserve"> 2025, 58(7): 84-91. DOI:10.16135/j.issn1002-0861.2024.0762. MO Yuhua, CHEN Hao, GU Yue, et al. A quantitative method to measure cigarette consumption migration based on consumption behavior data[J]. Tobacco Science &amp; Technology, 2025, 58(7): 84-91. DOI:10.16135/j.issn1002-0861.2024.0762.</w:t>
      </w:r>
    </w:p>
    <w:p>
      <w:pPr>
        <w:pStyle w:val="BodyText"/>
      </w:pPr>
      <w:r>
        <w:t xml:space="preserve">[6] </w:t>
      </w:r>
      <w:r>
        <w:rPr>
          <w:rFonts w:hint="eastAsia"/>
        </w:rPr>
        <w:t xml:space="preserve">金文蔚,</w:t>
      </w:r>
      <w:r>
        <w:t xml:space="preserve"> </w:t>
      </w:r>
      <w:r>
        <w:rPr>
          <w:rFonts w:hint="eastAsia"/>
        </w:rPr>
        <w:t xml:space="preserve">虞华东,</w:t>
      </w:r>
      <w:r>
        <w:t xml:space="preserve"> </w:t>
      </w:r>
      <w:r>
        <w:rPr>
          <w:rFonts w:hint="eastAsia"/>
        </w:rPr>
        <w:t xml:space="preserve">沈振凯,</w:t>
      </w:r>
      <w:r>
        <w:t xml:space="preserve"> </w:t>
      </w:r>
      <w:r>
        <w:rPr>
          <w:rFonts w:hint="eastAsia"/>
        </w:rPr>
        <w:t xml:space="preserve">等.</w:t>
      </w:r>
      <w:r>
        <w:t xml:space="preserve"> </w:t>
      </w:r>
      <w:r>
        <w:rPr>
          <w:rFonts w:hint="eastAsia"/>
        </w:rPr>
        <w:t xml:space="preserve">数据驱动的卷烟品规精准投放策略研究[J].</w:t>
      </w:r>
      <w:r>
        <w:t xml:space="preserve"> </w:t>
      </w:r>
      <w:r>
        <w:rPr>
          <w:rFonts w:hint="eastAsia"/>
        </w:rPr>
        <w:t xml:space="preserve">中国烟草学报,</w:t>
      </w:r>
      <w:r>
        <w:t xml:space="preserve"> 2025, 31(6): 152-160. DOI:10.16472/j.chinatobacco.2024.T0428.</w:t>
      </w:r>
      <w:r>
        <w:br/>
      </w:r>
      <w:r>
        <w:t xml:space="preserve">JIN Wenwei, YU Huadong, SHEN Zhenkai, et al. Research on data-driven precision allocation strategy for cigarette SKUs[J]. Acta Tabacaria Sinica, 2025, 31(6): 152-160. DOI:10.16472/j.chinatobacco.2024.T0428.</w:t>
      </w:r>
    </w:p>
    <w:p>
      <w:pPr>
        <w:pStyle w:val="BodyText"/>
      </w:pPr>
      <w:r>
        <w:t xml:space="preserve">[7] </w:t>
      </w:r>
      <w:r>
        <w:rPr>
          <w:rFonts w:hint="eastAsia"/>
        </w:rPr>
        <w:t xml:space="preserve">梁雪霞,</w:t>
      </w:r>
      <w:r>
        <w:t xml:space="preserve"> </w:t>
      </w:r>
      <w:r>
        <w:rPr>
          <w:rFonts w:hint="eastAsia"/>
        </w:rPr>
        <w:t xml:space="preserve">陈志,</w:t>
      </w:r>
      <w:r>
        <w:t xml:space="preserve"> </w:t>
      </w:r>
      <w:r>
        <w:rPr>
          <w:rFonts w:hint="eastAsia"/>
        </w:rPr>
        <w:t xml:space="preserve">邓超,</w:t>
      </w:r>
      <w:r>
        <w:t xml:space="preserve"> </w:t>
      </w:r>
      <w:r>
        <w:rPr>
          <w:rFonts w:hint="eastAsia"/>
        </w:rPr>
        <w:t xml:space="preserve">等.</w:t>
      </w:r>
      <w:r>
        <w:t xml:space="preserve"> </w:t>
      </w:r>
      <w:r>
        <w:rPr>
          <w:rFonts w:hint="eastAsia"/>
        </w:rPr>
        <w:t xml:space="preserve">基于大数据标签的卷烟新品选点投放模型研究与应用[J].</w:t>
      </w:r>
      <w:r>
        <w:t xml:space="preserve"> </w:t>
      </w:r>
      <w:r>
        <w:rPr>
          <w:rFonts w:hint="eastAsia"/>
        </w:rPr>
        <w:t xml:space="preserve">中国烟草学报,</w:t>
      </w:r>
      <w:r>
        <w:t xml:space="preserve"> 2025, 31(3): 142-147.</w:t>
      </w:r>
      <w:r>
        <w:br/>
      </w:r>
      <w:r>
        <w:t xml:space="preserve">LIANG Xuexia, CHEN Zhi, DENG Chao, et al. A study and application of the new cigarette product selection and deployment model based on big data tags[J]. Acta Tabacaria Sinica, 2025, 31(3): 142-147.</w:t>
      </w:r>
    </w:p>
    <w:p>
      <w:pPr>
        <w:pStyle w:val="BodyText"/>
      </w:pPr>
      <w:r>
        <w:t xml:space="preserve">[8] </w:t>
      </w:r>
      <w:r>
        <w:rPr>
          <w:rFonts w:hint="eastAsia"/>
        </w:rPr>
        <w:t xml:space="preserve">王建飞,</w:t>
      </w:r>
      <w:r>
        <w:t xml:space="preserve"> </w:t>
      </w:r>
      <w:r>
        <w:rPr>
          <w:rFonts w:hint="eastAsia"/>
        </w:rPr>
        <w:t xml:space="preserve">蔡晓红,</w:t>
      </w:r>
      <w:r>
        <w:t xml:space="preserve"> </w:t>
      </w:r>
      <w:r>
        <w:rPr>
          <w:rFonts w:hint="eastAsia"/>
        </w:rPr>
        <w:t xml:space="preserve">郭正君.</w:t>
      </w:r>
      <w:r>
        <w:t xml:space="preserve"> </w:t>
      </w:r>
      <w:r>
        <w:rPr>
          <w:rFonts w:hint="eastAsia"/>
        </w:rPr>
        <w:t xml:space="preserve">基于“规模-份额”的中式卷烟产品生命周期理论研究[J].</w:t>
      </w:r>
      <w:r>
        <w:t xml:space="preserve"> </w:t>
      </w:r>
      <w:r>
        <w:rPr>
          <w:rFonts w:hint="eastAsia"/>
        </w:rPr>
        <w:t xml:space="preserve">中国烟草学报,</w:t>
      </w:r>
      <w:r>
        <w:t xml:space="preserve"> 2025, 31(4): 150-156. DOI:10.16472/j.chinatobacco.2024.020.</w:t>
      </w:r>
      <w:r>
        <w:br/>
      </w:r>
      <w:r>
        <w:t xml:space="preserve">WANG Jianfei, CAI Xiaohong, GUO Zhengjun. Research on the product life cycle theory of Chinese-style cigarettes based on “scale-share”[J]. Acta Tabacaria Sinica, 2025, 31(4): 150-156. DOI:10.16472/j.chinatobacco.2024.020.</w:t>
      </w:r>
    </w:p>
    <w:p>
      <w:pPr>
        <w:pStyle w:val="BodyText"/>
      </w:pPr>
      <w:r>
        <w:t xml:space="preserve">[9] WAGER S, ATHEY S. Estimation and inference of heterogeneous treatment effects using random forests[J]. Journal of the American Statistical Association, 2018, 113(523): 1228-1242. DOI:10.1080/01621459.2017.1319839.</w:t>
      </w:r>
    </w:p>
    <w:p>
      <w:pPr>
        <w:pStyle w:val="BodyText"/>
      </w:pPr>
      <w:r>
        <w:t xml:space="preserve">[10] ATHEY S, TIBSHIRANI J, WAGER S. Generalized random forests[J]. The Annals of Statistics, 2019, 47(2): 1148-1178. DOI:10.1214/18-AOS1709.</w:t>
      </w:r>
    </w:p>
    <w:p>
      <w:pPr>
        <w:pStyle w:val="BodyText"/>
      </w:pPr>
      <w:r>
        <w:t xml:space="preserve">[11] NIE X, WAGER S. Quasi-oracle estimation of heterogeneous treatment effects[J]. Biometrika, 2021, 108(2): 299-319. DOI:10.1093/biomet/asaa076.</w:t>
      </w:r>
    </w:p>
    <w:p>
      <w:pPr>
        <w:pStyle w:val="BodyText"/>
      </w:pPr>
      <w:r>
        <w:t xml:space="preserve">[12] CHERNOZHUKOV V, CHETVERIKOV D, DEMIRER M, et al. Double/debiased machine learning for treatment and structural parameters[J]. The Econometrics Journal, 2018, 21(1): C1-C68. DOI:10.1111/ectj.12097.</w:t>
      </w:r>
    </w:p>
    <w:p>
      <w:pPr>
        <w:pStyle w:val="BodyText"/>
      </w:pPr>
      <w:r>
        <w:t xml:space="preserve">[13] ROSENBAUM P R, RUBIN D B. The central role of the propensity score in observational studies for causal effects[J]. Biometrika, 1983, 70(1): 41-55.</w:t>
      </w:r>
    </w:p>
    <w:p>
      <w:pPr>
        <w:pStyle w:val="BodyText"/>
      </w:pPr>
      <w:r>
        <w:t xml:space="preserve">[14] VANDERWEELE T J, DING P. Sensitivity analysis in observational research: Introducing the E-value[J]. Annals of Internal Medicine, 2017, 167(4): 268-274.</w:t>
      </w:r>
    </w:p>
    <w:p>
      <w:pPr>
        <w:pStyle w:val="BodyText"/>
      </w:pPr>
      <w:r>
        <w:t xml:space="preserve">[15] LIPSITCH M, TCHETGEN TCHETGEN E, COHEN T. Negative controls: A tool for detecting confounding and bias in observational studies[J]. Epidemiology, 2010, 21(3): 383-388.</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基于因果森林的卷烟品规供给收缩异质性排序</dc:title>
  <dc:creator/>
  <dc:language>zh-CN</dc:language>
  <cp:keywords/>
  <dcterms:created xsi:type="dcterms:W3CDTF">2026-09-13T13:29:28Z</dcterms:created>
  <dcterms:modified xsi:type="dcterms:W3CDTF">2026-09-13T13:29:28Z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