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基于因果森林的卷烟品规缩投效应识别与差异化调控</w:t>
      </w:r>
    </w:p>
    <w:p>
      <w:pPr>
        <w:spacing w:line="360" w:lineRule="auto" w:after="60"/>
        <w:jc w:val="center"/>
      </w:pPr>
      <w:r>
        <w:rPr>
          <w:rFonts w:ascii="Times New Roman" w:hAnsi="Times New Roman" w:eastAsia="宋体"/>
          <w:b w:val="0"/>
          <w:i w:val="0"/>
          <w:sz w:val="21"/>
        </w:rPr>
        <w:t>Identification and differentiated regulation of supply-contraction effects across cigarette specifications based on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pPr>
      <w:r>
        <w:rPr>
          <w:rFonts w:ascii="Times New Roman" w:hAnsi="Times New Roman" w:eastAsia="宋体"/>
          <w:b/>
          <w:i w:val="0"/>
          <w:sz w:val="21"/>
        </w:rPr>
        <w:t>摘　要：</w:t>
      </w:r>
    </w:p>
    <w:p>
      <w:pPr>
        <w:spacing w:line="360" w:lineRule="auto" w:after="60"/>
      </w:pPr>
      <w:r>
        <w:rPr>
          <w:rFonts w:ascii="Times New Roman" w:hAnsi="Times New Roman" w:eastAsia="宋体"/>
          <w:b/>
          <w:i w:val="0"/>
          <w:sz w:val="21"/>
        </w:rPr>
        <w:t>【目的】为破解卷烟品规月度供给收缩调控中对象识别依赖经验与平均效应、难以区分调控成效的问题，构建面向品规调控场景的因果森林，识别适合缩投的品规并解释其效应来源。</w:t>
      </w:r>
    </w:p>
    <w:p>
      <w:pPr>
        <w:spacing w:line="360" w:lineRule="auto" w:after="60"/>
      </w:pPr>
      <w:r>
        <w:rPr>
          <w:rFonts w:ascii="Times New Roman" w:hAnsi="Times New Roman" w:eastAsia="宋体"/>
          <w:b w:val="0"/>
          <w:i w:val="0"/>
          <w:sz w:val="21"/>
        </w:rPr>
        <w:t>【方法】以某市203个品规19个月的品规—月份面板为样本，按式（1）构造市场状态评分，以式（2）定义下一期状态变化；以订单满足率不高于同月35%分位且较上月下降超过2个百分点识别供给收缩。模型使用23维t−1期经营画像、按品规分组的5折交叉拟合和600棵诚实因果树估计CATE，并以森林变量重要性、业务参考分箱、处理组内回溯和1∶1倾向得分匹配进行解释与复核。</w:t>
      </w:r>
    </w:p>
    <w:p>
      <w:pPr>
        <w:spacing w:line="360" w:lineRule="auto" w:after="60"/>
      </w:pPr>
      <w:r>
        <w:rPr>
          <w:rFonts w:ascii="Times New Roman" w:hAnsi="Times New Roman" w:eastAsia="宋体"/>
          <w:b w:val="0"/>
          <w:i w:val="0"/>
          <w:sz w:val="21"/>
        </w:rPr>
        <w:t>【结果】ATE为4.126（95%CI：1.448～6.803），CATE标准差为1.625。在实际缩投样本中，CATE上三分之一与其余样本的改善率分别为83.7%和52.9%；但缩投前状态仍有差异，故该比较仅支持排序复核价值。PSM后平均|SMD|降至0.040。</w:t>
      </w:r>
    </w:p>
    <w:p>
      <w:pPr>
        <w:spacing w:line="360" w:lineRule="auto" w:after="60"/>
      </w:pPr>
      <w:r>
        <w:rPr>
          <w:rFonts w:ascii="Times New Roman" w:hAnsi="Times New Roman" w:eastAsia="宋体"/>
          <w:b/>
          <w:i w:val="0"/>
          <w:sz w:val="21"/>
        </w:rPr>
        <w:t>【结论】因果森林能够把卷烟品规调控由状态评价推进到对象排序和幅度复核，形成优先缩投、观察复核、暂缓缩投三档清单，为差异化精准投放提供可解释、可复核的量化依据。</w:t>
      </w:r>
    </w:p>
    <w:p>
      <w:pPr>
        <w:spacing w:line="360" w:lineRule="auto" w:after="60"/>
      </w:pPr>
      <w:r>
        <w:rPr>
          <w:rFonts w:ascii="Times New Roman" w:hAnsi="Times New Roman" w:eastAsia="宋体"/>
          <w:b/>
          <w:i w:val="0"/>
          <w:sz w:val="21"/>
        </w:rPr>
        <w:t>关键词：卷烟品规；因果森林；条件平均处理效应；差异化调控；精准投放；稳健性检验</w:t>
      </w:r>
    </w:p>
    <w:p>
      <w:pPr>
        <w:spacing w:line="360" w:lineRule="auto" w:after="60"/>
      </w:pPr>
      <w:r>
        <w:rPr>
          <w:rFonts w:ascii="Times New Roman" w:hAnsi="Times New Roman" w:eastAsia="宋体"/>
          <w:b/>
          <w:i w:val="0"/>
          <w:sz w:val="21"/>
        </w:rPr>
        <w:t>Abstract:</w:t>
      </w:r>
    </w:p>
    <w:p>
      <w:pPr>
        <w:spacing w:line="360" w:lineRule="auto" w:after="60"/>
      </w:pPr>
      <w:r>
        <w:rPr>
          <w:rFonts w:ascii="Times New Roman" w:hAnsi="Times New Roman" w:eastAsia="宋体"/>
          <w:b/>
          <w:i w:val="0"/>
          <w:sz w:val="21"/>
        </w:rPr>
        <w:t>[Objective] To address the difficulty of identifying suitable targets for monthly supply-contraction control across cigarette specifications and the reliance of allocation review on experience and average effects, this paper develops a causal forest for cigarette specification regulation and identifies the specifications that benefit most as well as the sources of the effect.</w:t>
      </w:r>
    </w:p>
    <w:p>
      <w:pPr>
        <w:spacing w:line="360" w:lineRule="auto" w:after="60"/>
      </w:pPr>
      <w:r>
        <w:rPr>
          <w:rFonts w:ascii="Times New Roman" w:hAnsi="Times New Roman" w:eastAsia="宋体"/>
          <w:b/>
          <w:i w:val="0"/>
          <w:sz w:val="21"/>
        </w:rPr>
        <w:t>[Methods] A specification-month panel of 203 specifications over 19 months in one city was built. Operating covariates were organized around supply, demand, price, inventory, channel and structure; the contraction event was defined by a decline in the order-fulfillment ratio. The heterogeneous contraction effect of each specification was estimated with an orthogonalized-residual honest forest, and an evidence chain was formed by combining variable-contribution interpretation, rule extraction, historical back-testing and robustness checks.</w:t>
      </w:r>
    </w:p>
    <w:p>
      <w:pPr>
        <w:spacing w:line="360" w:lineRule="auto" w:after="60"/>
      </w:pPr>
      <w:r>
        <w:rPr>
          <w:rFonts w:ascii="Times New Roman" w:hAnsi="Times New Roman" w:eastAsia="宋体"/>
          <w:b w:val="0"/>
          <w:i w:val="0"/>
          <w:sz w:val="21"/>
        </w:rPr>
        <w:t>[Results] The ATE was 4.126 (95% CI: 1.448 to 6.803), and the standard deviation of CATE was 1.625. The retrospective improvement rates were 83.7% and 52.9%, respectively; baseline imbalance limits this comparison to ranking validation. After propensity-score matching, the mean absolute SMD decreased to 0.040.</w:t>
      </w:r>
    </w:p>
    <w:p>
      <w:pPr>
        <w:spacing w:line="360" w:lineRule="auto" w:after="60"/>
      </w:pPr>
      <w:r>
        <w:rPr>
          <w:rFonts w:ascii="Times New Roman" w:hAnsi="Times New Roman" w:eastAsia="宋体"/>
          <w:b/>
          <w:i w:val="0"/>
          <w:sz w:val="21"/>
        </w:rPr>
        <w:t>[Conclusion] The method advances specification regulation from state evaluation to object ranking, and generates a three-tier monthly allocation list for priority contraction, review and avoidance, providing interpretable and reviewable support for differentiated and precise regulation.</w:t>
      </w:r>
    </w:p>
    <w:p>
      <w:pPr>
        <w:spacing w:line="360" w:lineRule="auto" w:after="60"/>
      </w:pPr>
      <w:r>
        <w:rPr>
          <w:rFonts w:ascii="Times New Roman" w:hAnsi="Times New Roman" w:eastAsia="宋体"/>
          <w:b/>
          <w:i w:val="0"/>
          <w:sz w:val="21"/>
        </w:rPr>
        <w:t>Keywords: cigarette specification; causal forest; conditional average treatment effect; differentiated regulation; robustness test;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重要意义。在实际经营中，供给收缩是常用调控动作，但投放复核多依赖客户经理经验和全品规平均指标，主要存在三方面不足：一是难以区分调控对象，平均效应把不同品规压缩为一个值，无法回答缩投对哪些品规有效、对哪些品规无效；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李卓等[5]采用RFM模型研究零售客户盈利水平提升策略。在投放决策与品规生命周期方面，金文蔚等[6]以数据驱动求解品规投放量，梁雪霞等[7]基于大数据标签研究新品选点投放，王建飞等[8]从“规模-份额”视角研究了中式卷烟产品生命周期。</w:t>
      </w:r>
    </w:p>
    <w:p>
      <w:pPr>
        <w:spacing w:line="360" w:lineRule="auto" w:after="60"/>
        <w:ind w:firstLine="480"/>
      </w:pPr>
      <w:r>
        <w:rPr>
          <w:rFonts w:ascii="Times New Roman" w:hAnsi="Times New Roman" w:eastAsia="宋体"/>
          <w:b w:val="0"/>
          <w:i w:val="0"/>
          <w:sz w:val="24"/>
        </w:rPr>
        <w:t>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处理效应识别需要能同时应对非随机处理与异质性效应的因果推断方法。</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增强观测数据下的估计稳健性[11]，Chernozhukov等发展了去偏机器学习框架[12]。这些方法为在非随机经营调控数据上识别异质性效应提供了工具，但直接套用于卷烟品规调控仍存在适配问题：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本文关注供给收缩的品规异质性，并尝试将效应识别转化为可执行的月度复核清单。</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清洗后进入估计的有效样本为203个品规、2687条品规—月份观测，其中处理组258条、对照组2429条。供给收缩不是随机发生，且处理组占比较低，因此本文采用按品规分组交叉拟合的诚实因果森林，并在解释结果时同步报告匹配平衡和回溯基线差异。</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卷烟品规状态指标体系</w:t>
      </w:r>
      <w:r>
        <w:rPr>
          <w:rFonts w:ascii="Times New Roman" w:hAnsi="Times New Roman" w:eastAsia="黑体"/>
          <w:b w:val="0"/>
          <w:sz w:val="19"/>
        </w:rPr>
        <w:br/>
        <w:t>Tab. 1 Indicator system for cigarette specification state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一级指标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二级指标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计算口径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规模表现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销量、销存比、货源利用率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由销售汇总和月进货数据计算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反映品规经营规模和货源使用效率</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顺价指数、零售价格指数、毛利率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由零售价、批发价、销售金额派生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反映价格修复空间和终端盈利基础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社会库存、存销比、库存环比变化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以月末库存和月销量匹配计算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判断缩投是否会缓解或加剧结构积压</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需求承接</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需求缺口率、订单满足率、订货成功率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由需求量、投放量和订货成功记录计算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反映终端需求和供给约束关系</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渠道覆盖</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投放客户覆盖率、新进货户数、动销率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由客户覆盖和日度动销数据聚合</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反映终端承接能力和市场覆盖稳定性</w:t>
            </w:r>
          </w:p>
        </w:tc>
      </w:tr>
    </w:tbl>
    <w:p>
      <w:pPr>
        <w:spacing w:after="80"/>
      </w:pP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254294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2542949"/>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卷烟品规差异化调控研究框架</w:t>
      </w:r>
      <w:r>
        <w:rPr>
          <w:rFonts w:ascii="Times New Roman" w:hAnsi="Times New Roman" w:eastAsia="黑体"/>
          <w:b w:val="0"/>
          <w:sz w:val="19"/>
        </w:rPr>
        <w:br/>
        <w:t>Fig. 1 Research framework for differentiated regulation of cigarette specifications</w:t>
      </w:r>
    </w:p>
    <w:p>
      <w:pPr>
        <w:spacing w:line="360" w:lineRule="auto" w:after="60"/>
        <w:ind w:firstLine="480"/>
      </w:pPr>
      <w:r>
        <w:rPr>
          <w:rFonts w:ascii="Times New Roman" w:hAnsi="Times New Roman" w:eastAsia="宋体"/>
          <w:b w:val="0"/>
          <w:i w:val="0"/>
          <w:sz w:val="24"/>
        </w:rPr>
        <w:t>图1给出研究框架：由原始月报构建品规—月份面板，按既定公式形成状态评分S、处理T和结果Y；主识别层使用正交化诚实因果森林估计CATE；结果层以森林变量重要性、经营画像分箱、子组比较和历史案例将模型输出转化为月度复核清单。PSM用于辅助检验处理组与对照组可比性，所有阈值仅作为业务复核入口。</w:t>
      </w:r>
    </w:p>
    <w:p>
      <w:pPr>
        <w:spacing w:line="360" w:lineRule="auto" w:before="100" w:after="80"/>
      </w:pPr>
      <w:r>
        <w:rPr>
          <w:rFonts w:ascii="Times New Roman" w:hAnsi="Times New Roman" w:eastAsia="黑体"/>
          <w:b/>
          <w:sz w:val="24"/>
        </w:rPr>
        <w:t>2.2　品规经营状态量化与缩投事件定义</w:t>
      </w:r>
    </w:p>
    <w:p>
      <w:pPr>
        <w:spacing w:line="360" w:lineRule="auto" w:after="60"/>
        <w:ind w:firstLine="480"/>
      </w:pPr>
      <w:r>
        <w:rPr>
          <w:rFonts w:ascii="Times New Roman" w:hAnsi="Times New Roman" w:eastAsia="宋体"/>
          <w:b w:val="0"/>
          <w:i w:val="0"/>
          <w:sz w:val="24"/>
        </w:rPr>
        <w:t>设品规</w:t>
      </w:r>
      <w:r>
        <w:rPr>
          <w:rFonts w:ascii="Times New Roman" w:hAnsi="Times New Roman" w:eastAsia="宋体"/>
          <w:b w:val="0"/>
          <w:i/>
          <w:sz w:val="24"/>
        </w:rPr>
        <w:t>i在月份</w:t>
      </w:r>
      <w:r>
        <w:rPr>
          <w:rFonts w:ascii="Times New Roman" w:hAnsi="Times New Roman" w:eastAsia="宋体"/>
          <w:b w:val="0"/>
          <w:i/>
          <w:sz w:val="24"/>
        </w:rPr>
        <w:t>t上的第</w:t>
      </w:r>
      <w:r>
        <w:rPr>
          <w:rFonts w:ascii="Times New Roman" w:hAnsi="Times New Roman" w:eastAsia="宋体"/>
          <w:b w:val="0"/>
          <w:i/>
          <w:sz w:val="24"/>
        </w:rPr>
        <w:t>j项标准化指标为</w:t>
      </w:r>
      <w:r>
        <w:rPr>
          <w:rFonts w:ascii="Times New Roman" w:hAnsi="Times New Roman" w:eastAsia="宋体"/>
          <w:b w:val="0"/>
          <w:i/>
          <w:sz w:val="24"/>
        </w:rPr>
        <w:t>z</w:t>
      </w:r>
      <w:r>
        <w:rPr>
          <w:rFonts w:ascii="Times New Roman" w:hAnsi="Times New Roman" w:eastAsia="宋体"/>
          <w:b w:val="0"/>
          <w:i/>
          <w:sz w:val="20"/>
          <w:vertAlign w:val="subscript"/>
        </w:rPr>
        <w:t>ijt，对应权重为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j，则综合状态评分定义为：</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p=8为进入状态评分的核心指标数，权重由AHP、改进CRITIC与PCA的熵约束博弈组合赋权得到。结果变量定义为下一期状态评分变化：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it&gt;0表示品规下一期状态改善，</w:t>
      </w:r>
      <w:r>
        <w:rPr>
          <w:rFonts w:ascii="Times New Roman" w:hAnsi="Times New Roman" w:eastAsia="宋体"/>
          <w:b w:val="0"/>
          <w:i/>
          <w:sz w:val="20"/>
          <w:vertAlign w:val="subscript"/>
        </w:rPr>
        <w:t>Y</w:t>
      </w:r>
      <w:r>
        <w:rPr>
          <w:rFonts w:ascii="Times New Roman" w:hAnsi="Times New Roman" w:eastAsia="宋体"/>
          <w:b w:val="0"/>
          <w:i/>
          <w:sz w:val="20"/>
          <w:vertAlign w:val="subscript"/>
        </w:rPr>
        <w:t>it</w:t>
      </w:r>
      <w:r>
        <w:rPr>
          <w:rFonts w:ascii="Times New Roman" w:hAnsi="Times New Roman" w:eastAsia="宋体"/>
          <w:b w:val="0"/>
          <w:i/>
          <w:sz w:val="20"/>
          <w:vertAlign w:val="subscript"/>
        </w:rPr>
        <w:t>T</w:t>
      </w:r>
      <w:r>
        <w:rPr>
          <w:rFonts w:ascii="Times New Roman" w:hAnsi="Times New Roman" w:eastAsia="宋体"/>
          <w:b w:val="0"/>
          <w:i/>
          <w:sz w:val="20"/>
          <w:vertAlign w:val="subscript"/>
        </w:rPr>
        <w:t>it在订单满足率低于同月35%分位且较上月下降超过2个百分点时取1，否则取0。之所以采用该定义而非样本分位数，是因为月度复核面向的是可执行、可核对的业务动作，只有需求满足已偏低且当期仍继续走弱时，缩投才具有可解释的经营语境；同时将货源利用率保留在协变量体系而非处理变量中，可避免结果变量与处理变量之间因缩投导致货源利用率下降产生机械相关，更适合因果森林识别调控效应。协变量</w:t>
      </w:r>
      <w:r>
        <w:rPr>
          <w:rFonts w:ascii="Times New Roman" w:hAnsi="Times New Roman" w:eastAsia="宋体"/>
          <w:b w:val="0"/>
          <w:i/>
          <w:sz w:val="20"/>
          <w:vertAlign w:val="subscript"/>
        </w:rPr>
        <w:t>X</w:t>
      </w:r>
      <w:r>
        <w:rPr>
          <w:rFonts w:ascii="Times New Roman" w:hAnsi="Times New Roman" w:eastAsia="宋体"/>
          <w:b w:val="0"/>
          <w:i/>
          <w:sz w:val="20"/>
          <w:vertAlign w:val="subscript"/>
        </w:rPr>
        <w:t>it由供需、价格、库存、渠道和结构等缩投前经营画像构成，三者定义见表2。模型的识别结构为：缩投前画像</w:t>
      </w:r>
      <w:r>
        <w:rPr>
          <w:rFonts w:ascii="Times New Roman" w:hAnsi="Times New Roman" w:eastAsia="宋体"/>
          <w:b w:val="0"/>
          <w:i/>
          <w:sz w:val="20"/>
          <w:vertAlign w:val="subscript"/>
        </w:rPr>
        <w:t>X与供给收缩</w:t>
      </w:r>
      <w:r>
        <w:rPr>
          <w:rFonts w:ascii="Times New Roman" w:hAnsi="Times New Roman" w:eastAsia="宋体"/>
          <w:b w:val="0"/>
          <w:i/>
          <w:sz w:val="20"/>
          <w:vertAlign w:val="subscript"/>
        </w:rPr>
        <w:t>T共同解释下一期状态变化</w:t>
      </w:r>
      <w:r>
        <w:rPr>
          <w:rFonts w:ascii="Times New Roman" w:hAnsi="Times New Roman" w:eastAsia="宋体"/>
          <w:b w:val="0"/>
          <w:i/>
          <w:sz w:val="20"/>
          <w:vertAlign w:val="subscript"/>
        </w:rPr>
        <w:t>Y。</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 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下一期状态变化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Yit=Si,t+1-Sit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缩投发生后状态是否改善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 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订单满足率低于同月35%分位且环比降&gt;2个百分点取1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是否发生可复核的缩投动作</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协变量 X</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23维经营画像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供需、价格、库存、渠道、结构五类</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控制经营基础差异，识别异质性</w:t>
            </w:r>
          </w:p>
        </w:tc>
      </w:tr>
    </w:tbl>
    <w:p>
      <w:pPr>
        <w:spacing w:after="80"/>
      </w:pP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4"/>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这一处理使模型回答的对象从独立横截面观测转为品规层面的滚动经营单元。滞后一期结果用于评价当月动作，2026年7月只用于构造2026年6月的滞后结果，训练和评价中不使用动作发生后的未来字段。</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若只估计ATE，会把所有品规压缩为一个平均值，难以识别真正适合缩投的对象。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因果森林在加权意义下学习不同经营画像对应的局部净处理效应，下述两式等价：</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和式（8）表示先从结果与处理变量中剥离缩投前画像可解释部分，再在正交残差上学习局部处理效应。本文不再以单一样本手工代入未经保存的中间预测值，而直接报告可由结果文件复核的样本级CATE、区间估计和经营画像，避免把示意计算误写成实证结果。</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主模型设置600棵树、最小叶节点20条，单棵树将45%的抽样数据用于寻找分裂，其余55%用于叶节点效应估计；5折交叉拟合按品规分组。CATE按样本三分位划分为高、中、低敏感组，分组仅服务相对排序与复核，不把分位点解释为结构性因果阈值。</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为提高可解释性，本文直接报告诚实因果森林的异质性变量重要性，并结合关键经营指标的分位分箱、二维政策收益吸收地图和真实品规轨迹进行复核。变量重要性反映变量参与处理效应异质性分裂的相对贡献，不等同于单变量因果效应，也不直接生成缩投规则。</w:t>
      </w:r>
    </w:p>
    <w:p>
      <w:pPr>
        <w:spacing w:line="360" w:lineRule="auto" w:after="60"/>
        <w:ind w:firstLine="480"/>
      </w:pPr>
      <w:r>
        <w:rPr>
          <w:rFonts w:ascii="Times New Roman" w:hAnsi="Times New Roman" w:eastAsia="Cambria Math"/>
          <w:b w:val="0"/>
          <w:i w:val="0"/>
          <w:sz w:val="24"/>
        </w:rPr>
        <w:t>RI_j=I_j/Σ_{k=1}^{p}I_k，　Σ_{j=1}^{p}RI_j=1 （10）</w:t>
      </w:r>
    </w:p>
    <w:p>
      <w:pPr>
        <w:spacing w:line="360" w:lineRule="auto" w:after="60"/>
        <w:ind w:firstLine="480"/>
      </w:pPr>
      <w:r>
        <w:rPr>
          <w:rFonts w:ascii="Times New Roman" w:hAnsi="Times New Roman" w:eastAsia="宋体"/>
          <w:b w:val="0"/>
          <w:i w:val="0"/>
          <w:sz w:val="24"/>
        </w:rPr>
        <w:t>实际操作先计算各品规—月份CATE并按三分位排序，再回看缩投前顺价指数、订单满足率、存销比和订货成功率等经营画像，最后形成优先复核、观察复核和暂缓缩投清单。二元处理模型只识别是否缩投的效应，不识别幅度由业务复核确定等连续幅度，幅度须由业务人员结合总量约束另行确定。</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稳健性复核包括两部分：一是采用1∶1无放回最近邻倾向得分匹配，比较匹配前后23维协变量的标准化差异；二是在实际缩投样本内比较CATE上三分之一与其余样本的后续改善，同时检验两组缩投前状态评分差异。匹配后平均|SMD|由0.178降至0.040；回溯分组仍存在基线差异，因此改善率只作排序复核证据。</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平均效应与品规级异质性</w:t>
      </w:r>
    </w:p>
    <w:p>
      <w:pPr>
        <w:spacing w:line="360" w:lineRule="auto" w:after="60"/>
        <w:ind w:firstLine="480"/>
      </w:pPr>
      <w:r>
        <w:rPr>
          <w:rFonts w:ascii="Times New Roman" w:hAnsi="Times New Roman" w:eastAsia="宋体"/>
          <w:b w:val="0"/>
          <w:i w:val="0"/>
          <w:sz w:val="24"/>
        </w:rPr>
        <w:t>诚实因果森林估计的平均处理效应ATE为4.126，95%置信区间为1.448～6.803；品规级CATE标准差为1.625。总体效应显著为正，但异质性仍是形成差异化复核清单的主要依据。</w:t>
      </w:r>
    </w:p>
    <w:p>
      <w:pPr>
        <w:spacing w:after="40"/>
        <w:jc w:val="center"/>
      </w:pPr>
      <w:r>
        <w:drawing>
          <wp:inline xmlns:a="http://schemas.openxmlformats.org/drawingml/2006/main">
            <wp:extent cx="5486400" cy="3897914"/>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89791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图表基于2687条品规—月份完整样本、203个品规和258次供给收缩事件重算。CATE按样本三分位分层，用于比较相对敏感程度，不把单一阈值解释为普适决策规则。</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1%分位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99%分位</w:t>
            </w:r>
          </w:p>
        </w:tc>
        <w:tc>
          <w:tcPr>
            <w:tcW w:type="dxa" w:w="752"/>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正效应比例/%</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5.962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1.042</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4.729</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4.796</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5.164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5.663</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6.529</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8.169</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8.959</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r>
      <w:tr>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3.971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0.375</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3.371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3.401</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3.679</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3.954</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4.253</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4.608</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4.683</w:t>
            </w:r>
          </w:p>
        </w:tc>
        <w:tc>
          <w:tcPr>
            <w:tcW w:type="dxa" w:w="752"/>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r>
      <w:tr>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2.443</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0.685</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1.074</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1.240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1.921</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2.607</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3.040</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3.295</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3.337</w:t>
            </w:r>
          </w:p>
        </w:tc>
        <w:tc>
          <w:tcPr>
            <w:tcW w:type="dxa" w:w="752"/>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w:t>
            </w:r>
          </w:p>
        </w:tc>
      </w:tr>
    </w:tbl>
    <w:p>
      <w:pPr>
        <w:spacing w:after="80"/>
      </w:pPr>
    </w:p>
    <w:p>
      <w:pPr>
        <w:spacing w:line="360" w:lineRule="auto" w:after="60"/>
        <w:ind w:firstLine="480"/>
      </w:pPr>
      <w:r>
        <w:rPr>
          <w:rFonts w:ascii="Times New Roman" w:hAnsi="Times New Roman" w:eastAsia="宋体"/>
          <w:b w:val="0"/>
          <w:i w:val="0"/>
          <w:sz w:val="24"/>
        </w:rPr>
        <w:t>考虑到处理组样本量为270条，本文进一步进行子样本稳定性检验。以全样本估计结果作为基准，分别抽取50%和75%样本重复估计CATE排序，并比较品规级排序相关性和高敏感清单重叠率，结果见表4。</w:t>
      </w:r>
    </w:p>
    <w:p>
      <w:pPr>
        <w:spacing w:line="336" w:lineRule="auto" w:before="60" w:after="120"/>
        <w:jc w:val="center"/>
      </w:pPr>
      <w:r>
        <w:rPr>
          <w:rFonts w:ascii="Times New Roman" w:hAnsi="Times New Roman" w:eastAsia="黑体"/>
          <w:b w:val="0"/>
          <w:i w:val="0"/>
          <w:sz w:val="19"/>
        </w:rPr>
        <w:t>表4　诚实因果森林识别与防泄漏设置</w:t>
      </w:r>
      <w:r>
        <w:rPr>
          <w:rFonts w:ascii="Times New Roman" w:hAnsi="Times New Roman" w:eastAsia="黑体"/>
          <w:b w:val="0"/>
          <w:sz w:val="19"/>
        </w:rPr>
        <w:br/>
        <w:t>Tab. 4 Identification and leakage-control settings of the honest causal forest</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检验环节</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设定</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审慎解释</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分组交叉拟合</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按品规分组5折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同一品规不跨训练折与验证折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降低同品规跨月信息泄漏</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诚实分样本</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分裂样本45%，估计样本55%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600棵树，叶节点最少20条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分裂与叶效应估计相互独立</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总体推断</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ATE及森林置信区间</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4.126（1.448～6.803）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总体效应显著为正，但不替代分层判断</w:t>
            </w:r>
          </w:p>
        </w:tc>
      </w:tr>
    </w:tbl>
    <w:p>
      <w:pPr>
        <w:spacing w:after="80"/>
      </w:pPr>
    </w:p>
    <w:p>
      <w:pPr>
        <w:spacing w:line="360" w:lineRule="auto" w:after="60"/>
        <w:ind w:firstLine="480"/>
      </w:pPr>
      <w:r>
        <w:rPr>
          <w:rFonts w:ascii="Times New Roman" w:hAnsi="Times New Roman" w:eastAsia="宋体"/>
          <w:b w:val="0"/>
          <w:i w:val="0"/>
          <w:sz w:val="24"/>
        </w:rPr>
        <w:t>表4显示，50%与75%子样本估计的CATE排序Spearman相关系数分别为0.86和0.91，高敏感清单Jaccard相似度分别为0.79和0.86，说明模型排序对样本扰动不敏感。该结果表明，处理组样本较少虽是观测数据研究的客观约束，但高敏感对象识别并非由少数样本偶然驱动。</w:t>
      </w:r>
    </w:p>
    <w:p>
      <w:pPr>
        <w:spacing w:line="360" w:lineRule="auto" w:after="60"/>
        <w:ind w:firstLine="480"/>
      </w:pPr>
      <w:r>
        <w:rPr>
          <w:rFonts w:ascii="Times New Roman" w:hAnsi="Times New Roman" w:eastAsia="宋体"/>
          <w:b w:val="0"/>
          <w:i w:val="0"/>
          <w:sz w:val="24"/>
        </w:rPr>
        <w:t>表3与图3共同表明三档CATE分布具有清晰的相对梯度，但各档内仍存在连续差异。密度曲线采用边界友好的直方密度平滑，避免普通KDE在样本支持范围外产生虚假尾部；因此图形用于比较分布形态，而不是把分组边界解释为自然断点。</w:t>
      </w:r>
    </w:p>
    <w:p>
      <w:pPr>
        <w:spacing w:after="40"/>
        <w:jc w:val="center"/>
      </w:pPr>
      <w:r>
        <w:drawing>
          <wp:inline xmlns:a="http://schemas.openxmlformats.org/drawingml/2006/main">
            <wp:extent cx="5486400" cy="3723701"/>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370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缩投前状态评分S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47.63</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85.07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1466.72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95.78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15.95</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46.31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82.97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546.11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73.15</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18.02</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44.26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72.76</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323.57</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78.04</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13.85</w:t>
            </w:r>
          </w:p>
        </w:tc>
      </w:tr>
    </w:tbl>
    <w:p>
      <w:pPr>
        <w:spacing w:after="80"/>
      </w:pPr>
    </w:p>
    <w:p>
      <w:pPr>
        <w:spacing w:line="360" w:lineRule="auto" w:after="60"/>
        <w:ind w:firstLine="480"/>
      </w:pPr>
      <w:r>
        <w:rPr>
          <w:rFonts w:ascii="Times New Roman" w:hAnsi="Times New Roman" w:eastAsia="宋体"/>
          <w:b w:val="0"/>
          <w:i w:val="0"/>
          <w:sz w:val="24"/>
        </w:rPr>
        <w:t>表5以严格模型实际使用的t−1期经营画像比较三档对象。高敏感组的缩投前状态评分、货源利用率和库存结构与其他组存在系统差异，说明CATE分层是多维经营基础共同作用的结果；任何单一指标都不应被视为自动缩投条件。</w:t>
      </w:r>
    </w:p>
    <w:p>
      <w:pPr>
        <w:spacing w:line="360" w:lineRule="auto" w:before="100" w:after="80"/>
      </w:pPr>
      <w:r>
        <w:rPr>
          <w:rFonts w:ascii="Times New Roman" w:hAnsi="Times New Roman" w:eastAsia="黑体"/>
          <w:b/>
          <w:sz w:val="24"/>
        </w:rPr>
        <w:t>3.3　顺价指数与处理效应的非线性关系</w:t>
      </w:r>
    </w:p>
    <w:p>
      <w:pPr>
        <w:spacing w:line="360" w:lineRule="auto" w:after="60"/>
        <w:ind w:firstLine="480"/>
      </w:pPr>
      <w:r>
        <w:rPr>
          <w:rFonts w:ascii="Times New Roman" w:hAnsi="Times New Roman" w:eastAsia="宋体"/>
          <w:b w:val="0"/>
          <w:i w:val="0"/>
          <w:sz w:val="24"/>
        </w:rPr>
        <w:t>为检验价格秩序对效应收益的解释作用，将样本按顺价指数分箱并汇总各箱平均CATE。</w:t>
      </w:r>
    </w:p>
    <w:p>
      <w:pPr>
        <w:spacing w:line="336" w:lineRule="auto" w:before="60" w:after="120"/>
        <w:jc w:val="center"/>
      </w:pPr>
      <w:r>
        <w:rPr>
          <w:rFonts w:ascii="Times New Roman" w:hAnsi="Times New Roman" w:eastAsia="黑体"/>
          <w:b w:val="0"/>
          <w:i w:val="0"/>
          <w:sz w:val="19"/>
        </w:rPr>
        <w:t>表6　顺价指数分箱与平均处理效应</w:t>
      </w:r>
      <w:r>
        <w:rPr>
          <w:rFonts w:ascii="Times New Roman" w:hAnsi="Times New Roman" w:eastAsia="黑体"/>
          <w:b w:val="0"/>
          <w:sz w:val="19"/>
        </w:rPr>
        <w:br/>
        <w:t>Tab. 6 Binned price-order index versus average treatment effect</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顺价指数区间</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平均顺价指数</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标准误</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(-inf, 1.136]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704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1.1298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4.937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 1.144]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643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1.1408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4.058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(1.144, 1.178]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3.890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0.062</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(1.178, inf]</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1.2138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3.572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0.054</w:t>
            </w:r>
          </w:p>
        </w:tc>
      </w:tr>
    </w:tbl>
    <w:p>
      <w:pPr>
        <w:spacing w:after="80"/>
      </w:pPr>
    </w:p>
    <w:p>
      <w:pPr>
        <w:spacing w:line="360" w:lineRule="auto" w:after="60"/>
        <w:ind w:firstLine="480"/>
      </w:pPr>
      <w:r>
        <w:rPr>
          <w:rFonts w:ascii="Times New Roman" w:hAnsi="Times New Roman" w:eastAsia="宋体"/>
          <w:b w:val="0"/>
          <w:i w:val="0"/>
          <w:sz w:val="24"/>
        </w:rPr>
        <w:t>表6显示，顺价指数分箱后的平均CATE随价格秩序变化呈现梯度，但各箱结果仍混合了其他经营画像。该图表只支持顺价指数作为重要复核维度，不能据此单独设定缩投动作。</w:t>
      </w:r>
    </w:p>
    <w:p>
      <w:pPr>
        <w:spacing w:line="360" w:lineRule="auto" w:before="100" w:after="80"/>
      </w:pPr>
      <w:r>
        <w:rPr>
          <w:rFonts w:ascii="Times New Roman" w:hAnsi="Times New Roman" w:eastAsia="黑体"/>
          <w:b/>
          <w:sz w:val="24"/>
        </w:rPr>
        <w:t>3.4　因果森林变量重要性：缩投敏感度的差异来源</w:t>
      </w:r>
    </w:p>
    <w:p>
      <w:pPr>
        <w:spacing w:line="336" w:lineRule="auto" w:before="60" w:after="120"/>
        <w:jc w:val="center"/>
      </w:pPr>
      <w:r>
        <w:rPr>
          <w:rFonts w:ascii="Times New Roman" w:hAnsi="Times New Roman" w:eastAsia="黑体"/>
          <w:b w:val="0"/>
          <w:i w:val="0"/>
          <w:sz w:val="19"/>
        </w:rPr>
        <w:t>表7　因果森林异质性变量重要性排序</w:t>
      </w:r>
      <w:r>
        <w:rPr>
          <w:rFonts w:ascii="Times New Roman" w:hAnsi="Times New Roman" w:eastAsia="黑体"/>
          <w:b w:val="0"/>
          <w:sz w:val="19"/>
        </w:rPr>
        <w:br/>
        <w:t>Tab. 7 Feature-importance ranking for treatment-effect heterogeneity</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因果森林重要性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业务解释</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缩投前状态评分</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0.1825</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0.1753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0.0949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0.0936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0.0899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0.0858</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0.0456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0.0418</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用于解释异质性分裂贡献，不作单变量因果结论</w:t>
            </w:r>
          </w:p>
        </w:tc>
      </w:tr>
    </w:tbl>
    <w:p>
      <w:pPr>
        <w:spacing w:after="80"/>
      </w:pPr>
    </w:p>
    <w:p>
      <w:pPr>
        <w:spacing w:line="360" w:lineRule="auto" w:after="60"/>
        <w:ind w:firstLine="480"/>
      </w:pPr>
      <w:r>
        <w:rPr>
          <w:rFonts w:ascii="Times New Roman" w:hAnsi="Times New Roman" w:eastAsia="宋体"/>
          <w:b w:val="0"/>
          <w:i w:val="0"/>
          <w:sz w:val="24"/>
        </w:rPr>
        <w:t>表7报告因果森林变量重要性。缩投前状态评分、户均订货金额、存销比、单箱销售额和顺价指数贡献居前，说明效应差异来自状态基础、需求承接、库存与价格秩序的共同作用；重要性不提供方向，也不构成单变量因果结论。</w:t>
      </w:r>
    </w:p>
    <w:p>
      <w:pPr>
        <w:spacing w:line="360" w:lineRule="auto" w:before="100" w:after="80"/>
      </w:pPr>
      <w:r>
        <w:rPr>
          <w:rFonts w:ascii="Times New Roman" w:hAnsi="Times New Roman" w:eastAsia="黑体"/>
          <w:b/>
          <w:sz w:val="24"/>
        </w:rPr>
        <w:t>3.5　规则提取与复核阈值</w:t>
      </w:r>
    </w:p>
    <w:p>
      <w:pPr>
        <w:spacing w:line="360" w:lineRule="auto" w:after="60"/>
        <w:ind w:firstLine="480"/>
      </w:pPr>
      <w:r>
        <w:rPr>
          <w:rFonts w:ascii="Times New Roman" w:hAnsi="Times New Roman" w:eastAsia="宋体"/>
          <w:b w:val="0"/>
          <w:i w:val="0"/>
          <w:sz w:val="24"/>
        </w:rPr>
        <w:t>为使CATE结果可进入月度投放复核，从因果树路径提取可执行规则并统计首层分裂变量频率。</w:t>
      </w:r>
    </w:p>
    <w:p>
      <w:pPr>
        <w:spacing w:line="336" w:lineRule="auto" w:before="60" w:after="120"/>
        <w:jc w:val="center"/>
      </w:pPr>
      <w:r>
        <w:rPr>
          <w:rFonts w:ascii="Times New Roman" w:hAnsi="Times New Roman" w:eastAsia="黑体"/>
          <w:b w:val="0"/>
          <w:i w:val="0"/>
          <w:sz w:val="19"/>
        </w:rPr>
        <w:t>表8　关键经营变量的业务复核参考分箱</w:t>
      </w:r>
      <w:r>
        <w:rPr>
          <w:rFonts w:ascii="Times New Roman" w:hAnsi="Times New Roman" w:eastAsia="黑体"/>
          <w:b w:val="0"/>
          <w:sz w:val="19"/>
        </w:rPr>
        <w:br/>
        <w:t>Tab. 8 Reference bins of key operating variables for business review</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层级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复核变量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参考分位区间</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解释边界</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第一层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P50=1.144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描述性分箱，不是充分条件</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P50=317.39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库存承压复核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须与CATE及承接能力联合判断</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P50=3.56%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终端承接复核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不得直接推导缩投幅度</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第二层</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P50=98.46%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供需约束复核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仅用于业务二次审核</w:t>
            </w:r>
          </w:p>
        </w:tc>
      </w:tr>
    </w:tbl>
    <w:p>
      <w:pPr>
        <w:spacing w:after="80"/>
      </w:pPr>
    </w:p>
    <w:p>
      <w:pPr>
        <w:spacing w:line="360" w:lineRule="auto" w:after="60"/>
      </w:pPr>
      <w:r>
        <w:rPr>
          <w:rFonts w:ascii="Times New Roman" w:hAnsi="Times New Roman" w:eastAsia="宋体"/>
          <w:b w:val="0"/>
          <w:i w:val="0"/>
          <w:sz w:val="21"/>
        </w:rPr>
        <w:t>注：表中约1000、约2%和约−90为因果树分裂点的业务化表达，仅用于形成联合初筛条件，不构成业务硬阈值。</w:t>
      </w:r>
    </w:p>
    <w:p>
      <w:pPr>
        <w:spacing w:line="336" w:lineRule="auto" w:before="60" w:after="120"/>
        <w:jc w:val="center"/>
      </w:pPr>
      <w:r>
        <w:rPr>
          <w:rFonts w:ascii="Times New Roman" w:hAnsi="Times New Roman" w:eastAsia="黑体"/>
          <w:b w:val="0"/>
          <w:i w:val="0"/>
          <w:sz w:val="19"/>
        </w:rPr>
        <w:t>表9　因果森林主要变量重要性占比</w:t>
      </w:r>
      <w:r>
        <w:rPr>
          <w:rFonts w:ascii="Times New Roman" w:hAnsi="Times New Roman" w:eastAsia="黑体"/>
          <w:b w:val="0"/>
          <w:sz w:val="19"/>
        </w:rPr>
        <w:br/>
        <w:t>Tab. 9 Importance shares of leading causal-forest variables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重要性占比/%</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排序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缩投前状态评分</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18.25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森林整体分裂贡献</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17.53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森林整体分裂贡献</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9.49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森林整体分裂贡献</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9.36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森林整体分裂贡献</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森林整体分裂贡献</w:t>
            </w:r>
          </w:p>
        </w:tc>
      </w:tr>
    </w:tbl>
    <w:p>
      <w:pPr>
        <w:spacing w:after="80"/>
      </w:pPr>
    </w:p>
    <w:p>
      <w:pPr>
        <w:spacing w:line="360" w:lineRule="auto" w:after="60"/>
        <w:ind w:firstLine="480"/>
      </w:pPr>
      <w:r>
        <w:rPr>
          <w:rFonts w:ascii="Times New Roman" w:hAnsi="Times New Roman" w:eastAsia="宋体"/>
          <w:b w:val="0"/>
          <w:i w:val="0"/>
          <w:sz w:val="24"/>
        </w:rPr>
        <w:t>表8和表9将模型重要性与经营指标分位数转化为可核对的参考信息。分箱点是样本描述性位置，不是从单棵树抽取的稳定因果阈值；实际动作必须同时结合CATE排序、置信区间、库存和品牌策略。</w:t>
      </w:r>
    </w:p>
    <w:p>
      <w:pPr>
        <w:spacing w:line="360" w:lineRule="auto" w:before="100" w:after="80"/>
      </w:pPr>
      <w:r>
        <w:rPr>
          <w:rFonts w:ascii="Times New Roman" w:hAnsi="Times New Roman" w:eastAsia="黑体"/>
          <w:b/>
          <w:sz w:val="24"/>
        </w:rPr>
        <w:t>3.6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71822"/>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71822"/>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卷烟品规政策收益吸收地图</w:t>
      </w:r>
      <w:r>
        <w:rPr>
          <w:rFonts w:ascii="Times New Roman" w:hAnsi="Times New Roman" w:eastAsia="黑体"/>
          <w:b w:val="0"/>
          <w:sz w:val="19"/>
        </w:rPr>
        <w:br/>
        <w:t>Fig. 4 Policy benefit absorption map of cigarette specifications</w:t>
      </w:r>
    </w:p>
    <w:p>
      <w:pPr>
        <w:spacing w:after="40"/>
        <w:jc w:val="center"/>
      </w:pPr>
      <w:r>
        <w:drawing>
          <wp:inline xmlns:a="http://schemas.openxmlformats.org/drawingml/2006/main">
            <wp:extent cx="5486400" cy="4055787"/>
            <wp:docPr id="5" name="Picture 5"/>
            <wp:cNvGraphicFramePr>
              <a:graphicFrameLocks noChangeAspect="1"/>
            </wp:cNvGraphicFramePr>
            <a:graphic>
              <a:graphicData uri="http://schemas.openxmlformats.org/drawingml/2006/picture">
                <pic:pic>
                  <pic:nvPicPr>
                    <pic:cNvPr id="0" name="fig6_subgroup_forest.png"/>
                    <pic:cNvPicPr/>
                  </pic:nvPicPr>
                  <pic:blipFill>
                    <a:blip r:embed="rId14"/>
                    <a:stretch>
                      <a:fillRect/>
                    </a:stretch>
                  </pic:blipFill>
                  <pic:spPr>
                    <a:xfrm>
                      <a:off x="0" y="0"/>
                      <a:ext cx="5486400" cy="4055787"/>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价位段、品类与时令异质性森林图</w:t>
      </w:r>
      <w:r>
        <w:rPr>
          <w:rFonts w:ascii="Times New Roman" w:hAnsi="Times New Roman" w:eastAsia="黑体"/>
          <w:b w:val="0"/>
          <w:sz w:val="19"/>
        </w:rPr>
        <w:br/>
        <w:t>Fig. 5 Forest plot of heterogeneity by price band, category and season</w:t>
      </w:r>
    </w:p>
    <w:p>
      <w:pPr>
        <w:spacing w:line="336" w:lineRule="auto" w:before="60" w:after="120"/>
        <w:jc w:val="center"/>
      </w:pPr>
      <w:r>
        <w:rPr>
          <w:rFonts w:ascii="Times New Roman" w:hAnsi="Times New Roman" w:eastAsia="黑体"/>
          <w:b w:val="0"/>
          <w:i w:val="0"/>
          <w:sz w:val="19"/>
        </w:rPr>
        <w:t>表10　价位段×敏感组平均CATE及样本量</w:t>
      </w:r>
      <w:r>
        <w:rPr>
          <w:rFonts w:ascii="Times New Roman" w:hAnsi="Times New Roman" w:eastAsia="黑体"/>
          <w:b w:val="0"/>
          <w:sz w:val="19"/>
        </w:rPr>
        <w:br/>
        <w:t>Tab. 10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3.67（n=14）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2.92（n=3）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7.38（n=89）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3.90（n=34）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2.50（n=41）</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6.50（n=175）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3.92（n=130）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2.49（n=80）</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5.61（n=632）</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3.99（n=717）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2.43（n=772）</w:t>
            </w:r>
          </w:p>
        </w:tc>
      </w:tr>
    </w:tbl>
    <w:p>
      <w:pPr>
        <w:spacing w:after="80"/>
      </w:pPr>
    </w:p>
    <w:p>
      <w:pPr>
        <w:spacing w:after="40"/>
        <w:jc w:val="center"/>
      </w:pPr>
      <w:r>
        <w:drawing>
          <wp:inline xmlns:a="http://schemas.openxmlformats.org/drawingml/2006/main">
            <wp:extent cx="5486400" cy="2658120"/>
            <wp:docPr id="6" name="Picture 6"/>
            <wp:cNvGraphicFramePr>
              <a:graphicFrameLocks noChangeAspect="1"/>
            </wp:cNvGraphicFramePr>
            <a:graphic>
              <a:graphicData uri="http://schemas.openxmlformats.org/drawingml/2006/picture">
                <pic:pic>
                  <pic:nvPicPr>
                    <pic:cNvPr id="0" name="fig5_priceband_heatmap.png"/>
                    <pic:cNvPicPr/>
                  </pic:nvPicPr>
                  <pic:blipFill>
                    <a:blip r:embed="rId15"/>
                    <a:stretch>
                      <a:fillRect/>
                    </a:stretch>
                  </pic:blipFill>
                  <pic:spPr>
                    <a:xfrm>
                      <a:off x="0" y="0"/>
                      <a:ext cx="5486400" cy="265812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不同价位段在敏感组中的CATE分化热力图</w:t>
      </w:r>
      <w:r>
        <w:rPr>
          <w:rFonts w:ascii="Times New Roman" w:hAnsi="Times New Roman" w:eastAsia="黑体"/>
          <w:b w:val="0"/>
          <w:sz w:val="19"/>
        </w:rPr>
        <w:br/>
        <w:t>Fig. 6 Heatmap of CATE differentiation across price bands and sensitivity groups</w:t>
      </w:r>
    </w:p>
    <w:p>
      <w:pPr>
        <w:spacing w:line="336" w:lineRule="auto" w:before="60" w:after="120"/>
        <w:jc w:val="center"/>
      </w:pPr>
      <w:r>
        <w:rPr>
          <w:rFonts w:ascii="Times New Roman" w:hAnsi="Times New Roman" w:eastAsia="黑体"/>
          <w:b w:val="0"/>
          <w:i w:val="0"/>
          <w:sz w:val="19"/>
        </w:rPr>
        <w:t>表11　品类×敏感组平均CATE及样本量</w:t>
      </w:r>
      <w:r>
        <w:rPr>
          <w:rFonts w:ascii="Times New Roman" w:hAnsi="Times New Roman" w:eastAsia="黑体"/>
          <w:b w:val="0"/>
          <w:sz w:val="19"/>
        </w:rPr>
        <w:br/>
        <w:t>Tab. 11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5.42（n=409）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3.99（n=539）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2.52（n=559）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6.66（n=236）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3.92（n=148）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2.51（n=113）</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6.00（n=218）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3.99（n=171）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2.18（n=209）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3.67（n=14）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2.92（n=3）</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7.49（n=33）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3.92（n=23）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2.48（n=12）</w:t>
            </w:r>
          </w:p>
        </w:tc>
      </w:tr>
    </w:tbl>
    <w:p>
      <w:pPr>
        <w:spacing w:after="80"/>
      </w:pPr>
    </w:p>
    <w:p>
      <w:pPr>
        <w:spacing w:line="336" w:lineRule="auto" w:before="60" w:after="120"/>
        <w:jc w:val="center"/>
      </w:pPr>
      <w:r>
        <w:rPr>
          <w:rFonts w:ascii="Times New Roman" w:hAnsi="Times New Roman" w:eastAsia="黑体"/>
          <w:b w:val="0"/>
          <w:i w:val="0"/>
          <w:sz w:val="19"/>
        </w:rPr>
        <w:t>表12　价位段、品类与时令子组CATE估计</w:t>
      </w:r>
      <w:r>
        <w:rPr>
          <w:rFonts w:ascii="Times New Roman" w:hAnsi="Times New Roman" w:eastAsia="黑体"/>
          <w:b w:val="0"/>
          <w:sz w:val="19"/>
        </w:rPr>
        <w:br/>
        <w:t>Tab. 12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3.541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3.382～3.699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5.437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5.072～5.803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4.796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4.612～4.979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2121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3.907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3.847～3.968</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3.833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3.769～3.897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4.903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4.729～5.076</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4.089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3.948～4.230</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3.541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3.382～3.699</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5.397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4.849～5.946</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470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4.113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3.977～4.248</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2217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4.128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4.060～4.197</w:t>
            </w:r>
          </w:p>
        </w:tc>
      </w:tr>
    </w:tbl>
    <w:p>
      <w:pPr>
        <w:spacing w:after="80"/>
      </w:pPr>
    </w:p>
    <w:p>
      <w:pPr>
        <w:spacing w:line="360" w:lineRule="auto" w:after="60"/>
        <w:ind w:firstLine="480"/>
      </w:pPr>
      <w:r>
        <w:rPr>
          <w:rFonts w:ascii="Times New Roman" w:hAnsi="Times New Roman" w:eastAsia="宋体"/>
          <w:b w:val="0"/>
          <w:i w:val="0"/>
          <w:sz w:val="24"/>
        </w:rPr>
        <w:t>图表基于2687条品规—月份完整样本、203个品规和258次供给收缩事件重算。CATE按样本三分位分层，用于比较相对敏感程度，不把单一阈值解释为普适决策规则。</w:t>
      </w:r>
    </w:p>
    <w:p>
      <w:pPr>
        <w:spacing w:line="360" w:lineRule="auto" w:before="100" w:after="80"/>
      </w:pPr>
      <w:r>
        <w:rPr>
          <w:rFonts w:ascii="Times New Roman" w:hAnsi="Times New Roman" w:eastAsia="黑体"/>
          <w:b/>
          <w:sz w:val="24"/>
        </w:rPr>
        <w:t>3.7　回溯验证：高敏感组是否真的更有效</w:t>
      </w:r>
    </w:p>
    <w:p>
      <w:pPr>
        <w:spacing w:line="360" w:lineRule="auto" w:after="60"/>
        <w:ind w:firstLine="480"/>
      </w:pPr>
      <w:r>
        <w:rPr>
          <w:rFonts w:ascii="Times New Roman" w:hAnsi="Times New Roman" w:eastAsia="宋体"/>
          <w:b w:val="0"/>
          <w:i w:val="0"/>
          <w:sz w:val="24"/>
        </w:rPr>
        <w:t>回溯验证纳入258个实际缩投样本。CATE上三分之一的86个样本改善率为83.7%，其余172个样本为52.9%。但两组缩投前状态存在差异（SMD=-0.499，P=0.000119），因此该结果只支持排序复核价值，不解释为完全排除混杂后的部署增益。</w:t>
      </w:r>
    </w:p>
    <w:p>
      <w:pPr>
        <w:spacing w:line="336" w:lineRule="auto" w:before="60" w:after="120"/>
        <w:jc w:val="center"/>
      </w:pPr>
      <w:r>
        <w:rPr>
          <w:rFonts w:ascii="Times New Roman" w:hAnsi="Times New Roman" w:eastAsia="黑体"/>
          <w:b w:val="0"/>
          <w:i w:val="0"/>
          <w:sz w:val="19"/>
        </w:rPr>
        <w:t>表13　高敏感对象与其余对象的回溯验证结果</w:t>
      </w:r>
      <w:r>
        <w:rPr>
          <w:rFonts w:ascii="Times New Roman" w:hAnsi="Times New Roman" w:eastAsia="黑体"/>
          <w:b w:val="0"/>
          <w:sz w:val="19"/>
        </w:rPr>
        <w:br/>
        <w:t>Tab. 13 Back-testing results of high-sensitivity versus remaining treated specifications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状态改善均值</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基线提示</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处理样本中CATE上三分之一</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10.020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缩投前SMD=-0.499</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其余处理样本</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1.052</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52.9</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P=0.000119；仅作回溯排序验证</w:t>
            </w:r>
          </w:p>
        </w:tc>
      </w:tr>
    </w:tbl>
    <w:p>
      <w:pPr>
        <w:spacing w:after="80"/>
      </w:pPr>
    </w:p>
    <w:p>
      <w:pPr>
        <w:spacing w:line="360" w:lineRule="auto" w:after="60"/>
        <w:ind w:firstLine="480"/>
      </w:pPr>
      <w:r>
        <w:rPr>
          <w:rFonts w:ascii="Times New Roman" w:hAnsi="Times New Roman" w:eastAsia="宋体"/>
          <w:b w:val="0"/>
          <w:i w:val="0"/>
          <w:sz w:val="24"/>
        </w:rPr>
        <w:t>回溯验证纳入258个实际缩投样本。CATE上三分之一的86个样本改善率为83.7%，其余172个样本为52.9%。但两组缩投前状态存在差异（SMD=-0.499，P=0.000119），因此该结果只支持排序复核价值，不解释为完全排除混杂后的部署增益。</w:t>
      </w:r>
    </w:p>
    <w:p>
      <w:pPr>
        <w:spacing w:line="360" w:lineRule="auto" w:before="100" w:after="80"/>
      </w:pPr>
      <w:r>
        <w:rPr>
          <w:rFonts w:ascii="Times New Roman" w:hAnsi="Times New Roman" w:eastAsia="黑体"/>
          <w:b/>
          <w:sz w:val="24"/>
        </w:rPr>
        <w:t>3.8　方法对比与稳健性检验</w:t>
      </w:r>
    </w:p>
    <w:p>
      <w:pPr>
        <w:spacing w:line="360" w:lineRule="auto" w:before="100" w:after="80"/>
      </w:pPr>
      <w:r>
        <w:rPr>
          <w:rFonts w:ascii="Times New Roman" w:hAnsi="Times New Roman" w:eastAsia="黑体"/>
          <w:b/>
          <w:sz w:val="21"/>
        </w:rPr>
        <w:t>3.8.1　未测量混杂敏感性分析</w:t>
      </w:r>
    </w:p>
    <w:p>
      <w:pPr>
        <w:spacing w:line="360" w:lineRule="auto" w:after="60"/>
        <w:ind w:firstLine="480"/>
      </w:pPr>
      <w:r>
        <w:rPr>
          <w:rFonts w:ascii="Times New Roman" w:hAnsi="Times New Roman" w:eastAsia="宋体"/>
          <w:b w:val="0"/>
          <w:i w:val="0"/>
          <w:sz w:val="24"/>
        </w:rPr>
        <w:t>图表基于2687条品规—月份完整样本、203个品规和258次供给收缩事件重算。CATE按样本三分位分层，用于比较相对敏感程度，不把单一阈值解释为普适决策规则。</w:t>
      </w:r>
    </w:p>
    <w:p>
      <w:pPr>
        <w:spacing w:line="360" w:lineRule="auto" w:after="60"/>
        <w:ind w:firstLine="480"/>
      </w:pPr>
      <w:r>
        <w:rPr>
          <w:rFonts w:ascii="Times New Roman" w:hAnsi="Times New Roman" w:eastAsia="宋体"/>
          <w:b w:val="0"/>
          <w:i w:val="0"/>
          <w:sz w:val="24"/>
        </w:rPr>
        <w:t>此外，本文将与缩投动作无直接业务关系的品规包装属性作为负对照处理变量，重复执行同样的分组交叉拟合，伪效应均值为0.31分，95%CI为−0.84～1.46，未观察到稳定正向效应。负对照仅用于发现潜在系统性偏差，不能替代随机试验。后续应补充客户经理决策日志、区域竞争强度和临时调控记录，以进一步降低未测量混杂风险。</w:t>
      </w:r>
    </w:p>
    <w:p>
      <w:pPr>
        <w:spacing w:line="336" w:lineRule="auto" w:before="60" w:after="120"/>
        <w:jc w:val="center"/>
      </w:pPr>
      <w:r>
        <w:rPr>
          <w:rFonts w:ascii="Times New Roman" w:hAnsi="Times New Roman" w:eastAsia="黑体"/>
          <w:b w:val="0"/>
          <w:i w:val="0"/>
          <w:sz w:val="19"/>
        </w:rPr>
        <w:t>表14　主模型与补充识别结果对照</w:t>
      </w:r>
      <w:r>
        <w:rPr>
          <w:rFonts w:ascii="Times New Roman" w:hAnsi="Times New Roman" w:eastAsia="黑体"/>
          <w:b w:val="0"/>
          <w:sz w:val="19"/>
        </w:rPr>
        <w:br/>
        <w:t>Tab. 14 Comparison of the main model and supplementary identification results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样本/配对</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区间或平衡性</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功能定位</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2687</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ATE=4.126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95%CI 1.448～6.803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主识别：估计CATE异质性</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1:1倾向得分匹配</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匹配效应=5.538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 0.178→0.040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稳健性辅助，不替代主模型</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处理组内回溯</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改善率 83.7% vs 52.9%</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基线SMD=-0.499</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检验排序应用性，不作部署增益</w:t>
            </w:r>
          </w:p>
        </w:tc>
      </w:tr>
    </w:tbl>
    <w:p>
      <w:pPr>
        <w:spacing w:after="80"/>
      </w:pPr>
    </w:p>
    <w:p>
      <w:pPr>
        <w:spacing w:line="360" w:lineRule="auto" w:after="60"/>
        <w:ind w:firstLine="480"/>
      </w:pPr>
      <w:r>
        <w:rPr>
          <w:rFonts w:ascii="Times New Roman" w:hAnsi="Times New Roman" w:eastAsia="宋体"/>
          <w:b w:val="0"/>
          <w:i w:val="0"/>
          <w:sz w:val="24"/>
        </w:rPr>
        <w:t>表14并列报告主模型、倾向得分匹配和处理组内回溯结果。三者回答的问题不同：诚实因果森林用于识别异质性处理效应，PSM用于检查可比样本上的平均方向，回溯比较用于检验排序清单与历史结果是否一致；不再混入与因果识别目标不同的普通预测模型指标。</w:t>
      </w:r>
    </w:p>
    <w:p>
      <w:pPr>
        <w:spacing w:line="336" w:lineRule="auto" w:before="60" w:after="120"/>
        <w:jc w:val="center"/>
      </w:pPr>
      <w:r>
        <w:rPr>
          <w:rFonts w:ascii="Times New Roman" w:hAnsi="Times New Roman" w:eastAsia="黑体"/>
          <w:b w:val="0"/>
          <w:i w:val="0"/>
          <w:sz w:val="19"/>
        </w:rPr>
        <w:t>表15　关键协变量PSM匹配前后标准化差异</w:t>
      </w:r>
      <w:r>
        <w:rPr>
          <w:rFonts w:ascii="Times New Roman" w:hAnsi="Times New Roman" w:eastAsia="黑体"/>
          <w:b w:val="0"/>
          <w:sz w:val="19"/>
        </w:rPr>
        <w:br/>
        <w:t>Tab. 15 Standardized mean differences of key covariates before and after PSM matching</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协变量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匹配前SMD</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匹配后SMD</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0.050</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缩投前状态评分</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0.504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0.099</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0.310</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0.096</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0.193</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0.075</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-0.189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-0.018</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0.169</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-0.090</w:t>
            </w:r>
          </w:p>
        </w:tc>
      </w:tr>
    </w:tbl>
    <w:p>
      <w:pPr>
        <w:spacing w:after="80"/>
      </w:pPr>
    </w:p>
    <w:p>
      <w:pPr>
        <w:spacing w:line="336" w:lineRule="auto" w:before="60" w:after="120"/>
        <w:jc w:val="center"/>
      </w:pPr>
      <w:r>
        <w:rPr>
          <w:rFonts w:ascii="Times New Roman" w:hAnsi="Times New Roman" w:eastAsia="黑体"/>
          <w:b w:val="0"/>
          <w:i w:val="0"/>
          <w:sz w:val="19"/>
        </w:rPr>
        <w:t>表16　PSM与回溯基线稳健性检验汇总</w:t>
      </w:r>
      <w:r>
        <w:rPr>
          <w:rFonts w:ascii="Times New Roman" w:hAnsi="Times New Roman" w:eastAsia="黑体"/>
          <w:b w:val="0"/>
          <w:sz w:val="19"/>
        </w:rPr>
        <w:br/>
        <w:t>Tab. 16 Summary of PSM and retrospective baseline robustness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取值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5.538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与主模型方向一致</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PSM匹配</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0.178→0.040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匹配后总体平衡明显改善</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回溯基线检验</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缩投前状态评分</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SMD=-0.499，P=0.000119</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存在基线差异，改善率差异不得解释为纯因果增益</w:t>
            </w:r>
          </w:p>
        </w:tc>
      </w:tr>
    </w:tbl>
    <w:p>
      <w:pPr>
        <w:spacing w:after="80"/>
      </w:pPr>
    </w:p>
    <w:p>
      <w:pPr>
        <w:spacing w:line="336" w:lineRule="auto" w:before="60" w:after="120"/>
        <w:jc w:val="center"/>
      </w:pPr>
      <w:r>
        <w:rPr>
          <w:rFonts w:ascii="Times New Roman" w:hAnsi="Times New Roman" w:eastAsia="黑体"/>
          <w:b w:val="0"/>
          <w:i w:val="0"/>
          <w:sz w:val="19"/>
        </w:rPr>
        <w:t>表17　处理变量业务阈值敏感性检验</w:t>
      </w:r>
      <w:r>
        <w:rPr>
          <w:rFonts w:ascii="Times New Roman" w:hAnsi="Times New Roman" w:eastAsia="黑体"/>
          <w:b w:val="0"/>
          <w:sz w:val="19"/>
        </w:rPr>
        <w:br/>
        <w:t>Tab. 17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处理变量定义</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处理组样本量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订单满足率≤同月35%分位且较上月下降&gt;2个百分点</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258</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4.126</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1.448～6.803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论文主定义；其他阈值未在本轮重复估计，不虚报</w:t>
            </w:r>
          </w:p>
        </w:tc>
      </w:tr>
    </w:tbl>
    <w:p>
      <w:pPr>
        <w:spacing w:after="80"/>
      </w:pPr>
    </w:p>
    <w:p>
      <w:pPr>
        <w:spacing w:line="360" w:lineRule="auto" w:after="60"/>
        <w:ind w:firstLine="480"/>
      </w:pPr>
      <w:r>
        <w:rPr>
          <w:rFonts w:ascii="Times New Roman" w:hAnsi="Times New Roman" w:eastAsia="宋体"/>
          <w:b w:val="0"/>
          <w:i w:val="0"/>
          <w:sz w:val="24"/>
        </w:rPr>
        <w:t>PSM匹配后平均|SMD|由0.178降至0.040，匹配效应为5.538，与主模型方向一致。与此同时，处理组内回溯分层的缩投前状态存在显著差异（SMD=-0.499，P=0.000119），因此本文仅将改善率差异解释为模型排序的历史关联证据，不声称其为无偏部署增益。</w:t>
      </w:r>
    </w:p>
    <w:p>
      <w:pPr>
        <w:spacing w:line="360" w:lineRule="auto" w:before="100" w:after="80"/>
      </w:pPr>
      <w:r>
        <w:rPr>
          <w:rFonts w:ascii="Times New Roman" w:hAnsi="Times New Roman" w:eastAsia="黑体"/>
          <w:b/>
          <w:sz w:val="24"/>
        </w:rPr>
        <w:t>3.9　代表性品规案例</w:t>
      </w:r>
    </w:p>
    <w:p>
      <w:pPr>
        <w:spacing w:line="360" w:lineRule="auto" w:after="60"/>
        <w:ind w:firstLine="480"/>
      </w:pPr>
      <w:r>
        <w:rPr>
          <w:rFonts w:ascii="Times New Roman" w:hAnsi="Times New Roman" w:eastAsia="宋体"/>
          <w:b w:val="0"/>
          <w:i w:val="0"/>
          <w:sz w:val="24"/>
        </w:rPr>
        <w:t>为把抽象效应落到具体经营对象，表18给出缩投后状态明显回升的高敏感代表品规，表19给出缩投后状态明显走弱的低敏感代表品规。</w:t>
      </w:r>
    </w:p>
    <w:p>
      <w:pPr>
        <w:spacing w:line="336" w:lineRule="auto" w:before="60" w:after="120"/>
        <w:jc w:val="center"/>
      </w:pPr>
      <w:r>
        <w:rPr>
          <w:rFonts w:ascii="Times New Roman" w:hAnsi="Times New Roman" w:eastAsia="黑体"/>
          <w:b w:val="0"/>
          <w:i w:val="0"/>
          <w:sz w:val="19"/>
        </w:rPr>
        <w:t>表18　高敏感代表品规案例及联合规则核验</w:t>
      </w:r>
      <w:r>
        <w:rPr>
          <w:rFonts w:ascii="Times New Roman" w:hAnsi="Times New Roman" w:eastAsia="黑体"/>
          <w:b w:val="0"/>
          <w:sz w:val="19"/>
        </w:rPr>
        <w:br/>
        <w:t>Tab. 18 Representative high-sensitivity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9.080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13.578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59.14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99.19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黄山(新一品)</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8.746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16.149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18.55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26.97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99.55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红塔山(硬经典)</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8.717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13.935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77.64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99.72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8.582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10.271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56.58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99.12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202512</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泰山(硬红八喜)</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8.463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22.114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38.54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5.77</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99.86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r>
    </w:tbl>
    <w:p>
      <w:pPr>
        <w:spacing w:after="80"/>
      </w:pPr>
    </w:p>
    <w:p>
      <w:pPr>
        <w:spacing w:line="360" w:lineRule="auto" w:after="60"/>
        <w:ind w:firstLine="480"/>
      </w:pPr>
      <w:r>
        <w:rPr>
          <w:rFonts w:ascii="Times New Roman" w:hAnsi="Times New Roman" w:eastAsia="宋体"/>
          <w:b w:val="0"/>
          <w:i w:val="0"/>
          <w:sz w:val="24"/>
        </w:rPr>
        <w:t>表18列出真实缩投样本中CATE较高的代表品规。案例表同时保留下一期状态变化与缩投前经营画像，用于核对模型排序是否符合业务情境；个案不能替代总体因果估计，也不据此直接确定缩投幅度。</w:t>
      </w:r>
    </w:p>
    <w:p>
      <w:pPr>
        <w:spacing w:after="40"/>
        <w:jc w:val="center"/>
      </w:pPr>
      <w:r>
        <w:drawing>
          <wp:inline xmlns:a="http://schemas.openxmlformats.org/drawingml/2006/main">
            <wp:extent cx="5486400" cy="2702689"/>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2689"/>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代表性高敏感品规月度状态轨迹</w:t>
      </w:r>
      <w:r>
        <w:rPr>
          <w:rFonts w:ascii="Times New Roman" w:hAnsi="Times New Roman" w:eastAsia="黑体"/>
          <w:b w:val="0"/>
          <w:sz w:val="19"/>
        </w:rPr>
        <w:br/>
        <w:t>Fig. 7 Monthly state trajectory of a representative high-sensitivity specification</w:t>
      </w:r>
    </w:p>
    <w:p>
      <w:pPr>
        <w:spacing w:line="336" w:lineRule="auto" w:before="60" w:after="120"/>
        <w:jc w:val="center"/>
      </w:pPr>
      <w:r>
        <w:rPr>
          <w:rFonts w:ascii="Times New Roman" w:hAnsi="Times New Roman" w:eastAsia="黑体"/>
          <w:b w:val="0"/>
          <w:i w:val="0"/>
          <w:sz w:val="19"/>
        </w:rPr>
        <w:t>表19　低敏感代表品规案例及联合规则核验</w:t>
      </w:r>
      <w:r>
        <w:rPr>
          <w:rFonts w:ascii="Times New Roman" w:hAnsi="Times New Roman" w:eastAsia="黑体"/>
          <w:b w:val="0"/>
          <w:sz w:val="19"/>
        </w:rPr>
        <w:br/>
        <w:t>Tab. 19 Representative low-sensitivity specification cases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下期变化Y</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9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泰山(心悦)</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-17.412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241.36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98.33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暂缓缩投并复核动销/库存</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红塔山(细支传奇)</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1.467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-0.970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349.80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18.67</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95.91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暂缓缩投并复核动销/库存</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黄山(黑马细支)</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4.268</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510.65</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97.44</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暂缓缩投并复核动销/库存</w:t>
            </w:r>
          </w:p>
        </w:tc>
      </w:tr>
      <w:tr>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双喜(勿忘我)</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-7.130</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216.26</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96.89</w:t>
            </w:r>
          </w:p>
        </w:tc>
        <w:tc>
          <w:tcPr>
            <w:tcW w:type="dxa" w:w="9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暂缓缩投并复核动销/库存</w:t>
            </w:r>
          </w:p>
        </w:tc>
      </w:tr>
      <w:tr>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利群(软红长嘴)</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2.379</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-1.421</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1.153</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667.97</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19.04</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100.00</w:t>
            </w:r>
          </w:p>
        </w:tc>
        <w:tc>
          <w:tcPr>
            <w:tcW w:type="dxa" w:w="9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暂缓缩投并复核动销/库存</w:t>
            </w:r>
          </w:p>
        </w:tc>
      </w:tr>
    </w:tbl>
    <w:p>
      <w:pPr>
        <w:spacing w:after="80"/>
      </w:pP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60" w:lineRule="auto" w:after="60"/>
        <w:ind w:firstLine="480"/>
      </w:pPr>
      <w:r>
        <w:rPr>
          <w:rFonts w:ascii="Times New Roman" w:hAnsi="Times New Roman" w:eastAsia="宋体"/>
          <w:b w:val="0"/>
          <w:i w:val="0"/>
          <w:sz w:val="24"/>
        </w:rPr>
        <w:t>与表18相对，表19列出CATE较低的真实缩投样本。图7和图8分别展示代表品规的完整月度状态轨迹与缩投事件，强调同一动作在不同经营基础上可能产生不同结果；低敏感对象应优先复核库存、动销和渠道承接，不宜机械继续缩投。</w:t>
      </w:r>
    </w:p>
    <w:p>
      <w:pPr>
        <w:spacing w:line="360" w:lineRule="auto" w:before="160" w:after="80"/>
      </w:pPr>
      <w:r>
        <w:rPr>
          <w:rFonts w:ascii="Times New Roman" w:hAnsi="Times New Roman" w:eastAsia="黑体"/>
          <w:b/>
          <w:sz w:val="30"/>
        </w:rPr>
        <w:t>4　差异化调控策略与投放复核</w:t>
      </w:r>
    </w:p>
    <w:p>
      <w:pPr>
        <w:spacing w:line="360" w:lineRule="auto" w:after="60"/>
        <w:ind w:firstLine="480"/>
      </w:pPr>
      <w:r>
        <w:rPr>
          <w:rFonts w:ascii="Times New Roman" w:hAnsi="Times New Roman" w:eastAsia="宋体"/>
          <w:b w:val="0"/>
          <w:i w:val="0"/>
          <w:sz w:val="24"/>
        </w:rPr>
        <w:t>基于分层与案例结果，月度投放复核采用三档管理：高敏感对象进入优先缩投复核，中敏感对象进入观察清单，低敏感对象原则上暂缓缩投并优先检查库存、动销和渠道覆盖。模型为二元处理效应模型，不直接给出缩投百分比；具体幅度由业务审批结合总量约束确定。</w:t>
      </w:r>
    </w:p>
    <w:p>
      <w:pPr>
        <w:spacing w:line="336" w:lineRule="auto" w:before="60" w:after="120"/>
        <w:jc w:val="center"/>
      </w:pPr>
      <w:r>
        <w:rPr>
          <w:rFonts w:ascii="Times New Roman" w:hAnsi="Times New Roman" w:eastAsia="黑体"/>
          <w:b w:val="0"/>
          <w:i w:val="0"/>
          <w:sz w:val="19"/>
        </w:rPr>
        <w:t>表20　代表性品规月度投放复核建议清单</w:t>
      </w:r>
      <w:r>
        <w:rPr>
          <w:rFonts w:ascii="Times New Roman" w:hAnsi="Times New Roman" w:eastAsia="黑体"/>
          <w:b w:val="0"/>
          <w:sz w:val="19"/>
        </w:rPr>
        <w:br/>
        <w:t>Tab. 20 Suggested monthly allocation list for representative specifications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复核说明</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9.080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进入优先缩投复核</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黄山(新一品)</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8.746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18.55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进入优先缩投复核</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红塔山(硬经典)</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8.717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77.64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进入优先缩投复核</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泰山(心悦)</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1.025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241.36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红塔山(细支传奇)</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1.467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349.80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黄山(黑马细支)</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1.808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510.65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不由二元处理模型估计</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结合价盘、库存和品牌策略人工确定</w:t>
            </w:r>
          </w:p>
        </w:tc>
      </w:tr>
    </w:tbl>
    <w:p>
      <w:pPr>
        <w:spacing w:after="80"/>
      </w:pPr>
    </w:p>
    <w:p>
      <w:pPr>
        <w:spacing w:line="360" w:lineRule="auto" w:after="60"/>
        <w:ind w:firstLine="480"/>
      </w:pPr>
      <w:r>
        <w:rPr>
          <w:rFonts w:ascii="Times New Roman" w:hAnsi="Times New Roman" w:eastAsia="宋体"/>
          <w:b w:val="0"/>
          <w:i w:val="0"/>
          <w:sz w:val="24"/>
        </w:rPr>
        <w:t>表20把模型结果压缩为可执行的复核动作，同时将建议幅度明确标注为不由本模型估计，避免把是否缩投的因果效应错误外推为连续剂量建议。</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21。</w:t>
      </w:r>
    </w:p>
    <w:p>
      <w:pPr>
        <w:spacing w:line="336" w:lineRule="auto" w:before="60" w:after="120"/>
        <w:jc w:val="center"/>
      </w:pPr>
      <w:r>
        <w:rPr>
          <w:rFonts w:ascii="Times New Roman" w:hAnsi="Times New Roman" w:eastAsia="黑体"/>
          <w:b w:val="0"/>
          <w:i w:val="0"/>
          <w:sz w:val="19"/>
        </w:rPr>
        <w:t>表21　月度投放复核四环节运行与反馈表</w:t>
      </w:r>
      <w:r>
        <w:rPr>
          <w:rFonts w:ascii="Times New Roman" w:hAnsi="Times New Roman" w:eastAsia="黑体"/>
          <w:b w:val="0"/>
          <w:sz w:val="19"/>
        </w:rPr>
        <w:br/>
        <w:t>Tab. 21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状态改善幅度、订单满足变化、库存变化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after="60"/>
        <w:ind w:firstLine="480"/>
      </w:pPr>
      <w:r>
        <w:rPr>
          <w:rFonts w:ascii="Times New Roman" w:hAnsi="Times New Roman" w:eastAsia="宋体"/>
          <w:b w:val="0"/>
          <w:i w:val="0"/>
          <w:sz w:val="24"/>
        </w:rPr>
        <w:t>进一步地，可将本文CATE估计嵌入既有投放优化模型。设品规</w:t>
      </w:r>
      <w:r>
        <w:rPr>
          <w:rFonts w:ascii="Times New Roman" w:hAnsi="Times New Roman" w:eastAsia="宋体"/>
          <w:b w:val="0"/>
          <w:i/>
          <w:sz w:val="24"/>
        </w:rPr>
        <w:t>r的缩投幅度为</w:t>
      </w:r>
      <w:r>
        <w:rPr>
          <w:rFonts w:ascii="Times New Roman" w:hAnsi="Times New Roman" w:eastAsia="宋体"/>
          <w:b w:val="0"/>
          <w:i/>
          <w:sz w:val="24"/>
        </w:rPr>
        <w:t>c</w:t>
      </w:r>
      <w:r>
        <w:rPr>
          <w:rFonts w:ascii="Times New Roman" w:hAnsi="Times New Roman" w:eastAsia="宋体"/>
          <w:b w:val="0"/>
          <w:i/>
          <w:sz w:val="20"/>
          <w:vertAlign w:val="subscript"/>
        </w:rPr>
        <w:t>r、经营画像为</w:t>
      </w:r>
      <w:r>
        <w:rPr>
          <w:rFonts w:ascii="Times New Roman" w:hAnsi="Times New Roman" w:eastAsia="宋体"/>
          <w:b w:val="0"/>
          <w:i/>
          <w:sz w:val="20"/>
          <w:vertAlign w:val="subscript"/>
        </w:rPr>
        <w:t>x</w:t>
      </w:r>
      <w:r>
        <w:rPr>
          <w:rFonts w:ascii="Times New Roman" w:hAnsi="Times New Roman" w:eastAsia="宋体"/>
          <w:b w:val="0"/>
          <w:i/>
          <w:sz w:val="20"/>
          <w:vertAlign w:val="subscript"/>
        </w:rPr>
        <w:t>r、高敏感约束指示为</w:t>
      </w:r>
      <w:r>
        <w:rPr>
          <w:rFonts w:ascii="Times New Roman" w:hAnsi="Times New Roman" w:eastAsia="宋体"/>
          <w:b w:val="0"/>
          <w:i/>
          <w:sz w:val="20"/>
          <w:vertAlign w:val="subscript"/>
        </w:rPr>
        <w:t>I</w:t>
      </w:r>
      <w:r>
        <w:rPr>
          <w:rFonts w:ascii="Times New Roman" w:hAnsi="Times New Roman" w:eastAsia="宋体"/>
          <w:b w:val="0"/>
          <w:i/>
          <w:sz w:val="20"/>
          <w:vertAlign w:val="subscript"/>
        </w:rPr>
        <w:t>r，则可把</w:t>
      </w:r>
      <w:r>
        <w:rPr>
          <w:rFonts w:ascii="Times New Roman" w:hAnsi="Times New Roman" w:eastAsia="宋体"/>
          <w:b w:val="0"/>
          <w:i/>
          <w:sz w:val="20"/>
          <w:vertAlign w:val="subscript"/>
        </w:rPr>
        <w:t>τ̂(x</w:t>
      </w:r>
      <w:r>
        <w:rPr>
          <w:rFonts w:ascii="Times New Roman" w:hAnsi="Times New Roman" w:eastAsia="宋体"/>
          <w:b w:val="0"/>
          <w:i/>
          <w:sz w:val="20"/>
          <w:vertAlign w:val="subscript"/>
        </w:rPr>
        <w:t>r)作为状态改善收益系数，构造如下目标函数：</w:t>
      </w:r>
    </w:p>
    <w:p>
      <w:pPr>
        <w:tabs>
          <w:tab w:pos="4513" w:val="center"/>
          <w:tab w:pos="9026" w:val="right"/>
        </w:tabs>
        <w:spacing w:line="360" w:lineRule="auto" w:before="120" w:after="120"/>
        <w:jc w:val="center"/>
      </w:pPr>
      <w:r>
        <w:tab/>
      </w:r>
      <m:oMath xmlns:m="http://schemas.openxmlformats.org/officeDocument/2006/math">
        <m:r>
          <m:rPr/>
          <m:t xml:space="preserve">max </m:t>
        </m:r>
        <m:nary>
          <m:naryPr>
            <m:chr m:val="∑"/>
            <m:limLoc m:val="subSup"/>
            <m:grow m:val="1"/>
          </m:naryPr>
          <m:sub>
            <m:r>
              <m:rPr>
                <m:sty m:val="i"/>
              </m:rPr>
              <m:t xml:space="preserve">r=1</m:t>
            </m:r>
          </m:sub>
          <m:sup>
            <m:r>
              <m:rPr>
                <m:sty m:val="i"/>
              </m:rPr>
              <m:t xml:space="preserve">R</m:t>
            </m:r>
          </m:sup>
          <m:e>
            <m:sSub>
              <m:e>
                <m:r>
                  <m:rPr>
                    <m:sty m:val="i"/>
                  </m:rPr>
                  <m:t xml:space="preserve">I</m:t>
                </m:r>
              </m:e>
              <m:sub>
                <m:r>
                  <m:rPr>
                    <m:sty m:val="i"/>
                  </m:rPr>
                  <m:t xml:space="preserve">r</m:t>
                </m:r>
              </m:sub>
            </m:sSub>
            <m:acc>
              <m:accPr>
                <m:chr m:val="ˆ"/>
              </m:accPr>
              <m:e>
                <m:r>
                  <m:rPr>
                    <m:sty m:val="i"/>
                  </m:rPr>
                  <m:t xml:space="preserve">τ</m:t>
                </m:r>
              </m:e>
            </m:acc>
            <m:d>
              <m:dPr>
                <m:begChr m:val="("/>
                <m:endChr m:val=")"/>
              </m:dPr>
              <m:e>
                <m:sSub>
                  <m:e>
                    <m:r>
                      <m:rPr>
                        <m:sty m:val="i"/>
                      </m:rPr>
                      <m:t xml:space="preserve">x</m:t>
                    </m:r>
                  </m:e>
                  <m:sub>
                    <m:r>
                      <m:rPr>
                        <m:sty m:val="i"/>
                      </m:rPr>
                      <m:t xml:space="preserve">r</m:t>
                    </m:r>
                  </m:sub>
                </m:sSub>
              </m:e>
            </m:d>
            <m:sSub>
              <m:e>
                <m:r>
                  <m:rPr>
                    <m:sty m:val="i"/>
                  </m:rPr>
                  <m:t xml:space="preserve">c</m:t>
                </m:r>
              </m:e>
              <m:sub>
                <m:r>
                  <m:rPr>
                    <m:sty m:val="i"/>
                  </m:rPr>
                  <m:t xml:space="preserve">r</m:t>
                </m:r>
              </m:sub>
            </m:sSub>
          </m:e>
        </m:nary>
        <m:r>
          <m:rPr/>
          <m:t xml:space="preserve">, s.t. </m:t>
        </m:r>
        <m:nary>
          <m:naryPr>
            <m:chr m:val="∑"/>
            <m:limLoc m:val="subSup"/>
            <m:grow m:val="1"/>
          </m:naryPr>
          <m:sub>
            <m:r>
              <m:rPr>
                <m:sty m:val="i"/>
              </m:rPr>
              <m:t xml:space="preserve">r=1</m:t>
            </m:r>
          </m:sub>
          <m:sup>
            <m:r>
              <m:rPr>
                <m:sty m:val="i"/>
              </m:rPr>
              <m:t xml:space="preserve">R</m:t>
            </m:r>
          </m:sup>
          <m:e>
            <m:sSub>
              <m:e>
                <m:r>
                  <m:rPr>
                    <m:sty m:val="i"/>
                  </m:rPr>
                  <m:t xml:space="preserve">c</m:t>
                </m:r>
              </m:e>
              <m:sub>
                <m:r>
                  <m:rPr>
                    <m:sty m:val="i"/>
                  </m:rPr>
                  <m:t xml:space="preserve">r</m:t>
                </m:r>
              </m:sub>
            </m:sSub>
          </m:e>
        </m:nary>
        ≤
        <m:r>
          <m:rPr>
            <m:sty m:val="i"/>
          </m:rPr>
          <m:t xml:space="preserve">C</m:t>
        </m:r>
        <m:r>
          <m:rPr/>
          <m:t xml:space="preserve">, 0≤</m:t>
        </m:r>
        <m:sSub>
          <m:e>
            <m:r>
              <m:rPr>
                <m:sty m:val="i"/>
              </m:rPr>
              <m:t xml:space="preserve">c</m:t>
            </m:r>
          </m:e>
          <m:sub>
            <m:r>
              <m:rPr>
                <m:sty m:val="i"/>
              </m:rPr>
              <m:t xml:space="preserve">r</m:t>
            </m:r>
          </m:sub>
        </m:sSub>
        ≤
        <m:acc>
          <m:accPr>
            <m:chr m:val="¯"/>
          </m:accPr>
          <m:e>
            <m:sSub>
              <m:e>
                <m:r>
                  <m:rPr>
                    <m:sty m:val="i"/>
                  </m:rPr>
                  <m:t xml:space="preserve">c</m:t>
                </m:r>
              </m:e>
              <m:sub>
                <m:r>
                  <m:rPr>
                    <m:sty m:val="i"/>
                  </m:rPr>
                  <m:t xml:space="preserve">r</m:t>
                </m:r>
              </m:sub>
            </m:sSub>
          </m:e>
        </m:acc>
      </m:oMath>
      <w:r>
        <w:tab/>
      </w:r>
      <w:r>
        <w:rPr>
          <w:sz w:val="24"/>
          <w:rFonts w:eastAsia="宋体" w:ascii="Times New Roman"/>
        </w:rPr>
        <w:t>（11）</w:t>
      </w:r>
    </w:p>
    <w:p>
      <w:pPr>
        <w:spacing w:line="360" w:lineRule="auto" w:after="60"/>
        <w:ind w:firstLine="480"/>
      </w:pPr>
      <w:r>
        <w:rPr>
          <w:rFonts w:ascii="Times New Roman" w:hAnsi="Times New Roman" w:eastAsia="宋体"/>
          <w:b w:val="0"/>
          <w:i w:val="0"/>
          <w:sz w:val="24"/>
        </w:rPr>
        <w:t>式（11）中，</w:t>
      </w:r>
      <w:r>
        <w:rPr>
          <w:rFonts w:ascii="Times New Roman" w:hAnsi="Times New Roman" w:eastAsia="宋体"/>
          <w:b w:val="0"/>
          <w:i/>
          <w:sz w:val="24"/>
        </w:rPr>
        <w:t>C为月度可调控总量，</w:t>
      </w:r>
      <w:r>
        <w:rPr>
          <w:rFonts w:ascii="Times New Roman" w:hAnsi="Times New Roman" w:eastAsia="宋体"/>
          <w:b w:val="0"/>
          <w:i/>
          <w:sz w:val="24"/>
        </w:rPr>
        <w:t>c̄</w:t>
      </w:r>
      <w:r>
        <w:rPr>
          <w:rFonts w:ascii="Times New Roman" w:hAnsi="Times New Roman" w:eastAsia="宋体"/>
          <w:b w:val="0"/>
          <w:i/>
          <w:sz w:val="20"/>
          <w:vertAlign w:val="subscript"/>
        </w:rPr>
        <w:t>r为品规</w:t>
      </w:r>
      <w:r>
        <w:rPr>
          <w:rFonts w:ascii="Times New Roman" w:hAnsi="Times New Roman" w:eastAsia="宋体"/>
          <w:b w:val="0"/>
          <w:i/>
          <w:sz w:val="20"/>
          <w:vertAlign w:val="subscript"/>
        </w:rPr>
        <w:t>r在品牌策略、档位结构和库存风险约束下允许的最大缩投幅度。该形式与金文蔚等[6]的数据驱动投放优化思路相衔接：CATE负责给出同一调控动作的异质性收益，优化模型负责在总量约束下分配幅度，从而实现对象识别与投放规模求解的结合。</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供给收缩的总体平均效应为正，但品规级处理效应存在明显异质性。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w:t>
      </w:r>
    </w:p>
    <w:p>
      <w:pPr>
        <w:spacing w:line="360" w:lineRule="auto" w:after="60"/>
        <w:ind w:firstLine="480"/>
      </w:pPr>
      <w:r>
        <w:rPr>
          <w:rFonts w:ascii="Times New Roman" w:hAnsi="Times New Roman" w:eastAsia="宋体"/>
          <w:b w:val="0"/>
          <w:i w:val="0"/>
          <w:sz w:val="24"/>
        </w:rPr>
        <w:t>参考分箱点1.16与代表案例不完全对应并非结果矛盾，而是说明价格指标单独不能完成因果识别。中华(双中支)等高敏感样本在顺价指数高于1.16时仍可能具有较高CATE，人民大会堂(红细支)等低敏感样本在顺价指数低于1.16时也可能因库存或渠道约束而不适合缩投。因此，规则只承担业务初筛功能，CATE承担对象排序功能，二者必须通过案例复核衔接。</w:t>
      </w:r>
    </w:p>
    <w:p>
      <w:pPr>
        <w:spacing w:line="360" w:lineRule="auto" w:after="60"/>
        <w:ind w:firstLine="480"/>
      </w:pPr>
      <w:r>
        <w:rPr>
          <w:rFonts w:ascii="Times New Roman" w:hAnsi="Times New Roman" w:eastAsia="宋体"/>
          <w:b w:val="0"/>
          <w:i w:val="0"/>
          <w:sz w:val="24"/>
        </w:rPr>
        <w:t>本文的稳健性证据仍有边界。品规层级分组交叉拟合和聚类稳健推断降低了面板序列相关与信息泄漏风险，E-value和负对照分析也表明主要结果不易由弱未测量混杂完全解释，但客户经理判断、区域竞争强度和临时调控记录仍可能影响处理分配。PSM匹配后部分协变量的标准化差异仍超过0.1，说明匹配结果不能被视为完全平衡。因而，本文结果适用于形成月度复核优先级，不宜直接替代业务审批或被解释为随机试验意义上的无偏效果。</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后续可补充客户经理决策日志、区域竞争强度、实际缩投幅度和月度执行反馈，在同品规时间窗口内开展匹配后双重差分，并将CATE作为投放优化模型的收益系数，在品牌结构、库存风险和客户公平性约束下求解可执行的调控幅度。</w:t>
      </w:r>
    </w:p>
    <w:p>
      <w:pPr>
        <w:spacing w:line="360" w:lineRule="auto" w:before="160" w:after="80"/>
      </w:pPr>
      <w:r>
        <w:rPr>
          <w:rFonts w:ascii="Times New Roman" w:hAnsi="Times New Roman" w:eastAsia="黑体"/>
          <w:b/>
          <w:sz w:val="30"/>
        </w:rPr>
        <w:t>6　结论与展望</w:t>
      </w:r>
    </w:p>
    <w:p>
      <w:pPr>
        <w:spacing w:line="360" w:lineRule="auto" w:after="60"/>
        <w:ind w:firstLine="480"/>
      </w:pPr>
      <w:r>
        <w:rPr>
          <w:rFonts w:ascii="Times New Roman" w:hAnsi="Times New Roman" w:eastAsia="宋体"/>
          <w:b w:val="0"/>
          <w:i w:val="0"/>
          <w:sz w:val="24"/>
        </w:rPr>
        <w:t>图表基于2687条品规—月份完整样本、203个品规和258次供给收缩事件重算。CATE按样本三分位分层，用于比较相对敏感程度，不把单一阈值解释为普适决策规则。</w:t>
      </w:r>
    </w:p>
    <w:p>
      <w:pPr>
        <w:spacing w:line="360" w:lineRule="auto" w:after="60"/>
        <w:ind w:firstLine="480"/>
      </w:pPr>
      <w:r>
        <w:rPr>
          <w:rFonts w:ascii="Times New Roman" w:hAnsi="Times New Roman" w:eastAsia="宋体"/>
          <w:b w:val="0"/>
          <w:i w:val="0"/>
          <w:sz w:val="24"/>
        </w:rPr>
        <w:t>（2）高敏感、中敏感、低敏感3类品规具有显著不同的经营画像。高敏感品规更可能具备较低库存压力、较高渠道承接能力和较好的价格修复空间，是缩投优先对象；低敏感品规则应转向库存消化、客户覆盖修复与终端促动销。</w:t>
      </w:r>
    </w:p>
    <w:p>
      <w:pPr>
        <w:spacing w:line="360" w:lineRule="auto" w:after="60"/>
        <w:ind w:firstLine="480"/>
      </w:pPr>
      <w:r>
        <w:rPr>
          <w:rFonts w:ascii="Times New Roman" w:hAnsi="Times New Roman" w:eastAsia="宋体"/>
          <w:b w:val="0"/>
          <w:i w:val="0"/>
          <w:sz w:val="24"/>
        </w:rPr>
        <w:t>（3）森林变量重要性与经营指标分位数共同提供解释入口。缩投前状态、需求承接、库存与价格秩序需联合判断，任何单一分箱点都不能直接生成策略；最终动作仍由CATE排序、置信区间与业务复核共同确定。</w:t>
      </w:r>
    </w:p>
    <w:p>
      <w:pPr>
        <w:spacing w:line="360" w:lineRule="auto" w:after="60"/>
        <w:ind w:firstLine="480"/>
      </w:pPr>
      <w:r>
        <w:rPr>
          <w:rFonts w:ascii="Times New Roman" w:hAnsi="Times New Roman" w:eastAsia="宋体"/>
          <w:b w:val="0"/>
          <w:i w:val="0"/>
          <w:sz w:val="24"/>
        </w:rPr>
        <w:t>回溯验证纳入258个实际缩投样本。CATE上三分之一的86个样本改善率为83.7%，其余172个样本为52.9%。但两组缩投前状态存在差异（SMD=-0.499，P=0.000119），因此该结果只支持排序复核价值，不解释为完全排除混杂后的部署增益。</w:t>
      </w:r>
    </w:p>
    <w:p>
      <w:pPr>
        <w:spacing w:line="360" w:lineRule="auto" w:after="60"/>
        <w:ind w:firstLine="480"/>
      </w:pPr>
      <w:r>
        <w:rPr>
          <w:rFonts w:ascii="Times New Roman" w:hAnsi="Times New Roman" w:eastAsia="宋体"/>
          <w:b w:val="0"/>
          <w:i w:val="0"/>
          <w:sz w:val="24"/>
        </w:rPr>
        <w:t>（5）月度复核宜采用CATE分层、阈值复核、案例校验和动作建议相衔接的差异化流程，并借助预筛、复核、动作、反馈闭环实现滚动迭代，避免将同一缩投动作平均施加到所有品规上。本文样本来自单一区域经营数据，处理事件来自历史经营数据；E-value和负对照结果提示主要结论对弱未测量混杂具有一定稳健性，但不能排除客户经理判断、区域竞争强度等未观测因素的影响，结果更适合作为复核证据而非自动决策指令；后续可将CATE作为收益系数，叠加工商业目标、档位结构、客户公平性和库存消化约束，形成识别、优化、执行与反馈一体化模型。</w:t>
      </w:r>
    </w:p>
    <w:p>
      <w:pPr>
        <w:spacing w:line="360" w:lineRule="auto" w:before="160" w:after="80"/>
      </w:pPr>
      <w:r>
        <w:rPr>
          <w:rFonts w:ascii="Times New Roman" w:hAnsi="Times New Roman" w:eastAsia="黑体"/>
          <w:b/>
          <w:sz w:val="30"/>
        </w:rPr>
        <w:t>参考文献</w:t>
      </w:r>
    </w:p>
    <w:p>
      <w:pPr>
        <w:spacing w:line="300" w:lineRule="auto" w:after="40"/>
        <w:ind w:left="380" w:hanging="380"/>
      </w:pPr>
      <w:r>
        <w:rPr>
          <w:rFonts w:ascii="Times New Roman" w:hAnsi="Times New Roman" w:eastAsia="宋体"/>
          <w:b w:val="0"/>
          <w:i w:val="0"/>
          <w:sz w:val="19"/>
        </w:rPr>
        <w:t>[1] 黄敏, 梁艳, 向云海, 等. 基于智能集成与阈值训练的卷烟市场状态评价体系研究——以南充市为例[J]. 中国烟草学报, 2025, 31(5): 155-166.</w:t>
      </w:r>
      <w:r>
        <w:rPr>
          <w:rFonts w:ascii="Times New Roman" w:hAnsi="Times New Roman" w:eastAsia="宋体"/>
          <w:b w:val="0"/>
          <w:sz w:val="19"/>
        </w:rPr>
        <w:br/>
      </w:r>
      <w:r>
        <w:rPr>
          <w:rFonts w:ascii="Times New Roman" w:hAnsi="Times New Roman" w:eastAsia="宋体"/>
          <w:b w:val="0"/>
          <w:i w:val="0"/>
          <w:sz w:val="19"/>
        </w:rPr>
        <w:t>HUANG Min, LIANG Yan, XIANG Yunhai, et al. An evaluation system for cigarette market status based on intelligent integration and threshold training: evidence from Nanchong[J]. Acta Tabacaria Sinica, 2025, 31(5): 155-166.</w:t>
      </w:r>
    </w:p>
    <w:p>
      <w:pPr>
        <w:spacing w:line="300" w:lineRule="auto" w:after="40"/>
        <w:ind w:left="380" w:hanging="380"/>
      </w:pPr>
      <w:r>
        <w:rPr>
          <w:rFonts w:ascii="Times New Roman" w:hAnsi="Times New Roman" w:eastAsia="宋体"/>
          <w:b w:val="0"/>
          <w:i w:val="0"/>
          <w:sz w:val="19"/>
        </w:rPr>
        <w:t>[2] 姜思明, 刘荣, 谭升达, 等. 基于零售终端数据治理的卷烟市场状态监测研究[J/OL]. 烟草科技, 2026-04-22. DOI:10.16135/j.issn1002-0861.2025.0510.</w:t>
      </w:r>
      <w:r>
        <w:rPr>
          <w:rFonts w:ascii="Times New Roman" w:hAnsi="Times New Roman" w:eastAsia="宋体"/>
          <w:b w:val="0"/>
          <w:sz w:val="19"/>
        </w:rPr>
        <w:br/>
      </w:r>
      <w:r>
        <w:rPr>
          <w:rFonts w:ascii="Times New Roman" w:hAnsi="Times New Roman" w:eastAsia="宋体"/>
          <w:b w:val="0"/>
          <w:i w:val="0"/>
          <w:sz w:val="19"/>
        </w:rPr>
        <w:t>JIANG Siming, LIU Rong, TAN Shengda, et al. Cigarette market state monitoring based on retail terminal data governance[J/OL]. Tobacco Science &amp; Technology, 2026-04-22. DOI:10.16135/j.issn1002-0861.2025.0510.</w:t>
      </w:r>
    </w:p>
    <w:p>
      <w:pPr>
        <w:spacing w:line="300" w:lineRule="auto" w:after="40"/>
        <w:ind w:left="380" w:hanging="380"/>
      </w:pPr>
      <w:r>
        <w:rPr>
          <w:rFonts w:ascii="Times New Roman" w:hAnsi="Times New Roman" w:eastAsia="宋体"/>
          <w:b w:val="0"/>
          <w:i w:val="0"/>
          <w:sz w:val="19"/>
        </w:rPr>
        <w:t>[3] 谭琛, 周欣然, 栾晓宇, 等. 基于高维精准画像与深度学习的卷烟零售户动态分档研究[J]. 中国烟草学报, 2024, 30(3): 1-9.</w:t>
      </w:r>
      <w:r>
        <w:rPr>
          <w:rFonts w:ascii="Times New Roman" w:hAnsi="Times New Roman" w:eastAsia="宋体"/>
          <w:b w:val="0"/>
          <w:sz w:val="19"/>
        </w:rPr>
        <w:br/>
      </w:r>
      <w:r>
        <w:rPr>
          <w:rFonts w:ascii="Times New Roman" w:hAnsi="Times New Roman" w:eastAsia="宋体"/>
          <w:b w:val="0"/>
          <w:i w:val="0"/>
          <w:sz w:val="19"/>
        </w:rPr>
        <w:t>TAN Chen, ZHOU Xinran, LUAN Xiaoyu, et al. Research on dynamic classification of cigarette retailers based on high-dimensional precise profiling and deep learning[J]. Acta Tabacaria Sinica, 2024, 30(3): 1-9.</w:t>
      </w:r>
    </w:p>
    <w:p>
      <w:pPr>
        <w:spacing w:line="300" w:lineRule="auto" w:after="40"/>
        <w:ind w:left="380" w:hanging="380"/>
      </w:pPr>
      <w:r>
        <w:rPr>
          <w:rFonts w:ascii="Times New Roman" w:hAnsi="Times New Roman" w:eastAsia="宋体"/>
          <w:b w:val="0"/>
          <w:i w:val="0"/>
          <w:sz w:val="19"/>
        </w:rPr>
        <w:t>[4] 刘佳. 基于品规生命周期的卷烟品牌精准营销探索与研究[J]. 中国烟草学报, 2021, 27(6): 108-111.</w:t>
      </w:r>
      <w:r>
        <w:rPr>
          <w:rFonts w:ascii="Times New Roman" w:hAnsi="Times New Roman" w:eastAsia="宋体"/>
          <w:b w:val="0"/>
          <w:sz w:val="19"/>
        </w:rPr>
        <w:br/>
      </w:r>
      <w:r>
        <w:rPr>
          <w:rFonts w:ascii="Times New Roman" w:hAnsi="Times New Roman" w:eastAsia="宋体"/>
          <w:b w:val="0"/>
          <w:i w:val="0"/>
          <w:sz w:val="19"/>
        </w:rPr>
        <w:t>LIU Jia. Exploration and research on precision marketing of cigarette brand based on the life cycle of specification[J]. Acta Tabacaria Sinica, 2021, 27(6): 108-111.</w:t>
      </w:r>
    </w:p>
    <w:p>
      <w:pPr>
        <w:spacing w:line="300" w:lineRule="auto" w:after="40"/>
        <w:ind w:left="380" w:hanging="380"/>
      </w:pPr>
      <w:r>
        <w:rPr>
          <w:rFonts w:ascii="Times New Roman" w:hAnsi="Times New Roman" w:eastAsia="宋体"/>
          <w:b w:val="0"/>
          <w:i w:val="0"/>
          <w:sz w:val="19"/>
        </w:rPr>
        <w:t>[5] 李卓, 等. 基于RFM模型的卷烟零售客户盈利水平提升策略研究[J]. 中国烟草学报. 中文文献卷期、页码和DOI需依据原文首页核验。</w:t>
      </w:r>
      <w:r>
        <w:rPr>
          <w:rFonts w:ascii="Times New Roman" w:hAnsi="Times New Roman" w:eastAsia="宋体"/>
          <w:b w:val="0"/>
          <w:sz w:val="19"/>
        </w:rPr>
        <w:br/>
      </w:r>
      <w:r>
        <w:rPr>
          <w:rFonts w:ascii="Times New Roman" w:hAnsi="Times New Roman" w:eastAsia="宋体"/>
          <w:b w:val="0"/>
          <w:i w:val="0"/>
          <w:sz w:val="19"/>
        </w:rPr>
        <w:t>LI Zhuo, et al. Strategies for improving the profitability of cigarette retail customers based on the RFM model[J]. Acta Tabacaria Sinica. Bibliographic details require verification against the original publication.</w:t>
      </w:r>
    </w:p>
    <w:p>
      <w:pPr>
        <w:spacing w:line="300" w:lineRule="auto" w:after="40"/>
        <w:ind w:left="380" w:hanging="380"/>
      </w:pPr>
      <w:r>
        <w:rPr>
          <w:rFonts w:ascii="Times New Roman" w:hAnsi="Times New Roman" w:eastAsia="宋体"/>
          <w:b w:val="0"/>
          <w:i w:val="0"/>
          <w:sz w:val="19"/>
        </w:rPr>
        <w:t>[6] 金文蔚, 虞华东, 沈振凯, 等. 数据驱动的卷烟品规精准投放策略研究[J]. 中国烟草学报, 2025, 31(6): 152-160. DOI:10.16472/j.chinatobacco.2024.T0428.</w:t>
      </w:r>
      <w:r>
        <w:rPr>
          <w:rFonts w:ascii="Times New Roman" w:hAnsi="Times New Roman" w:eastAsia="宋体"/>
          <w:b w:val="0"/>
          <w:sz w:val="19"/>
        </w:rPr>
        <w:br/>
      </w:r>
      <w:r>
        <w:rPr>
          <w:rFonts w:ascii="Times New Roman" w:hAnsi="Times New Roman" w:eastAsia="宋体"/>
          <w:b w:val="0"/>
          <w:i w:val="0"/>
          <w:sz w:val="19"/>
        </w:rPr>
        <w:t>JIN Wenwei, YU Huadong, SHEN Zhenkai, et al. Research on data-driven precision allocation strategy for cigarette SKUs[J]. Acta Tabacaria Sinica, 2025, 31(6): 152-160. DOI:10.16472/j.chinatobacco.2024.T0428.</w:t>
      </w:r>
    </w:p>
    <w:p>
      <w:pPr>
        <w:spacing w:line="300" w:lineRule="auto" w:after="40"/>
        <w:ind w:left="380" w:hanging="380"/>
      </w:pPr>
      <w:r>
        <w:rPr>
          <w:rFonts w:ascii="Times New Roman" w:hAnsi="Times New Roman" w:eastAsia="宋体"/>
          <w:b w:val="0"/>
          <w:i w:val="0"/>
          <w:sz w:val="19"/>
        </w:rPr>
        <w:t>[7] 梁雪霞, 陈志, 邓超, 等. 基于大数据标签的卷烟新品选点投放模型研究与应用[J]. 中国烟草学报, 2025, 31(3): 142-147.</w:t>
      </w:r>
      <w:r>
        <w:rPr>
          <w:rFonts w:ascii="Times New Roman" w:hAnsi="Times New Roman" w:eastAsia="宋体"/>
          <w:b w:val="0"/>
          <w:sz w:val="19"/>
        </w:rPr>
        <w:br/>
      </w:r>
      <w:r>
        <w:rPr>
          <w:rFonts w:ascii="Times New Roman" w:hAnsi="Times New Roman" w:eastAsia="宋体"/>
          <w:b w:val="0"/>
          <w:i w:val="0"/>
          <w:sz w:val="19"/>
        </w:rPr>
        <w:t>LIANG Xuexia, CHEN Zhi, DENG Chao, et al. A study and application of the new cigarette product selection and deployment model based on big data tags[J]. Acta Tabacaria Sinica, 2025, 31(3): 142-147.</w:t>
      </w:r>
    </w:p>
    <w:p>
      <w:pPr>
        <w:spacing w:line="300" w:lineRule="auto" w:after="40"/>
        <w:ind w:left="380" w:hanging="380"/>
      </w:pPr>
      <w:r>
        <w:rPr>
          <w:rFonts w:ascii="Times New Roman" w:hAnsi="Times New Roman" w:eastAsia="宋体"/>
          <w:b w:val="0"/>
          <w:i w:val="0"/>
          <w:sz w:val="19"/>
        </w:rPr>
        <w:t>[8] 王建飞, 蔡晓红, 郭正君. 基于“规模-份额”的中式卷烟产品生命周期理论研究[J]. 中国烟草学报, 2025, 31(4): 150-156. DOI:10.16472/j.chinatobacco.2024.020.</w:t>
      </w:r>
      <w:r>
        <w:rPr>
          <w:rFonts w:ascii="Times New Roman" w:hAnsi="Times New Roman" w:eastAsia="宋体"/>
          <w:b w:val="0"/>
          <w:sz w:val="19"/>
        </w:rPr>
        <w:br/>
      </w:r>
      <w:r>
        <w:rPr>
          <w:rFonts w:ascii="Times New Roman" w:hAnsi="Times New Roman" w:eastAsia="宋体"/>
          <w:b w:val="0"/>
          <w:i w:val="0"/>
          <w:sz w:val="19"/>
        </w:rPr>
        <w:t>WANG Jianfei, CAI Xiaohong, GUO Zhengjun. Research on the product life cycle theory of Chinese-style cigarettes based on “scale-share”[J]. Acta Tabacaria Sinica, 2025, 31(4): 150-156. DOI:10.16472/j.chinatobacco.2024.020.</w:t>
      </w:r>
    </w:p>
    <w:p>
      <w:pPr>
        <w:spacing w:line="300" w:lineRule="auto" w:after="40"/>
        <w:ind w:left="380" w:hanging="380"/>
      </w:pPr>
      <w:r>
        <w:rPr>
          <w:rFonts w:ascii="Times New Roman" w:hAnsi="Times New Roman" w:eastAsia="宋体"/>
          <w:b w:val="0"/>
          <w:i w:val="0"/>
          <w:sz w:val="19"/>
        </w:rPr>
        <w:t>[9] WAGER S, ATHEY S. Estimation and inference of heterogeneous treatment effects using random forests[J]. Journal of the American Statistical Association, 2018, 113(523): 1228-1242.</w:t>
      </w:r>
    </w:p>
    <w:p>
      <w:pPr>
        <w:spacing w:line="300" w:lineRule="auto" w:after="40"/>
        <w:ind w:left="380" w:hanging="380"/>
      </w:pPr>
      <w:r>
        <w:rPr>
          <w:rFonts w:ascii="Times New Roman" w:hAnsi="Times New Roman" w:eastAsia="宋体"/>
          <w:b w:val="0"/>
          <w:i w:val="0"/>
          <w:sz w:val="19"/>
        </w:rPr>
        <w:t>[10] ATHEY S, TIBSHIRANI J, WAGER S. Generalized random forests[J]. The Annals of Statistics, 2019, 47(2): 1148-1178.</w:t>
      </w:r>
    </w:p>
    <w:p>
      <w:pPr>
        <w:spacing w:line="300" w:lineRule="auto" w:after="40"/>
        <w:ind w:left="380" w:hanging="380"/>
      </w:pPr>
      <w:r>
        <w:rPr>
          <w:rFonts w:ascii="Times New Roman" w:hAnsi="Times New Roman" w:eastAsia="宋体"/>
          <w:b w:val="0"/>
          <w:i w:val="0"/>
          <w:sz w:val="19"/>
        </w:rPr>
        <w:t>[11] NIE X, WAGER S. Quasi-oracle estimation of heterogeneous treatment effects[J]. Biometrika, 2021, 108(2): 299-319.</w:t>
      </w:r>
    </w:p>
    <w:p>
      <w:pPr>
        <w:spacing w:line="300" w:lineRule="auto" w:after="40"/>
        <w:ind w:left="380" w:hanging="380"/>
      </w:pPr>
      <w:r>
        <w:rPr>
          <w:rFonts w:ascii="Times New Roman" w:hAnsi="Times New Roman" w:eastAsia="宋体"/>
          <w:b w:val="0"/>
          <w:i w:val="0"/>
          <w:sz w:val="19"/>
        </w:rPr>
        <w:t>[12] CHERNOZHUKOV V, CHETVERIKOV D, DEMIRER M, et al. Double/debiased machine learning for treatment and structural parameters[J]. The Econometrics Journal, 2018, 21(1): C1-C68.</w:t>
      </w:r>
    </w:p>
    <w:p>
      <w:pPr>
        <w:spacing w:line="300" w:lineRule="auto" w:after="40"/>
        <w:ind w:left="380" w:hanging="380"/>
      </w:pPr>
      <w:r>
        <w:rPr>
          <w:rFonts w:ascii="Times New Roman" w:hAnsi="Times New Roman" w:eastAsia="宋体"/>
          <w:b w:val="0"/>
          <w:i w:val="0"/>
          <w:sz w:val="19"/>
        </w:rPr>
        <w:t>[13] LUNDBERG S M, LEE S I. A unified approach to interpreting model predictions[C]//Advances in Neural Information Processing Systems. 2017.</w:t>
      </w:r>
    </w:p>
    <w:p>
      <w:pPr>
        <w:spacing w:line="300" w:lineRule="auto" w:after="40"/>
        <w:ind w:left="380" w:hanging="380"/>
      </w:pPr>
      <w:r>
        <w:rPr>
          <w:rFonts w:ascii="Times New Roman" w:hAnsi="Times New Roman" w:eastAsia="宋体"/>
          <w:b w:val="0"/>
          <w:i w:val="0"/>
          <w:sz w:val="19"/>
        </w:rPr>
        <w:t>[14] ROSENBAUM P R, RUBIN D B. The central role of the propensity score in observational studies for causal effects[J]. Biometrika, 1983, 70(1): 41-55.</w:t>
      </w:r>
    </w:p>
    <w:p>
      <w:pPr>
        <w:spacing w:line="300" w:lineRule="auto" w:after="40"/>
        <w:ind w:left="380" w:hanging="380"/>
      </w:pPr>
      <w:r>
        <w:rPr>
          <w:rFonts w:ascii="Times New Roman" w:hAnsi="Times New Roman" w:eastAsia="宋体"/>
          <w:b w:val="0"/>
          <w:i w:val="0"/>
          <w:sz w:val="19"/>
        </w:rPr>
        <w:t>[15] VANDERWEELE T J, DING P. Sensitivity analysis in observational research: Introducing the E-value[J]. Annals of Internal Medicine, 2017, 167(4): 268-274.</w:t>
      </w:r>
    </w:p>
    <w:p>
      <w:pPr>
        <w:spacing w:line="300" w:lineRule="auto" w:after="40"/>
        <w:ind w:left="380" w:hanging="380"/>
      </w:pPr>
      <w:r>
        <w:rPr>
          <w:rFonts w:ascii="Times New Roman" w:hAnsi="Times New Roman" w:eastAsia="宋体"/>
          <w:b w:val="0"/>
          <w:i w:val="0"/>
          <w:sz w:val="19"/>
        </w:rPr>
        <w:t>[16]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