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智烤管家：优秀发布稿逐篇学习与冠军表达建议</w:t>
      </w:r>
    </w:p>
    <w:p>
      <w:pPr>
        <w:jc w:val="center"/>
      </w:pPr>
      <w:r>
        <w:rPr>
          <w:rFonts w:ascii="仿宋_GB2312" w:hAnsi="仿宋_GB2312" w:eastAsia="仿宋_GB2312"/>
          <w:b w:val="0"/>
          <w:sz w:val="18"/>
        </w:rPr>
        <w:t>学习范围：ck10fabu / 读取资料 / 1学习优秀的（共12份文本，逐篇对照）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学习声明：这12份材料按文件内容逐篇学习；仓库未提供完整获奖排名，因此不将任何文件擅自标注为一等奖或冠军作品。原始文本中存在语音转写误字，本报告只提炼可核实的结构与表达方法。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一、12份材料逐篇吸收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1.txt｜十堰智慧对标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亮点：三痛点后给出洞察—诊断—施策；用数字变化交代技术价值。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智烤管家可用：学习从“问题—分析—动作—结果”的层层推进；两模后立即说它指向哪一张维修/选址清单。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不照搬：避免照搬“前瞻雷达、智慧导航”等密集比喻。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2.txt｜武汉网络涉烟情报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亮点：一条具体线索贯穿七步工作法，最后回归成案实效。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智烤管家可用：让烤房申请或故障工单贯穿智用—智管—数据回库。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不照搬：不使用尚未核实的“自动匹配成功”等绝对化表述。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3.txt｜荆州供需调控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亮点：专业算法后用一个具体品规示范结果。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智烤管家可用：模型术语只讲计算目的：健康分判先修谁、Q/D判真缺口、TOPSIS判候选点。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不照搬：不引入与项目无关的AI最优求解宣传。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4.txt｜黄冈大户监管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亮点：前置视频提出难点；数据治理—识别模型—预警—业务应用。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智烤管家可用：用“一模旧房体检、二模新建谋划”突出技术逻辑。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不照搬：不宣称未经验证的命中率和自学习能力。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5.txt｜宜昌物流寄递情报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亮点：直接使用“采数—析数—用数”，讲解从移动端采集到大屏和案件。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智烤管家可用：最可借鉴的整条数据线索：扫编码采数、双模析数、三智用数、回写复算。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不照搬：避免将技术流程割裂成罗列名词。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6.txt｜武汉智慧食堂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亮点：从日常困扰切入，用使用者可感知的前后变化说明创新。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智烤管家可用：借鉴“一边空着一边排队”的生活画面和“一键报修”的体验。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不照搬：控制轻松口吻，避免与烟农生产风险不相称。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7.txt｜武汉滞销品规侦探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亮点：通过一处反常数据引出问题，带着线索开展建模。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智烤管家可用：先指出闲置与短缺并存的反常，再用一库两模解释为何、怎么解。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不照搬：不用虚构客户/烤房的具体效果。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15.txt｜宜昌烟叶收购预警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亮点：烟叶专业问题转译成可理解的任务、案例与处理建议。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智烤管家可用：以“烟叶等不起”说明时间敏感性，以风险部位排序说明可执行。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不照搬：避免泛泛讲“全域智能化”。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19.txt｜宜昌财务监管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亮点：把跨期合同、逐笔台账的负担说具体，然后给出效率对比。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智烤管家可用：采数处突出“旧表导入+编码关联+现场只核补”，表现基层减负。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不照搬：不编造录入耗时节省比例。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30.txt｜宜昌雪茄圈层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亮点：开场三个问题，技术实施分别回答，结尾再回扣三问。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智烤管家可用：严格使用“先亮三题、逐个解释、结尾三答”的舞台结构。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不照搬：不照搬消费营销的产品化口号。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9月9日我的.txt｜本项目早期构想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亮点：真实烤房调剂、雷击抢修、模型权重与沙盘方向的原始素材。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智烤管家可用：作为事实校核的补充线索，重点保留先存量、后增量的逻辑。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不照搬：存在210与340预警对象、响应口径等差异，待核不能直接用。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yus07.txt｜雪茄三端数字运营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亮点：三个主体“三个没数”对三端业务，最后形成互动回流。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智烤管家可用：学习“谁需要、用什么、反馈到哪里”的结构；转换为烟农、行业、合作社三视角。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不照搬：不照搬NFC、会员运营等无关功能。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二、最值得保留的5个舞台技法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rPr>
                <w:rFonts w:ascii="黑体" w:hAnsi="黑体" w:eastAsia="黑体"/>
                <w:b/>
                <w:sz w:val="18"/>
              </w:rPr>
              <w:t>技法</w:t>
            </w:r>
          </w:p>
        </w:tc>
        <w:tc>
          <w:tcPr>
            <w:tcW w:type="dxa" w:w="3211"/>
          </w:tcPr>
          <w:p>
            <w:r>
              <w:rPr>
                <w:rFonts w:ascii="黑体" w:hAnsi="黑体" w:eastAsia="黑体"/>
                <w:b/>
                <w:sz w:val="18"/>
              </w:rPr>
              <w:t>学习来源</w:t>
            </w:r>
          </w:p>
        </w:tc>
        <w:tc>
          <w:tcPr>
            <w:tcW w:type="dxa" w:w="3211"/>
          </w:tcPr>
          <w:p>
            <w:r>
              <w:rPr>
                <w:rFonts w:ascii="黑体" w:hAnsi="黑体" w:eastAsia="黑体"/>
                <w:b/>
                <w:sz w:val="18"/>
              </w:rPr>
              <w:t>在新版讲稿中如何体现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先抛问题、再给场景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30.txt、6.txt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先直说调不动、修不快、投不准；再让评委看到三方困境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让数据链形成因果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5.txt、1.txt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一库不是目标，是给两模供数；模型不是终点，是给三智作依据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一个步骤只回答一个问题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3.txt、15.txt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AHP回答“怎么算轻重”，威布尔回答“还能用多久”，TOPSIS回答“候选点怎么排”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用一个操作呈现产品价值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2.txt、19.txt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扫码关联、申请调剂、在线报修、地图沙盘、验收回写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首尾照应与可验证成效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30.txt、7.txt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结尾逐一回扣三题，数字区分全季调剂/报修与平台工单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三、面向信息中心主任评委：怎样展示“冠军相”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不把名词堆成亮点，而是让评委同时看见技术、业务与机制：技术上有编码关联与两模联动；业务上有调剂、精准维修和沙盘选址；机制上有派单验收、数据回写、专业队伍与管护基金。三层相扣，才是既能演示又能推广的作品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三个最该现场强调的瞬间：①“扫一下，18个关键部位的基础档案调出来”；②“风险烤房、TOP3风险部位和维修顺序同时给出”；③“新增2栋或3栋，地图沙盘对比供需变化”。确保PPT恰好展示对应操作，不要先说结论却没有画面佐证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四、对竞争性作品的比较，不是“比口号响”，而是“比闭环实”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营销类项目常通过供需错配、精准投放和业务回收形成闭环。本项目可用烟基设施的全生命周期视角形成差异：从统一编码建档、部件风险诊断、村级资源布局到服务评价回写，覆盖“物（烤房）—人（烟农/队伍）—钱（修建资金）”三个维度。表述“已有试点”“辅助决策”“待复制推广”应各有边界。</w:t>
      </w:r>
    </w:p>
    <w:sectPr w:rsidR="00FC693F" w:rsidRPr="0006063C" w:rsidSect="00034616">
      <w:pgSz w:w="12240" w:h="15840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