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智烤管家：全部修改意见归并与取舍</w:t>
      </w:r>
    </w:p>
    <w:p>
      <w:pPr>
        <w:jc w:val="center"/>
      </w:pPr>
      <w:r>
        <w:rPr>
          <w:rFonts w:ascii="仿宋_GB2312" w:hAnsi="仿宋_GB2312" w:eastAsia="仿宋_GB2312"/>
          <w:b w:val="0"/>
          <w:sz w:val="18"/>
        </w:rPr>
        <w:t>对照：思维导图、10.20底稿、董/陈/轴、9.30旧稿、1022修改建议与2026大赛要求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一、统一写作原则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• 结构固定：30秒先导视频→三题先说→三个场景解释→123工作法（采数—析数—用数）→一库→两模→三智→成效与三题回扣。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• 双模必须保留专业可信度：第一模“取数—计算—输出”（AHP、威布尔、健康分、风险部位TOP3）；第二模“数—需—评—推”（Q/D、AHP+熵权、TOPSIS、地图沙盘），口播仅交代输入—方法—输出。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• 三智占更多时间：智用讲烟农一次找房与报修；智投讲维修和建房两种资金抉择；智管讲一张工单如何闭环以及四队/基金如何保障。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• 语言既通俗又专业：专业术语不省略，但紧跟一句“它解决了什么问题”；不采用“绝对最优”“完全解决”等缺乏验证依据的语句。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• 只由一位主讲，无A/B问答、无合说；保留原始稿的黑体居中标题、仿宋连续口播段落、无报告式小标题。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二、各来源核心意见与处理结果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>
              <w:rPr>
                <w:rFonts w:ascii="黑体" w:hAnsi="黑体" w:eastAsia="黑体"/>
                <w:b/>
                <w:sz w:val="18"/>
              </w:rPr>
              <w:t>材料来源</w:t>
            </w:r>
          </w:p>
        </w:tc>
        <w:tc>
          <w:tcPr>
            <w:tcW w:type="dxa" w:w="3211"/>
          </w:tcPr>
          <w:p>
            <w:r>
              <w:rPr>
                <w:rFonts w:ascii="黑体" w:hAnsi="黑体" w:eastAsia="黑体"/>
                <w:b/>
                <w:sz w:val="18"/>
              </w:rPr>
              <w:t>必须吸收的意见</w:t>
            </w:r>
          </w:p>
        </w:tc>
        <w:tc>
          <w:tcPr>
            <w:tcW w:type="dxa" w:w="3211"/>
          </w:tcPr>
          <w:p>
            <w:r>
              <w:rPr>
                <w:rFonts w:ascii="黑体" w:hAnsi="黑体" w:eastAsia="黑体"/>
                <w:b/>
                <w:sz w:val="18"/>
              </w:rPr>
              <w:t>新版处理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董修改意见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只讲123；健康模型突出部位排行；智投“修哪部位/哪个村/多少钱”；智管回答人钱机制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完全保留123；四队归智管；维修清单和沙盘有操作动作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陈修改意见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视频衔接、从库到模型因果、避免重复录入、风险复核后动作、三智增加细节、数字口径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转为“有家底但还要判断先修谁”；直接调用数据；复核后生成维修优先；区分48/18/16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轴修改意见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固定配房引起闲置与紧缺并存的真实故事；用客户视角讲功能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吸收场景和生活语气；不照搬“先三智后两模”的结构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思路和思维导图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红字新增的扫码/查后几位、18部位、健康分/剩余寿命、地图沙盘、评价回写、BI/AI和资金案例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按“听得懂的一个操作”融入一库、两模、三智，不单独背功能目录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1022修改建议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先抛三题再解释；烟农、行业、合作社三视角；一人主讲；取数到用数闭环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三个场景对应三方；无人称问答；用“为什么要下一环”衔接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9.30旧稿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保留“资源无统筹、投入无量化、管护无闭环”，保持烤房模型算法与业务案例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保留三句痛点和模型技术，有矛盾数字采用谨慎口径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2026创客大赛要求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技术创新与实际业务贴合、可视化+算法模型+小微应用、至少3个月运行、不得伪造数据、自主研发、可推广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>
              <w:rPr>
                <w:rFonts w:ascii="仿宋_GB2312" w:hAnsi="仿宋_GB2312" w:eastAsia="仿宋_GB2312"/>
                <w:b w:val="0"/>
                <w:sz w:val="18"/>
              </w:rPr>
              <w:t>讲清一库两模三智与实测工单；数据没有依据的不写死；绝对化表述降级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4"/>
        </w:rPr>
        <w:t>三、争议与边界——不能因为“冠军感”而失真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• 健康分低于60的对象，材料有“210栋”和“340多座”不同历史口径，净稿不合并成同一时点事实；决赛PPT需逐项核实筛查日期、范围与基数。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• 150栋核心设备升级：旧稿既有“计划纳入”又有“完成”表述，净稿只称“为安排提供辅助依据”，不冒称改造已完工。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• 48次调剂是烤季业务记录，不等同于线上预约成交；18次报修处置不等同于16条平台抢修工单；0.38小时仅对应16条平台工单。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• 531份有效问卷满意度，原稿显示95.8%，其他成果资料出现不同版本；净稿暂不采用，待问卷汇总表确认。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• 旧版材料“智慧调控”“自动配送最优路线”“完全自主”“自学习”等表述若未在系统演示或证据中落实，不应作为已实现功能。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• 2026大赛要求明确严禁编造故事参赛、数据真实可靠、运行不少于3个月；稿中“假设集中采收”属于示例操作，应在现场清楚界定为应用场景，不说成真实已发生的个案。</w:t>
      </w:r>
    </w:p>
    <w:p>
      <w:pPr>
        <w:jc w:val="both"/>
      </w:pPr>
      <w:r>
        <w:rPr>
          <w:rFonts w:ascii="仿宋_GB2312" w:hAnsi="仿宋_GB2312" w:eastAsia="仿宋_GB2312"/>
          <w:b w:val="0"/>
          <w:sz w:val="22"/>
        </w:rPr>
        <w:t>• 8分钟包含30秒视频是你给定的本场限制，大赛总方案对具体决赛奖励/计时细则有“另行制定”说明；正式赛前以最终竞赛细则为准。</w:t>
      </w:r>
    </w:p>
    <w:sectPr w:rsidR="00FC693F" w:rsidRPr="0006063C" w:rsidSect="00034616">
      <w:pgSz w:w="12240" w:h="15840"/>
      <w:pgMar w:top="1304" w:right="1247" w:bottom="119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仿宋_GB2312" w:hAnsi="仿宋_GB2312" w:eastAsia="仿宋_GB23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